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版本号：ZCSP-渭南市-2026-0008920260430001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第十届丝博会陕菜美食文化交流活动—渭南特色美食展</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ZCSP-渭南市-2026-00089</w:t>
      </w:r>
      <w:r>
        <w:br/>
      </w:r>
      <w:r>
        <w:br/>
      </w:r>
      <w:r>
        <w:br/>
      </w:r>
    </w:p>
    <w:p>
      <w:pPr>
        <w:pStyle w:val="null3"/>
        <w:jc w:val="center"/>
        <w:outlineLvl w:val="2"/>
      </w:pPr>
      <w:r>
        <w:rPr>
          <w:rFonts w:ascii="仿宋_GB2312" w:hAnsi="仿宋_GB2312" w:cs="仿宋_GB2312" w:eastAsia="仿宋_GB2312"/>
          <w:sz w:val="28"/>
          <w:b/>
        </w:rPr>
        <w:t>渭南市商务局</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渭南市商务局</w:t>
      </w:r>
      <w:r>
        <w:rPr>
          <w:rFonts w:ascii="仿宋_GB2312" w:hAnsi="仿宋_GB2312" w:cs="仿宋_GB2312" w:eastAsia="仿宋_GB2312"/>
        </w:rPr>
        <w:t>委托，拟对</w:t>
      </w:r>
      <w:r>
        <w:rPr>
          <w:rFonts w:ascii="仿宋_GB2312" w:hAnsi="仿宋_GB2312" w:cs="仿宋_GB2312" w:eastAsia="仿宋_GB2312"/>
        </w:rPr>
        <w:t>第十届丝博会陕菜美食文化交流活动—渭南特色美食展</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ZCSP-渭南市-2026-00089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第十届丝博会陕菜美食文化交流活动—渭南特色美食展</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展区约330平方米，负责本次活动的策划宣传，组织互动节目表演及搭建站位，提供参展所需的用具，保障参展单位正常运营。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采购包1（第十届丝博会陕菜美食文化交流活动一渭南特色美食展）：属于专门面向中小企业采购。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1、特殊资格要求：1）、具有独立承担民事责任能力的法人、其他组织或自然人，提供合法有效的统一社会信用代码营业执照（事业单位提供法人证书，自然人提供有效身份证）； 2）、具有良好的商业信誉和健全的财务会计制度以及有依法缴纳税收和社会保障资金的良好记录（提供相关证明或承诺）①财务状况报告：提供具有财务审计资质单位出具的 2024 年或2025年度完整的财务审计报告，应当包含报告正文、资产负债表、利润表、现金流量表及所有者权益变动表、附注和会计师事务所营业执照，2 个注册会计师的签字和盖章（成立时间至开标时间资格证明材料不足一年的可提供成立后任意时段的资产负债表）或投标文件递交截止时间前六个月内其基本账户银行出具的资信证明（附基本账户证明）或政府采购信用担保机构出具的投标担保函；②税收缴纳证明：提供投标文件递交截止时间前一年内任意一个月的缴费凭据（依法免税的供应商应提供相关文件证明）；③社会保障资金缴纳证明：提供响应文件递交截止时间前一年内任意一个月的社保缴费凭据或社保机构开具的社会保险参保缴费情况证明（依法不需要缴纳社会保障资金的供应商应提供相关证明）；注：按照陕西省财政厅关于进一步优化政府采购营商环境有关事项的通知（陕财办采〔2023〕4 号）中对供应商参与政府采购活动建立“承诺+信用管理”的准入管理制度要求，以上①②③三项内容若采用承诺制，供应商可根据本招标文件格式要求出具承诺函，成交供应商的承诺函同成交结果一并公示； 3）、提供具有履行本合同所必需的设备和专业技术能力的说明及承诺（格式自拟，加盖供应商公章）； 4）、提供参加政府采购活动前三年内在经营活动中没有重大违法记录的书面声明（格式自拟，加盖供应商公章）； 5）、法定代表人被授权人参加的，须出具授权书（附法定代表人、被授权人身份证复印件）及被授权人在本单位证明（提供开标前三个月内任一月在本单位的社保缴纳记录）；法定代表人参加投标需提供本人身份证； 6）、信誉要求：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 7）、法定代表人或负责人为同一人或存在直接控股、管理关系的不同单位，不得同时参加同一项目投标；为本采购项目提供整体设计、规范编制或者项目管理、监理、检测等服务的供应商，不得再参加本采购项目的其他采购活动； 8）、磋商保证金缴纳凭证； 9）、本项目不接受联合体投标。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渭南市商务局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渭南市车雷街69号市民综合服务中心东配楼601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渭南市商务局经办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15229938603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陕西省西安市未央区陕西省西安市经济技术开发区凤城七路长和国际A座1502室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袁新洁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17349239651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开户名称：品智工程咨询有限公司渭南分公司</w:t>
            </w:r>
          </w:p>
          <w:p>
            <w:pPr>
              <w:pStyle w:val="null3"/>
            </w:pPr>
            <w:r>
              <w:rPr>
                <w:rFonts w:ascii="仿宋_GB2312" w:hAnsi="仿宋_GB2312" w:cs="仿宋_GB2312" w:eastAsia="仿宋_GB2312"/>
              </w:rPr>
              <w:t>开户银行：中国建设银行股份有限公司渭南胜利大街支行</w:t>
            </w:r>
          </w:p>
          <w:p>
            <w:pPr>
              <w:pStyle w:val="null3"/>
            </w:pPr>
            <w:r>
              <w:rPr>
                <w:rFonts w:ascii="仿宋_GB2312" w:hAnsi="仿宋_GB2312" w:cs="仿宋_GB2312" w:eastAsia="仿宋_GB2312"/>
              </w:rPr>
              <w:t>银行账号：61050164140000001103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 计价格【2002】1980 号）及《国家发改委关于降低部分建设项目收费标准规范收费行为等有 关问题的通知》（发改价格[2011]534 号）规定按标准收取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渭南市商务局</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渭南市商务局</w:t>
      </w:r>
      <w:r>
        <w:rPr>
          <w:rFonts w:ascii="仿宋_GB2312" w:hAnsi="仿宋_GB2312" w:cs="仿宋_GB2312" w:eastAsia="仿宋_GB2312"/>
        </w:rPr>
        <w:t>负责解释。除上述磋商文件内容，其他内容由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渭南市商务局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在项目执行过程中，所有活动资料（包括不限于过程文件、汇总报告、相关文件资料等）均符合采购人要求。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联系人：袁新洁</w:t>
      </w:r>
    </w:p>
    <w:p>
      <w:pPr>
        <w:pStyle w:val="null3"/>
      </w:pPr>
      <w:r>
        <w:rPr>
          <w:rFonts w:ascii="仿宋_GB2312" w:hAnsi="仿宋_GB2312" w:cs="仿宋_GB2312" w:eastAsia="仿宋_GB2312"/>
        </w:rPr>
        <w:t>联系电话：17349239651</w:t>
      </w:r>
    </w:p>
    <w:p>
      <w:pPr>
        <w:pStyle w:val="null3"/>
      </w:pPr>
      <w:r>
        <w:rPr>
          <w:rFonts w:ascii="仿宋_GB2312" w:hAnsi="仿宋_GB2312" w:cs="仿宋_GB2312" w:eastAsia="仿宋_GB2312"/>
        </w:rPr>
        <w:t>地址：渭南市临渭区海兴城南门商铺</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商务部“中华美食荟”系列餐饮促销活动，全面落实省委、省政府《关于印发打好八场硬仗总体任务安排》和省商务厅《打好提振消费硬仗工作方案》《关于做好第十届丝博会筹备工作的通知》要求，加强餐饮美食文化交流与合作，促进陕西餐饮业高质量发展，拟于2026年5月在西安国际会展中心举办为期 5 天的第十届丝博会陕菜美食文化交流活动。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500000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项目总体策划和设计服务</w:t>
            </w:r>
          </w:p>
          <w:p>
            <w:pPr>
              <w:pStyle w:val="null3"/>
              <w:ind w:firstLine="560"/>
              <w:jc w:val="both"/>
            </w:pPr>
            <w:r>
              <w:rPr>
                <w:rFonts w:ascii="仿宋_GB2312" w:hAnsi="仿宋_GB2312" w:cs="仿宋_GB2312" w:eastAsia="仿宋_GB2312"/>
                <w:sz w:val="28"/>
              </w:rPr>
              <w:t>对本次项目进行整体策划和设计，展区设计应突出渭南地域美食文化特点，包括但不限于展区总体布局划设、整体视觉设计、平面设计、物料设计、会场布置设计、主题氛围设计等工作。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2"/>
              <w:jc w:val="both"/>
            </w:pPr>
            <w:r>
              <w:rPr>
                <w:rFonts w:ascii="仿宋_GB2312" w:hAnsi="仿宋_GB2312" w:cs="仿宋_GB2312" w:eastAsia="仿宋_GB2312"/>
                <w:sz w:val="28"/>
                <w:b/>
              </w:rPr>
              <w:t>渭南特色美食展展区搭建服务及物料制作</w:t>
            </w:r>
          </w:p>
          <w:p>
            <w:pPr>
              <w:pStyle w:val="null3"/>
              <w:ind w:firstLine="560"/>
              <w:jc w:val="both"/>
            </w:pPr>
            <w:r>
              <w:rPr>
                <w:rFonts w:ascii="仿宋_GB2312" w:hAnsi="仿宋_GB2312" w:cs="仿宋_GB2312" w:eastAsia="仿宋_GB2312"/>
                <w:sz w:val="28"/>
              </w:rPr>
              <w:t>根据展区设计进行展区搭建服务和整体的现场物料制作，包括但不限于公共区域布置、桁架喷绘及门头物料的制作、展览展台搭建布置、其他延展物料制作及撤展等。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2"/>
              <w:jc w:val="both"/>
            </w:pPr>
            <w:r>
              <w:rPr>
                <w:rFonts w:ascii="仿宋_GB2312" w:hAnsi="仿宋_GB2312" w:cs="仿宋_GB2312" w:eastAsia="仿宋_GB2312"/>
                <w:sz w:val="28"/>
                <w:b/>
              </w:rPr>
              <w:t>展会宣传及推广服务</w:t>
            </w:r>
          </w:p>
          <w:p>
            <w:pPr>
              <w:pStyle w:val="null3"/>
              <w:ind w:firstLine="560"/>
              <w:jc w:val="both"/>
            </w:pPr>
            <w:r>
              <w:rPr>
                <w:rFonts w:ascii="仿宋_GB2312" w:hAnsi="仿宋_GB2312" w:cs="仿宋_GB2312" w:eastAsia="仿宋_GB2312"/>
                <w:sz w:val="28"/>
              </w:rPr>
              <w:t>组织安排整体的展会宣传推广，包括但不限于户外广告制作和投放、朋友圈及抖音等线上平台网络推广、相关媒体报道邀约组织、现场摄影摄像、宣传片制作、网络达人直播引流、短视频制作和宣传、线上微网站开发和报名注册系统开发等工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562"/>
              <w:jc w:val="both"/>
            </w:pPr>
            <w:r>
              <w:rPr>
                <w:rFonts w:ascii="仿宋_GB2312" w:hAnsi="仿宋_GB2312" w:cs="仿宋_GB2312" w:eastAsia="仿宋_GB2312"/>
                <w:sz w:val="28"/>
                <w:b/>
              </w:rPr>
              <w:t>其他服务工作</w:t>
            </w:r>
          </w:p>
          <w:p>
            <w:pPr>
              <w:pStyle w:val="null3"/>
              <w:ind w:firstLine="560"/>
              <w:jc w:val="both"/>
            </w:pPr>
            <w:r>
              <w:rPr>
                <w:rFonts w:ascii="仿宋_GB2312" w:hAnsi="仿宋_GB2312" w:cs="仿宋_GB2312" w:eastAsia="仿宋_GB2312"/>
                <w:sz w:val="28"/>
              </w:rPr>
              <w:t>负责美食展其他相关服务工作，并对接各方，协助采购人做好现场的管理工作。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具有会展规划设计人员、搭建人员、会场服务人员、策划宣传人员等。服务团队人员应具有相关工作经验，包括安全培训、专业培训等。活动期间，安排专人现场协调对接落实活动各项具体事宜，严格执行方案，确保展示效果，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布展所有材料要求环保节能、安全可靠，确保展会期间正常使用。展区的设计和搭建要确保结构安全稳定，并做好特殊展品、模型的位置安排。满足采购需求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安全及进度管理:：布展公司在布展装饰和整体会展期间，要做好各类安全管理工作，签订《安全目标责任书》，自行负责施工人员的安全。布展公司严格按照会展中心布展时间要求进行布展，不得延误工期，如造成延误由布展公司承担。项目实施过程中采购人如有调整，必须在保证展会有序进行下局部调整。 2、服务标准：服务团队应在规定时间内完成活动策划方案及整体设计，提交采购人进行审核，提出改进意见并修改方案至采购人满意。并按照甲方要求完成前期展区布置、会务服务、撤场审计等相关服务。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自合同签订起至活动结束并撤场完成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西安国际会展中心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在项目执行过程中，所有活动资料（包括不限于过程文件、汇总报告、相关文件资料等）均符合采购人要求。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活动结束撤展完成并经采购人验收合格后，甲方向乙方支付合同总价款的100%，乙方向甲方开具全额发票。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的相关条款和本合同约定，乙方未全面履行合同义务或拒绝继续履行合同义务，造成活动延误或给甲方带来经济损失，甲方有权单方终止合同，并向乙方索赔。甲方违约的，应赔偿乙方的直接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需落实的政府采购政策： （1）《财政部 发展改革委 生态环境部 市场监管总局关于调整优化节能产品、环境标志产品政府采购执行机制的通知》（财库〔2019〕9号）； （2）《政府采购促进中小企业发展管理办法》（财库〔2020〕46号）； （3）《财政部司法部关于政府采购支持监狱企业发展有关问题的通知》（财库〔2014〕68号）； （4）《三部门联合发布关于促进残疾人就业政府采购政策的通知》（财库〔2017〕141号）； （5）陕西省财政厅关于印发《陕西省中小企业政府采购信用融资办法》（陕财办采〔2018〕23号）； （6）《关于运用政府采购政策支持乡村产业振兴的通知》（财库〔2021〕19号）； （7）《财政部住房和城乡建设部关于政府采购支持绿色建材促进建筑品质提升试点工作的通知》（财库〔2020〕31号）； （8）《陕西省财政厅关于进一步加强政府绿色采购有关问题的通知》（陕财办采〔2021〕29号）； （9）《财政部关于在政府采购活动中落实平等对待内外资企业有关政策的通知》（财库〔2021〕35号）； （10）《国务院办公厅关于在政府采购中实施本国产品标准及相关政策的通知》（国办发〔2025〕34号）政策； 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供应商对其提供的产品出具《关于符合本国产品标准的声明函》（以下简称《声明函》）或财政部会同有关部门规定的有关证明文件。 （11）《关于推动解决政府采购异常低价问题的通知》财库〔2026〕2号； （12）其他需要落实的政府采购政策。 （13）若享受以上政策优惠的企业，提供相应声明函或财政部会同有关部门规定的有关证明文件。如有最新颁布的政府采购政策，按最新的文件执行。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符合本国产品标准的声明函.docx 服务内容及服务邀请应答表 服务方案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1）、具有独立承担民事责任能力的法人、其他组织或自然人，提供合法有效的统一社会信用代码营业执照（事业单位提供法人证书，自然人提供有效身份证）； 2）、具有良好的商业信誉和健全的财务会计制度以及有依法缴纳税收和社会保障资金的良好记录（提供相关证明或承诺）①财务状况报告：提供具有财务审计资质单位出具的 2024 年或2025年度完整的财务审计报告，应当包含报告正文、资产负债表、利润表、现金流量表及所有者权益变动表、附注和会计师事务所营业执照，2 个注册会计师的签字和盖章（成立时间至开标时间资格证明材料不足一年的可提供成立后任意时段的资产负债表）或投标文件递交截止时间前六个月内其基本账户银行出具的资信证明（附基本账户证明）或政府采购信用担保机构出具的投标担保函；②税收缴纳证明：提供投标文件递交截止时间前一年内任意一个月的缴费凭据（依法免税的供应商应提供相关文件证明）；③社会保障资金缴纳证明：提供响应文件递交截止时间前一年内任意一个月的社保缴费凭据或社保机构开具的社会保险参保缴费情况证明（依法不需要缴纳社会保障资金的供应商应提供相关证明）；注：按照陕西省财政厅关于进一步优化政府采购营商环境有关事项的通知（陕财办采〔2023〕4 号）中对供应商参与政府采购活动建立“承诺+信用管理”的准入管理制度要求，以上①②③三项内容若采用承诺制，供应商可根据本招标文件格式要求出具承诺函，成交供应商的承诺函同成交结果一并公示； 3）、提供具有履行本合同所必需的设备和专业技术能力的说明及承诺（格式自拟，加盖供应商公章）； 4）、提供参加政府采购活动前三年内在经营活动中没有重大违法记录的书面声明（格式自拟，加盖供应商公章）； 5）、法定代表人被授权人参加的，须出具授权书（附法定代表人、被授权人身份证复印件）及被授权人在本单位证明（提供开标前三个月内任一月在本单位的社保缴纳记录）；法定代表人参加投标需提供本人身份证； 6）、信誉要求：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 7）、法定代表人或负责人为同一人或存在直接控股、管理关系的不同单位，不得同时参加同一项目投标；为本采购项目提供整体设计、规范编制或者项目管理、监理、检测等服务的供应商，不得再参加本采购项目的其他采购活动； 8）、磋商保证金缴纳凭证； 9）、本项目不接受联合体投标。</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响应文件的签署、盖章符合采购文件要求，且无遗漏。</w:t>
            </w:r>
          </w:p>
        </w:tc>
        <w:tc>
          <w:tcPr>
            <w:tcW w:type="dxa" w:w="1661"/>
          </w:tcPr>
          <w:p>
            <w:pPr>
              <w:pStyle w:val="null3"/>
            </w:pPr>
            <w:r>
              <w:rPr>
                <w:rFonts w:ascii="仿宋_GB2312" w:hAnsi="仿宋_GB2312" w:cs="仿宋_GB2312" w:eastAsia="仿宋_GB2312"/>
              </w:rPr>
              <w:t>响应文件封面 符合本国产品标准的声明函.docx 服务内容及服务邀请应答表 中小企业声明函 残疾人福利性单位声明函 商务应答表 服务方案 标的清单 响应函 陕西省政府采购供应商拒绝政府采购领域商业贿赂承诺书.docx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符合采购文件要求、合法有效。</w:t>
            </w:r>
          </w:p>
        </w:tc>
        <w:tc>
          <w:tcPr>
            <w:tcW w:type="dxa" w:w="1661"/>
          </w:tcPr>
          <w:p>
            <w:pPr>
              <w:pStyle w:val="null3"/>
            </w:pPr>
            <w:r>
              <w:rPr>
                <w:rFonts w:ascii="仿宋_GB2312" w:hAnsi="仿宋_GB2312" w:cs="仿宋_GB2312" w:eastAsia="仿宋_GB2312"/>
              </w:rPr>
              <w:t>响应文件封面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同时满足以下条款：报价符合唯一性要求且未超出采购文件规定的最高限价。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响应文件封面 服务内容及服务邀请应答表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特点制定整体服务方案，包含：①总体策划方案及详细造价表；②展区总体设计方案、设计理念说明及设计效果图；③氛围布置设计方案；④宣传方案；⑤工作流程、工作内容；⑥进度计划及保障措施；⑦组织管理方案；⑧活动资料整理及移交方案等。 二、评审标准：提供详细、合理、科学可行的方案，方案符合本项目采购需求有针对性，以上8项，以序号①、②、③、④、⑤、⑥、⑦、⑧为项数，内容无缺项、无漏项且无缺陷的得16分，其中每有一项内容存在缺项或漏项的扣2分，每项内容中每有一处存在缺陷的扣0.5分，该项分值扣完为止，未提供不得分。 三、赋分说明：“缺陷”是指套用其他项目方案内容；存在不适用项目实际情况的情形；引用科学原理错误以及无法实现的情形；引用的法律法规、标准（方法）或其他规范性文件错误；语言错误或存在歧义；前后内容不一；逻辑错误；未能体现出本项目的特点或与本项目实际需求不完全相符；涉及内容无重点或内容体现不齐全以及其他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一、评审内容：针对本项目的施工方案，包括但不限于①施工准备；②施工方法；③施工具体专项方案。 二、评审标准：提供详细、合理、科学可行的方案，方案符合本项目采购需求有针对性，以上3项，以序号①、②、③为项数，内容无缺项、无漏项且无缺陷的得9分，其中每有一项内容存在缺项或漏项的扣3分，每项内容中每有一处存在缺陷的扣0.5分，该项分值扣完为止，未提供不得分。 三、赋分说明：“缺陷”是指套用其他项目方案内容；存在不适用项目实际情况的情形；引用科学原理错误以及无法实现的情形；引用的法律法规、标准（方法）或其他规范性文件错误；语言错误或存在歧义；前后内容不一；逻辑错误；未能体现出本项目的特点或与本项目实际需求不完全相符；涉及内容无重点或内容体现不齐全以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功能布局</w:t>
            </w:r>
          </w:p>
        </w:tc>
        <w:tc>
          <w:tcPr>
            <w:tcW w:type="dxa" w:w="2492"/>
          </w:tcPr>
          <w:p>
            <w:pPr>
              <w:pStyle w:val="null3"/>
            </w:pPr>
            <w:r>
              <w:rPr>
                <w:rFonts w:ascii="仿宋_GB2312" w:hAnsi="仿宋_GB2312" w:cs="仿宋_GB2312" w:eastAsia="仿宋_GB2312"/>
              </w:rPr>
              <w:t>一、评审内容：供应商针对本项目展位的功能布局，包括：①展位设计布局说明及效果图 ；②功能分区；③观展路线。 二、评审标准：提供详细、合理、科学可行的方案，方案符合本项目采购需求有针对性，以上3项，以序号①、②、③为项数，内容无缺项、无漏项且无缺陷的得9分，其中每有一项内容存在缺项或漏项的扣3分，每项内容中每有一处存在缺陷的扣0.5分，该项分值扣完为止，未提供不得分。 三、赋分说明：“缺陷”是指套用其他项目方案内容；存在不适用项目实际情况的情形；引用科学原理错误以及无法实现的情形；引用的法律法规、标准（方法）或其他规范性文件错误；语言错误或存在歧义；前后内容不一；逻辑错误；未能体现出本项目的特点或与本项目实际需求不完全相符；涉及内容无重点或内容体现不齐全以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一、评审内容：供应商针对本项目提供质量保障方案，包含①搭建质量保障方案；②服务质量保障方案；③材料和构配件的质量控制等内容。 二、评审标准：提供详细、合理、科学可行的方案，方案符合本项目采购需求有针对性，以上3项，以序号①、②、③为项数，内容无缺项、无漏项且无缺陷的得9分，其中每有一项内容存在缺项或漏项的扣3分，每项内容中每有一处存在缺陷的扣0.5分，该项分值扣完为止，未提供不得分。 三、赋分说明：“缺陷”是指套用其他项目方案内容；存在不适用项目实际情况的情形；引用科学原理错误以及无法实现的情形；引用的法律法规、标准（方法）或其他规范性文件错误；语言错误或存在歧义；前后内容不一；逻辑错误；未能体现出本项目的特点或与本项目实际需求不完全相符；涉及内容无重点或内容体现不齐全以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一、评审内容：供应商提供针对本项目团队人员配备方案，包括但不限于：①组织架构;②拟派人员名单、数量;③相关证件;④岗位职责;⑤工作经验等。 二、评审标准：提供详细、合理、科学可行的方案，方案符合本项目采购需求有针对性，以上5项，以序号①、②、③、④、⑤为项数，内容无缺项、无漏项且无缺陷的得15分，其中每有一项内容存在缺项或漏项的扣3分，每项内容中每有一处存在缺陷的扣0.5分，该项分值扣完为止，未提供不得分。 三、赋分说明：“缺陷”是指套用其他项目方案内容；存在不适用项目实际情况的情形；引用科学原理错误以及无法实现的情形；引用的法律法规、标准（方法）或其他规范性文件错误；语言错误或存在歧义；前后内容不一；逻辑错误；未能体现出本项目的特点或与本项目实际需求不完全相符；涉及内容无重点或内容体现不齐全以及其他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一、评审内容：针对本次项目具有可行的应急预案，确保展会安全有序进行，包括但不限于①应急事件处置流程；②应急保障措施；③应急人员保障等。 二、评审标准：提供详细、合理、科学可行的方案，方案符合本项目采购需求有针对性，以上3项，以序号①、②、③为项数，内容无缺项、无漏项且无缺陷的得9分，其中每有一项内容存在缺项或漏项的扣3分，每项内容中每有一处存在缺陷的扣0.5分，该项分值扣完为止，未提供不得分。 三、赋分说明：“缺陷”是指套用其他项目方案内容；存在不适用项目实际情况的情形；引用科学原理错误以及无法实现的情形；引用的法律法规、标准（方法）或其他规范性文件错误；语言错误或存在歧义；前后内容不一；逻辑错误；未能体现出本项目的特点或与本项目实际需求不完全相符；涉及内容无重点或内容体现不齐全以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w:t>
            </w:r>
          </w:p>
        </w:tc>
        <w:tc>
          <w:tcPr>
            <w:tcW w:type="dxa" w:w="2492"/>
          </w:tcPr>
          <w:p>
            <w:pPr>
              <w:pStyle w:val="null3"/>
            </w:pPr>
            <w:r>
              <w:rPr>
                <w:rFonts w:ascii="仿宋_GB2312" w:hAnsi="仿宋_GB2312" w:cs="仿宋_GB2312" w:eastAsia="仿宋_GB2312"/>
              </w:rPr>
              <w:t>一、评审内容：供应商针对本项目制作、运输、施工搭建及撤展等提供安全保障措施， 二、评审标准：提供详细、合理、科学可行的方案，方案符合本项目采购需求有针对性，得5分；内容存在缺陷扣0.5分；该项分值扣完为止，未提供不得分。 三、赋分说明：“缺陷”是指套用其他项目方案内容；存在不适用项目实际情况的情形；引用科学原理错误以及无法实现的情形；引用的法律法规、标准（方法）或其他规范性文件错误；语言错误或存在歧义；前后内容不一；逻辑错误；未能体现出本项目的特点或与本项目实际需求不完全相符；涉及内容无重点或内容体现不齐全以及其他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一、评审内容：为确保项目能按时按质完成，达到服务要求且能保证项目质量，并接受采购人对服务的监督及管理，提供完善的服务承诺。 二、评审标准：提供详细、合理、科学可行的服务承诺，符合本项目采购需求有针对性，得5分；内容存在缺陷扣0.5分；该项分值扣完为止，未提供不得分。 三、赋分说明：“缺陷”是指套用其他项目方案内容；存在不适用项目实际情况的情形；引用科学原理错误以及无法实现的情形；引用的法律法规、标准（方法）或其他规范性文件错误；语言错误或存在歧义；前后内容不一；逻辑错误；未能体现出本项目的特点或与本项目实际需求不完全相符；涉及内容无重点或内容体现不齐全以及其他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供应商提供自2023年1月1日至今类似业绩的证明材料（合同或中标/成交通知书复印件加盖公章，以合同签订时间或中标/成交通知书发出为准）每提供一项得1分，最高得3分，不提供不得分。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满足竞争性磋商文件要求且磋商价格最低的磋商报价为评标基准价，其价格分为满分。其他供应商的价格分统一按照下列公式计算：磋商报价得分=（评标基准价/有效报价）×价格权重（20%）×100。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详见附件：符合本国产品标准的声明函.docx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