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版本号：ZJZB2026-DY1039.1B120260720001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办公用房及业务用房租赁(二次)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ZJZB2026-DY1039.1B1</w:t>
      </w:r>
      <w:r>
        <w:br/>
      </w:r>
      <w:r>
        <w:br/>
      </w:r>
      <w:r>
        <w:br/>
      </w:r>
    </w:p>
    <w:p>
      <w:pPr>
        <w:pStyle w:val="null3"/>
        <w:jc w:val="center"/>
        <w:outlineLvl w:val="5"/>
      </w:pPr>
      <w:r>
        <w:rPr>
          <w:rFonts w:ascii="仿宋_GB2312" w:hAnsi="仿宋_GB2312" w:cs="仿宋_GB2312" w:eastAsia="仿宋_GB2312"/>
          <w:sz w:val="15"/>
          <w:b/>
        </w:rPr>
        <w:t>陕西西咸新区人民检察院</w:t>
      </w:r>
    </w:p>
    <w:p>
      <w:pPr>
        <w:pStyle w:val="null3"/>
        <w:jc w:val="center"/>
        <w:outlineLvl w:val="5"/>
      </w:pPr>
      <w:r>
        <w:rPr>
          <w:rFonts w:ascii="仿宋_GB2312" w:hAnsi="仿宋_GB2312" w:cs="仿宋_GB2312" w:eastAsia="仿宋_GB2312"/>
          <w:sz w:val="15"/>
          <w:b/>
        </w:rPr>
        <w:t>陕西中基项目管理有限公司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陕西中基项目管理有限公司</w:t>
      </w:r>
      <w:r>
        <w:rPr>
          <w:rFonts w:ascii="仿宋_GB2312" w:hAnsi="仿宋_GB2312" w:cs="仿宋_GB2312" w:eastAsia="仿宋_GB2312"/>
        </w:rPr>
        <w:t>（以下简称“代理机构”）受</w:t>
      </w:r>
      <w:r>
        <w:rPr>
          <w:rFonts w:ascii="仿宋_GB2312" w:hAnsi="仿宋_GB2312" w:cs="仿宋_GB2312" w:eastAsia="仿宋_GB2312"/>
        </w:rPr>
        <w:t>陕西西咸新区人民检察院</w:t>
      </w:r>
      <w:r>
        <w:rPr>
          <w:rFonts w:ascii="仿宋_GB2312" w:hAnsi="仿宋_GB2312" w:cs="仿宋_GB2312" w:eastAsia="仿宋_GB2312"/>
        </w:rPr>
        <w:t>委托，拟对</w:t>
      </w:r>
      <w:r>
        <w:rPr>
          <w:rFonts w:ascii="仿宋_GB2312" w:hAnsi="仿宋_GB2312" w:cs="仿宋_GB2312" w:eastAsia="仿宋_GB2312"/>
        </w:rPr>
        <w:t>办公用房及业务用房租赁(二次)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ZJZB2026-DY1039.1B1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办公用房及业务用房租赁(二次)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办公用房及业务用房租赁，具体详见采购内容。</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采购包1（办公用房及业务用房租赁）：属于专门面向小微企业采购。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陕西西咸新区人民检察院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陕西省咸阳市渭城区窑店街道兰池二路与秦义南路交叉口兰池大厦A座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712039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陕西西咸新区人民检察院经办李永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13679247912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陕西省西安市⾼新区⾼新路56号电信⼴场东⻔裙楼4F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招标代理中心曾艳、高杰、宜健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029-88336376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采购包1：5,113,160.64元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采购包1：5,113,160.64元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布《招标代理服务收费管理暂行办法》（计价格[2002]1980号）和国家发展和改革委员会办公厅颁发的《关于招标代理服务收费有关问题的通知》（发改办价格[2003]857号）文件规定执行。 账户名称：陕西中基项目管理有限公司 开户银行：招商银行股份有限公司西安小寨支行 账号：999008462710001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陕西西咸新区人民检察院</w:t>
      </w:r>
      <w:r>
        <w:rPr>
          <w:rFonts w:ascii="仿宋_GB2312" w:hAnsi="仿宋_GB2312" w:cs="仿宋_GB2312" w:eastAsia="仿宋_GB2312"/>
        </w:rPr>
        <w:t>和</w:t>
      </w:r>
      <w:r>
        <w:rPr>
          <w:rFonts w:ascii="仿宋_GB2312" w:hAnsi="仿宋_GB2312" w:cs="仿宋_GB2312" w:eastAsia="仿宋_GB2312"/>
        </w:rPr>
        <w:t>陕西中基项目管理有限公司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陕西西咸新区人民检察院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陕西中基项目管理有限公司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以合同约定为主</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联系人：曾艳</w:t>
      </w:r>
    </w:p>
    <w:p>
      <w:pPr>
        <w:pStyle w:val="null3"/>
      </w:pPr>
      <w:r>
        <w:rPr>
          <w:rFonts w:ascii="仿宋_GB2312" w:hAnsi="仿宋_GB2312" w:cs="仿宋_GB2312" w:eastAsia="仿宋_GB2312"/>
        </w:rPr>
        <w:t>联系电话： 029-88336376</w:t>
      </w:r>
    </w:p>
    <w:p>
      <w:pPr>
        <w:pStyle w:val="null3"/>
      </w:pPr>
      <w:r>
        <w:rPr>
          <w:rFonts w:ascii="仿宋_GB2312" w:hAnsi="仿宋_GB2312" w:cs="仿宋_GB2312" w:eastAsia="仿宋_GB2312"/>
        </w:rPr>
        <w:t>地址： 陕西省西安市⾼新区⾼新路56号电信⼴场东⻔裙楼4F</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办公用房及业务用房租赁。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5,113,160.64</w:t>
      </w:r>
    </w:p>
    <w:p>
      <w:pPr>
        <w:pStyle w:val="null3"/>
      </w:pPr>
      <w:r>
        <w:rPr>
          <w:rFonts w:ascii="仿宋_GB2312" w:hAnsi="仿宋_GB2312" w:cs="仿宋_GB2312" w:eastAsia="仿宋_GB2312"/>
        </w:rPr>
        <w:t>采购包最高限价（元）: 5,113,160.64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办公用房及业务用房租赁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5,113,160.64</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标的名称：办公用房及业务用房租赁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27"/>
              <w:jc w:val="both"/>
            </w:pPr>
            <w:r>
              <w:rPr>
                <w:rFonts w:ascii="仿宋_GB2312" w:hAnsi="仿宋_GB2312" w:cs="仿宋_GB2312" w:eastAsia="仿宋_GB2312"/>
                <w:sz w:val="21"/>
              </w:rPr>
              <w:t>一、项目概况。</w:t>
            </w:r>
          </w:p>
          <w:p>
            <w:pPr>
              <w:pStyle w:val="null3"/>
              <w:ind w:firstLine="627"/>
              <w:jc w:val="both"/>
            </w:pPr>
            <w:r>
              <w:rPr>
                <w:rFonts w:ascii="仿宋_GB2312" w:hAnsi="仿宋_GB2312" w:cs="仿宋_GB2312" w:eastAsia="仿宋_GB2312"/>
                <w:sz w:val="21"/>
              </w:rPr>
              <w:t>办公用房及业务用房租赁。</w:t>
            </w:r>
          </w:p>
          <w:p>
            <w:pPr>
              <w:pStyle w:val="null3"/>
              <w:ind w:firstLine="627"/>
              <w:jc w:val="both"/>
            </w:pPr>
            <w:r>
              <w:rPr>
                <w:rFonts w:ascii="仿宋_GB2312" w:hAnsi="仿宋_GB2312" w:cs="仿宋_GB2312" w:eastAsia="仿宋_GB2312"/>
                <w:sz w:val="21"/>
              </w:rPr>
              <w:t>二、服务内容</w:t>
            </w:r>
          </w:p>
          <w:p>
            <w:pPr>
              <w:pStyle w:val="null3"/>
              <w:ind w:firstLine="627"/>
              <w:jc w:val="both"/>
            </w:pPr>
            <w:r>
              <w:rPr>
                <w:rFonts w:ascii="仿宋_GB2312" w:hAnsi="仿宋_GB2312" w:cs="仿宋_GB2312" w:eastAsia="仿宋_GB2312"/>
                <w:sz w:val="21"/>
              </w:rPr>
              <w:t>租用咸阳市渭城区秦汉新城窑店街道办事处秦苑七路199号兰池大厦A座作为办公用房及业务用房，租期一年。</w:t>
            </w:r>
          </w:p>
          <w:p>
            <w:pPr>
              <w:pStyle w:val="null3"/>
              <w:ind w:left="645"/>
              <w:jc w:val="both"/>
            </w:pPr>
            <w:r>
              <w:rPr>
                <w:rFonts w:ascii="仿宋_GB2312" w:hAnsi="仿宋_GB2312" w:cs="仿宋_GB2312" w:eastAsia="仿宋_GB2312"/>
                <w:sz w:val="21"/>
              </w:rPr>
              <w:t>三、服务要求</w:t>
            </w:r>
          </w:p>
          <w:p>
            <w:pPr>
              <w:pStyle w:val="null3"/>
              <w:ind w:firstLine="640"/>
              <w:jc w:val="both"/>
            </w:pPr>
            <w:r>
              <w:rPr>
                <w:rFonts w:ascii="仿宋_GB2312" w:hAnsi="仿宋_GB2312" w:cs="仿宋_GB2312" w:eastAsia="仿宋_GB2312"/>
                <w:sz w:val="21"/>
              </w:rPr>
              <w:t>（一）供应商须保障大楼的水、电等基础设施齐全完好，正常运行。</w:t>
            </w:r>
          </w:p>
          <w:p>
            <w:pPr>
              <w:pStyle w:val="null3"/>
              <w:ind w:firstLine="640"/>
              <w:jc w:val="both"/>
            </w:pPr>
            <w:r>
              <w:rPr>
                <w:rFonts w:ascii="仿宋_GB2312" w:hAnsi="仿宋_GB2312" w:cs="仿宋_GB2312" w:eastAsia="仿宋_GB2312"/>
                <w:sz w:val="21"/>
              </w:rPr>
              <w:t>（二）大楼及其内部附属设施日常维修养护要求：</w:t>
            </w:r>
          </w:p>
          <w:p>
            <w:pPr>
              <w:pStyle w:val="null3"/>
              <w:ind w:firstLine="640"/>
              <w:jc w:val="both"/>
            </w:pPr>
            <w:r>
              <w:rPr>
                <w:rFonts w:ascii="仿宋_GB2312" w:hAnsi="仿宋_GB2312" w:cs="仿宋_GB2312" w:eastAsia="仿宋_GB2312"/>
                <w:sz w:val="21"/>
              </w:rPr>
              <w:t>包括但不限于漏水维修、消防维修、空调维修、电梯维保、墙面及地砖维修、电路维修、水路维修、门窗维修等。维修范围涵盖大楼建筑本体及门前院落区域内的地面铺装（含地砖）。</w:t>
            </w:r>
          </w:p>
          <w:p>
            <w:pPr>
              <w:pStyle w:val="null3"/>
              <w:ind w:firstLine="640"/>
              <w:jc w:val="both"/>
            </w:pPr>
            <w:r>
              <w:rPr>
                <w:rFonts w:ascii="仿宋_GB2312" w:hAnsi="仿宋_GB2312" w:cs="仿宋_GB2312" w:eastAsia="仿宋_GB2312"/>
                <w:sz w:val="21"/>
              </w:rPr>
              <w:t>每年夏季（7至8月份）对全楼窗纱进行一次全面检查、清洗、维修，破损时进行更换。</w:t>
            </w:r>
          </w:p>
          <w:p>
            <w:pPr>
              <w:pStyle w:val="null3"/>
              <w:ind w:firstLine="640"/>
              <w:jc w:val="both"/>
            </w:pPr>
            <w:r>
              <w:rPr>
                <w:rFonts w:ascii="仿宋_GB2312" w:hAnsi="仿宋_GB2312" w:cs="仿宋_GB2312" w:eastAsia="仿宋_GB2312"/>
                <w:sz w:val="21"/>
              </w:rPr>
              <w:t>每年夏季集中制冷和冬季集中采暖前，对空调设备及管道进行检修，并对所有空调滤网进行清洗。</w:t>
            </w:r>
          </w:p>
          <w:p>
            <w:pPr>
              <w:pStyle w:val="null3"/>
              <w:ind w:firstLine="640"/>
              <w:jc w:val="both"/>
            </w:pPr>
            <w:r>
              <w:rPr>
                <w:rFonts w:ascii="仿宋_GB2312" w:hAnsi="仿宋_GB2312" w:cs="仿宋_GB2312" w:eastAsia="仿宋_GB2312"/>
                <w:sz w:val="21"/>
              </w:rPr>
              <w:t>每年对全楼外墙玻璃幕墙进行一次全面清洗。</w:t>
            </w:r>
          </w:p>
          <w:p>
            <w:pPr>
              <w:pStyle w:val="null3"/>
              <w:ind w:firstLine="640"/>
              <w:jc w:val="both"/>
            </w:pPr>
            <w:r>
              <w:rPr>
                <w:rFonts w:ascii="仿宋_GB2312" w:hAnsi="仿宋_GB2312" w:cs="仿宋_GB2312" w:eastAsia="仿宋_GB2312"/>
                <w:sz w:val="21"/>
              </w:rPr>
              <w:t>每年由供应商委托有资质的机构进行一次消防联调联试，并出具报告。调试发现的问题，供应商应于15个工作日内（自采购人书面告知或报告出具之日起算）解决完毕，所涉费用由供应商承担。</w:t>
            </w:r>
          </w:p>
          <w:p>
            <w:pPr>
              <w:pStyle w:val="null3"/>
              <w:ind w:firstLine="640"/>
              <w:jc w:val="both"/>
            </w:pPr>
            <w:r>
              <w:rPr>
                <w:rFonts w:ascii="仿宋_GB2312" w:hAnsi="仿宋_GB2312" w:cs="仿宋_GB2312" w:eastAsia="仿宋_GB2312"/>
                <w:sz w:val="21"/>
              </w:rPr>
              <w:t>以上日常维修养护费用（包含人工、材料等）都由供应商承担。供应商接到采购人一般维修通知后，应于2小时内响应，4小时内到场处置，对于不涉及定制加工、无需更换大型配件的日常维修，供应商须在到场后2个工作日内完成维修并恢复使用。紧急情况（如水管爆裂、门窗坠落风险等）维修，供应商须立即响应并于20分钟内到达现场并采取临时管控措施，全面处置，供应商无法处置的，应立即安排第三方维修处置解决，相关费用由供应商承担。</w:t>
            </w:r>
          </w:p>
          <w:p>
            <w:pPr>
              <w:pStyle w:val="null3"/>
              <w:ind w:firstLine="627"/>
              <w:jc w:val="both"/>
            </w:pPr>
            <w:r>
              <w:rPr>
                <w:rFonts w:ascii="仿宋_GB2312" w:hAnsi="仿宋_GB2312" w:cs="仿宋_GB2312" w:eastAsia="仿宋_GB2312"/>
                <w:sz w:val="21"/>
              </w:rPr>
              <w:t>（三）房屋质量维修要求：</w:t>
            </w:r>
          </w:p>
          <w:p>
            <w:pPr>
              <w:pStyle w:val="null3"/>
              <w:ind w:firstLine="627"/>
              <w:jc w:val="both"/>
            </w:pPr>
            <w:r>
              <w:rPr>
                <w:rFonts w:ascii="仿宋_GB2312" w:hAnsi="仿宋_GB2312" w:cs="仿宋_GB2312" w:eastAsia="仿宋_GB2312"/>
                <w:sz w:val="21"/>
              </w:rPr>
              <w:t>供应商对大楼的主体结构质量和房屋安全负责。如发生下列等情形，供应商在接到采购人通知后5个工作日内启动维修，相关费用由供应商承担：</w:t>
            </w:r>
          </w:p>
          <w:p>
            <w:pPr>
              <w:pStyle w:val="null3"/>
              <w:ind w:firstLine="640"/>
              <w:jc w:val="both"/>
            </w:pPr>
            <w:r>
              <w:rPr>
                <w:rFonts w:ascii="仿宋_GB2312" w:hAnsi="仿宋_GB2312" w:cs="仿宋_GB2312" w:eastAsia="仿宋_GB2312"/>
                <w:sz w:val="21"/>
              </w:rPr>
              <w:t>1. 楼面、墙体、卫生间发生大面积严重渗漏水；</w:t>
            </w:r>
          </w:p>
          <w:p>
            <w:pPr>
              <w:pStyle w:val="null3"/>
              <w:ind w:firstLine="640"/>
              <w:jc w:val="both"/>
            </w:pPr>
            <w:r>
              <w:rPr>
                <w:rFonts w:ascii="仿宋_GB2312" w:hAnsi="仿宋_GB2312" w:cs="仿宋_GB2312" w:eastAsia="仿宋_GB2312"/>
                <w:sz w:val="21"/>
              </w:rPr>
              <w:t>2. 承重墙体出现结构性裂缝或倾斜；</w:t>
            </w:r>
          </w:p>
          <w:p>
            <w:pPr>
              <w:pStyle w:val="null3"/>
              <w:ind w:firstLine="640"/>
              <w:jc w:val="both"/>
            </w:pPr>
            <w:r>
              <w:rPr>
                <w:rFonts w:ascii="仿宋_GB2312" w:hAnsi="仿宋_GB2312" w:cs="仿宋_GB2312" w:eastAsia="仿宋_GB2312"/>
                <w:sz w:val="21"/>
              </w:rPr>
              <w:t>3. 楼板明显沉降、空鼓或坍塌风险；</w:t>
            </w:r>
          </w:p>
          <w:p>
            <w:pPr>
              <w:pStyle w:val="null3"/>
              <w:ind w:firstLine="640"/>
              <w:jc w:val="both"/>
            </w:pPr>
            <w:r>
              <w:rPr>
                <w:rFonts w:ascii="仿宋_GB2312" w:hAnsi="仿宋_GB2312" w:cs="仿宋_GB2312" w:eastAsia="仿宋_GB2312"/>
                <w:sz w:val="21"/>
              </w:rPr>
              <w:t>4. 主供排水管道、主供电线路、消防主管网发生爆裂、短路；</w:t>
            </w:r>
          </w:p>
          <w:p>
            <w:pPr>
              <w:pStyle w:val="null3"/>
              <w:ind w:firstLine="640"/>
              <w:jc w:val="both"/>
            </w:pPr>
            <w:r>
              <w:rPr>
                <w:rFonts w:ascii="仿宋_GB2312" w:hAnsi="仿宋_GB2312" w:cs="仿宋_GB2312" w:eastAsia="仿宋_GB2312"/>
                <w:sz w:val="21"/>
              </w:rPr>
              <w:t>5. 外墙玻璃幕墙及其他外立面附着物等，发生松动、脱落等高空坠物险情。</w:t>
            </w:r>
          </w:p>
          <w:p>
            <w:pPr>
              <w:pStyle w:val="null3"/>
              <w:ind w:firstLine="627"/>
              <w:jc w:val="both"/>
            </w:pPr>
            <w:r>
              <w:rPr>
                <w:rFonts w:ascii="仿宋_GB2312" w:hAnsi="仿宋_GB2312" w:cs="仿宋_GB2312" w:eastAsia="仿宋_GB2312"/>
                <w:sz w:val="21"/>
              </w:rPr>
              <w:t>（四）上述（二）（三）款的维修要求，若供应商逾期未履行或维修养护验收不合格并拒不整改，采购人可自行委托第三方重新实施，所需费用从后续租金中足额抵扣。连续两次（含两次以上）验收不合格视为供应商严重违约且不具备履约能力，供应商须向采购人支付预算总金额的2‰的违约金，同时供应商须无偿返工至验收合格，返工期间所有费用由供应商承担。</w:t>
            </w:r>
          </w:p>
          <w:p>
            <w:pPr>
              <w:pStyle w:val="null3"/>
              <w:ind w:firstLine="627"/>
              <w:jc w:val="both"/>
            </w:pPr>
            <w:r>
              <w:rPr>
                <w:rFonts w:ascii="仿宋_GB2312" w:hAnsi="仿宋_GB2312" w:cs="仿宋_GB2312" w:eastAsia="仿宋_GB2312"/>
                <w:sz w:val="21"/>
              </w:rPr>
              <w:t>（五）供应商须针对可能影响采购人正常办公的突发情况制定专项应急预案，包括但不限于：停电、电梯困人、水管爆裂/跑水、火灾、防汛内涝、突发公共卫生事件。</w:t>
            </w:r>
          </w:p>
          <w:p>
            <w:pPr>
              <w:pStyle w:val="null3"/>
              <w:ind w:firstLine="627"/>
              <w:jc w:val="both"/>
            </w:pPr>
            <w:r>
              <w:rPr>
                <w:rFonts w:ascii="仿宋_GB2312" w:hAnsi="仿宋_GB2312" w:cs="仿宋_GB2312" w:eastAsia="仿宋_GB2312"/>
                <w:sz w:val="21"/>
              </w:rPr>
              <w:t>（六）处理与第三人的相邻问题。</w:t>
            </w:r>
          </w:p>
          <w:p>
            <w:pPr>
              <w:pStyle w:val="null3"/>
              <w:ind w:firstLine="627"/>
              <w:jc w:val="both"/>
            </w:pPr>
            <w:r>
              <w:rPr>
                <w:rFonts w:ascii="仿宋_GB2312" w:hAnsi="仿宋_GB2312" w:cs="仿宋_GB2312" w:eastAsia="仿宋_GB2312"/>
                <w:sz w:val="21"/>
              </w:rPr>
              <w:t>（七）协助解决治安安全问题。</w:t>
            </w:r>
          </w:p>
          <w:p>
            <w:pPr>
              <w:pStyle w:val="null3"/>
              <w:ind w:firstLine="627"/>
              <w:jc w:val="both"/>
            </w:pPr>
            <w:r>
              <w:rPr>
                <w:rFonts w:ascii="仿宋_GB2312" w:hAnsi="仿宋_GB2312" w:cs="仿宋_GB2312" w:eastAsia="仿宋_GB2312"/>
                <w:sz w:val="21"/>
              </w:rPr>
              <w:t>四、商务要求（如服务期限、款项结算等）。</w:t>
            </w:r>
          </w:p>
          <w:p>
            <w:pPr>
              <w:pStyle w:val="null3"/>
              <w:ind w:firstLine="627"/>
              <w:jc w:val="both"/>
            </w:pPr>
            <w:r>
              <w:rPr>
                <w:rFonts w:ascii="仿宋_GB2312" w:hAnsi="仿宋_GB2312" w:cs="仿宋_GB2312" w:eastAsia="仿宋_GB2312"/>
                <w:sz w:val="21"/>
              </w:rPr>
              <w:t>（一）服务期限：一年，自合同签订之日起算。</w:t>
            </w:r>
          </w:p>
          <w:p>
            <w:pPr>
              <w:pStyle w:val="null3"/>
              <w:ind w:firstLine="627"/>
              <w:jc w:val="both"/>
            </w:pPr>
            <w:r>
              <w:rPr>
                <w:rFonts w:ascii="仿宋_GB2312" w:hAnsi="仿宋_GB2312" w:cs="仿宋_GB2312" w:eastAsia="仿宋_GB2312"/>
                <w:sz w:val="21"/>
              </w:rPr>
              <w:t>（二）款项结算：分三期支付。</w:t>
            </w:r>
          </w:p>
          <w:p>
            <w:pPr>
              <w:pStyle w:val="null3"/>
              <w:ind w:firstLine="627"/>
              <w:jc w:val="both"/>
            </w:pPr>
            <w:r>
              <w:rPr>
                <w:rFonts w:ascii="仿宋_GB2312" w:hAnsi="仿宋_GB2312" w:cs="仿宋_GB2312" w:eastAsia="仿宋_GB2312"/>
                <w:sz w:val="21"/>
              </w:rPr>
              <w:t>1. 第一期（首付款）：合同签订后10个工作日内，支付合同总金额的50%。</w:t>
            </w:r>
          </w:p>
          <w:p>
            <w:pPr>
              <w:pStyle w:val="null3"/>
              <w:ind w:firstLine="627"/>
              <w:jc w:val="both"/>
            </w:pPr>
            <w:r>
              <w:rPr>
                <w:rFonts w:ascii="仿宋_GB2312" w:hAnsi="仿宋_GB2312" w:cs="仿宋_GB2312" w:eastAsia="仿宋_GB2312"/>
                <w:sz w:val="21"/>
              </w:rPr>
              <w:t>2. 第二期（进度款）：租赁期前半年内，且维修养护经采购人验收合格后10个工作日内，支付合同总金额的30%。</w:t>
            </w:r>
          </w:p>
          <w:p>
            <w:pPr>
              <w:pStyle w:val="null3"/>
              <w:ind w:firstLine="627"/>
              <w:jc w:val="both"/>
            </w:pPr>
            <w:r>
              <w:rPr>
                <w:rFonts w:ascii="仿宋_GB2312" w:hAnsi="仿宋_GB2312" w:cs="仿宋_GB2312" w:eastAsia="仿宋_GB2312"/>
                <w:sz w:val="21"/>
              </w:rPr>
              <w:t>3. 第三期（尾款）：租赁期届满，且维修养护任务经采购人最终验收合格后10个工作日内，支付剩余20%的尾款。</w:t>
            </w:r>
          </w:p>
          <w:p>
            <w:pPr>
              <w:pStyle w:val="null3"/>
              <w:ind w:firstLine="640"/>
              <w:jc w:val="both"/>
            </w:pPr>
            <w:r>
              <w:rPr>
                <w:rFonts w:ascii="仿宋_GB2312" w:hAnsi="仿宋_GB2312" w:cs="仿宋_GB2312" w:eastAsia="仿宋_GB2312"/>
                <w:sz w:val="21"/>
              </w:rPr>
              <w:t>（三）最终验收时，采购人有权组织专家评审作为最终验收的依据之一。</w:t>
            </w:r>
          </w:p>
          <w:p>
            <w:pPr>
              <w:pStyle w:val="null3"/>
              <w:jc w:val="both"/>
            </w:pPr>
            <w:r>
              <w:rPr>
                <w:rFonts w:ascii="仿宋_GB2312" w:hAnsi="仿宋_GB2312" w:cs="仿宋_GB2312" w:eastAsia="仿宋_GB2312"/>
                <w:sz w:val="21"/>
              </w:rPr>
              <w:t>五、其他</w:t>
            </w:r>
          </w:p>
          <w:p>
            <w:pPr>
              <w:pStyle w:val="null3"/>
              <w:ind w:firstLine="627"/>
              <w:jc w:val="both"/>
            </w:pPr>
            <w:r>
              <w:rPr>
                <w:rFonts w:ascii="仿宋_GB2312" w:hAnsi="仿宋_GB2312" w:cs="仿宋_GB2312" w:eastAsia="仿宋_GB2312"/>
                <w:sz w:val="21"/>
              </w:rPr>
              <w:t>（一）供应商应提供《服务保障方案》，包括房屋质量及内部设施维修。</w:t>
            </w:r>
          </w:p>
          <w:p>
            <w:pPr>
              <w:pStyle w:val="null3"/>
              <w:ind w:firstLine="640"/>
              <w:jc w:val="both"/>
            </w:pPr>
            <w:r>
              <w:rPr>
                <w:rFonts w:ascii="仿宋_GB2312" w:hAnsi="仿宋_GB2312" w:cs="仿宋_GB2312" w:eastAsia="仿宋_GB2312"/>
                <w:sz w:val="21"/>
              </w:rPr>
              <w:t>（二）每次维修养护作业完成后，须由采购人指定代表签字确认《验收单》。供应商须每季度将维修养护验收单及影像佐证资料整理后，一份交采购人归档备查，一份自己留存。</w:t>
            </w:r>
          </w:p>
          <w:p>
            <w:pPr>
              <w:pStyle w:val="null3"/>
              <w:ind w:firstLine="627"/>
              <w:jc w:val="both"/>
            </w:pPr>
            <w:r>
              <w:rPr>
                <w:rFonts w:ascii="仿宋_GB2312" w:hAnsi="仿宋_GB2312" w:cs="仿宋_GB2312" w:eastAsia="仿宋_GB2312"/>
                <w:sz w:val="21"/>
              </w:rPr>
              <w:t>（三）保密要求：</w:t>
            </w:r>
          </w:p>
          <w:p>
            <w:pPr>
              <w:pStyle w:val="null3"/>
              <w:ind w:firstLine="627"/>
              <w:jc w:val="both"/>
            </w:pPr>
            <w:r>
              <w:rPr>
                <w:rFonts w:ascii="仿宋_GB2312" w:hAnsi="仿宋_GB2312" w:cs="仿宋_GB2312" w:eastAsia="仿宋_GB2312"/>
                <w:sz w:val="21"/>
              </w:rPr>
              <w:t>1. 供应商安排的维修人员进入采购人办公区域作业时，须规范着装。涉及高空外墙作业时，须佩戴符合国家标准的安全帽、安全带等防护装备。维修人员进入前，须主动向采购人安保部门出示有效身份证件，配合登记与安检。</w:t>
            </w:r>
          </w:p>
          <w:p>
            <w:pPr>
              <w:pStyle w:val="null3"/>
              <w:ind w:firstLine="627"/>
              <w:jc w:val="both"/>
            </w:pPr>
            <w:r>
              <w:rPr>
                <w:rFonts w:ascii="仿宋_GB2312" w:hAnsi="仿宋_GB2312" w:cs="仿宋_GB2312" w:eastAsia="仿宋_GB2312"/>
                <w:sz w:val="21"/>
              </w:rPr>
              <w:t>2. 维修人员需遵守采购人保密要求，维修时须由专人陪同，不得随意拍照、录音。</w:t>
            </w:r>
          </w:p>
          <w:p>
            <w:pPr>
              <w:pStyle w:val="null3"/>
              <w:ind w:firstLine="627"/>
              <w:jc w:val="both"/>
            </w:pPr>
            <w:r>
              <w:rPr>
                <w:rFonts w:ascii="仿宋_GB2312" w:hAnsi="仿宋_GB2312" w:cs="仿宋_GB2312" w:eastAsia="仿宋_GB2312"/>
                <w:sz w:val="21"/>
              </w:rPr>
              <w:t>（四）采购人根据工作需要，在不危及大楼主体结构的前提下，对租赁区域内提出的功能布局相关调整改造需求，供应商应配合实施并承担相关费用。</w:t>
            </w:r>
          </w:p>
          <w:p>
            <w:pPr>
              <w:pStyle w:val="null3"/>
              <w:ind w:firstLine="627"/>
              <w:jc w:val="both"/>
            </w:pPr>
            <w:r>
              <w:rPr>
                <w:rFonts w:ascii="仿宋_GB2312" w:hAnsi="仿宋_GB2312" w:cs="仿宋_GB2312" w:eastAsia="仿宋_GB2312"/>
                <w:sz w:val="21"/>
              </w:rPr>
              <w:t>（五）因房屋产权纠纷、供应商债务等非采购人原因，导致滋事信访等影响采购人正常办公秩序或造成负面社会舆论的行为，供应商须在接到采购人通知10分钟内派授权代表到场处置，并负责将第三方人员带离现场、进行法律解释与债务协商。在此期间，供应商须承担现场的安保升级费用及因封控导致的采购人额外办公成本。</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一年，自合同签订之日起算。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进度款，租赁期前半年内，且维修养护经采购人验收合格后，达到付款条件起10个工作日内，支付合同总金额的30.0%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进度款，租赁期届满，且维修养护任务经采购人最终验收合格后，达到付款条件起10个工作日内，支付合同总金额的20.0%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依据《民法典》、《中华人民共和国政府采购法》得相关条款和本合同约定。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1、提供有效合格的统一社会信用代码的营业执照，其他组织经营的须提供合法凭证，自然人的提供身份证明文件; 2、税收缴纳证明：提供2026年1月1日至今任意一个月的缴费凭据或提供承诺函；（依法免税的投标人应提供相关文件证明）。 3、社会保障资金缴纳证明：提供2026年1月1日至今任意一个月的的缴纳社保缴费凭据或社保机构开具的社会保险参保缴费情况证明或提供承诺函；（依法不需要缴纳社会保障资金的投标人应提供相关证明）。 4、供应商不得为“信用中国”网站（w ww.creditchina.gov.cn）中列入失信被执行人和重大税收违法失信主体”，不得为中国政府采购网（www.ccgp.gov.cn）政府采购严重违法失信行为记录名单中被财政部门禁止参加政 府采购活动的供应商。 5、法定代表人授权委托书（附法定代表人身份证复印件）及被授权人身份证（法定代表人参加谈判时,只需提供法定代表人身份证）； 6、参加政府采购活动前三年内，在经营活动中没有重大违法记录的书面声明； 7、具备履行合同所必须的设备和专业技术能力的书面声明;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分项报价表.docx 商务响应说明书.docx 类似项目业绩.docx 中小企业声明函 残疾人福利性单位声明函 服务响应说明书.docx 标的清单 报价表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会计师事务所或审计机构审计并通过注册会计师行业统一监管平台（http://acc.mof.gov.cn/）备案赋码的财务审计报告（成立时间至提交单一来源响应文件截止时间不足一年的可提供成立后任意时段的资产负债表、利润表、现金流量表），或单一来源截止时间前六个月内基本账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本项目全部面向小微企业采购。</w:t>
            </w:r>
          </w:p>
        </w:tc>
        <w:tc>
          <w:tcPr>
            <w:tcW w:type="dxa" w:w="3322"/>
          </w:tcPr>
          <w:p>
            <w:pPr>
              <w:pStyle w:val="null3"/>
            </w:pPr>
            <w:r>
              <w:rPr>
                <w:rFonts w:ascii="仿宋_GB2312" w:hAnsi="仿宋_GB2312" w:cs="仿宋_GB2312" w:eastAsia="仿宋_GB2312"/>
              </w:rPr>
              <w:t>参与的供应商服务全部由符合政策要求的小微企业承接。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（1）《国务院办公厅关于建立政府强制采购节能产品制度的通知》（国办发〔2007〕51号）； （2）《关于印发环境标志产品政府采购品目清单的通知》（财库〔2019〕18号）； （3）《关于印发节能产品政府采购品目清单的通知》（财库〔2019〕19号）； （4）《财政部 司法部关于政府采购支持监狱企业发展有关问题的通知》（财库〔2014〕68号）； （5）《关于促进残疾人就业政府采购政策的通知》（财库〔2017〕141号）； （6）《关于调整优化节能产品、环境标志产品政府采购执行机制的通知》（财库〔2019〕9号）；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（13）《陕西省财政厅 中国人民银行西安分行关于深入推进政府采购信用融资业务通知》(陕财办20235号)； （14）《国务院办公厅关于在政府采购中实施本国产品标准及相关政策的通知》国办发〔2025〕34号； （15）如有最新颁布的政府采购政策，按最新的文件执行。 若享受以上政策优惠的企业，须提供相应声明函。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 分项报价表.docx 商务响应说明书.docx 类似项目业绩.docx 中小企业声明函 残疾人福利性单位声明函 服务响应说明书.docx 标的清单 报价表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分项报价表.docx 商务响应说明书.docx 类似项目业绩.docx 中小企业声明函 残疾人福利性单位声明函 服务响应说明书.docx 标的清单 报价表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磋商响应报价是否超过项目采购预算。</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磋商响应文件的响应性</w:t>
            </w:r>
          </w:p>
        </w:tc>
        <w:tc>
          <w:tcPr>
            <w:tcW w:type="dxa" w:w="3322"/>
          </w:tcPr>
          <w:p>
            <w:pPr>
              <w:pStyle w:val="null3"/>
            </w:pPr>
            <w:r>
              <w:rPr>
                <w:rFonts w:ascii="仿宋_GB2312" w:hAnsi="仿宋_GB2312" w:cs="仿宋_GB2312" w:eastAsia="仿宋_GB2312"/>
              </w:rPr>
              <w:t>磋商有效期是否符合磋商文件要求；磋商响应服务方案是否有重大缺漏项、偏离；磋商响应商务条款是否有重大偏离；技术指标是否出现虚假响应；对合同中规定的双方的权利和义务是否做出了实质性修改。</w:t>
            </w:r>
          </w:p>
        </w:tc>
        <w:tc>
          <w:tcPr>
            <w:tcW w:type="dxa" w:w="1661"/>
          </w:tcPr>
          <w:p>
            <w:pPr>
              <w:pStyle w:val="null3"/>
            </w:pPr>
            <w:r>
              <w:rPr>
                <w:rFonts w:ascii="仿宋_GB2312" w:hAnsi="仿宋_GB2312" w:cs="仿宋_GB2312" w:eastAsia="仿宋_GB2312"/>
              </w:rPr>
              <w:t>响应文件封面 分项报价表.docx 商务响应说明书.docx 类似项目业绩.docx 中小企业声明函 残疾人福利性单位声明函 服务响应说明书.docx 标的清单 报价表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本项目为专门面向小微企业项目</w:t>
            </w:r>
          </w:p>
        </w:tc>
        <w:tc>
          <w:tcPr>
            <w:tcW w:type="dxa" w:w="3322"/>
          </w:tcPr>
          <w:p>
            <w:pPr>
              <w:pStyle w:val="null3"/>
            </w:pPr>
            <w:r>
              <w:rPr>
                <w:rFonts w:ascii="仿宋_GB2312" w:hAnsi="仿宋_GB2312" w:cs="仿宋_GB2312" w:eastAsia="仿宋_GB2312"/>
              </w:rPr>
              <w:t>本项目为专门面向小微企业采购，供应商应为小型企业、微型企业或监狱企业或残疾人福利性单位。供应商应为小型企业、微型企业的，提供《中小企业声明函》；本项目采购标的对应的中小企业划分标准所属行业为：租赁和商务服务业；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详见附件：服务响应说明书.docx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详见附件：商务响应说明书.docx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