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5CE45">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采购需求</w:t>
      </w:r>
    </w:p>
    <w:p w14:paraId="38E16502">
      <w:pPr>
        <w:pStyle w:val="15"/>
        <w:numPr>
          <w:ilvl w:val="0"/>
          <w:numId w:val="1"/>
        </w:numPr>
        <w:ind w:firstLine="402" w:firstLineChars="200"/>
        <w:jc w:val="both"/>
        <w:rPr>
          <w:rFonts w:ascii="仿宋_GB2312" w:hAnsi="仿宋_GB2312" w:eastAsia="仿宋_GB2312" w:cs="仿宋_GB2312"/>
          <w:b/>
          <w:color w:val="auto"/>
        </w:rPr>
      </w:pPr>
      <w:r>
        <w:rPr>
          <w:rFonts w:ascii="仿宋_GB2312" w:hAnsi="仿宋_GB2312" w:eastAsia="仿宋_GB2312" w:cs="仿宋_GB2312"/>
          <w:b/>
          <w:color w:val="auto"/>
        </w:rPr>
        <w:t>项目概况</w:t>
      </w:r>
    </w:p>
    <w:p w14:paraId="5870AF72">
      <w:pPr>
        <w:pStyle w:val="15"/>
        <w:ind w:firstLine="380"/>
        <w:jc w:val="left"/>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eastAsia="zh-CN"/>
        </w:rPr>
        <w:t>市场监管局高新区分局采购综合监管平台2026年劳务外包服务，工作岗位分为项目资料整理对接岗、业务专项服务岗、系统数据维护岗、系统监控管理岗、智慧网格管理岗。</w:t>
      </w:r>
      <w:r>
        <w:rPr>
          <w:rFonts w:hint="eastAsia" w:ascii="仿宋_GB2312" w:hAnsi="仿宋_GB2312" w:eastAsia="仿宋_GB2312" w:cs="仿宋_GB2312"/>
          <w:color w:val="auto"/>
          <w:lang w:val="en-US" w:eastAsia="zh-CN"/>
        </w:rPr>
        <w:t>本项目需提供5名工作人员，每个工作岗位1人。</w:t>
      </w:r>
    </w:p>
    <w:p w14:paraId="521991F9">
      <w:pPr>
        <w:pStyle w:val="15"/>
        <w:ind w:firstLine="380"/>
        <w:jc w:val="left"/>
        <w:rPr>
          <w:rFonts w:hint="eastAsia" w:ascii="仿宋_GB2312" w:hAnsi="仿宋_GB2312" w:eastAsia="仿宋_GB2312" w:cs="仿宋_GB2312"/>
          <w:b/>
          <w:bCs/>
          <w:color w:val="auto"/>
          <w:lang w:val="en-US" w:eastAsia="zh-CN"/>
        </w:rPr>
      </w:pPr>
      <w:r>
        <w:rPr>
          <w:rFonts w:ascii="仿宋_GB2312" w:hAnsi="仿宋_GB2312" w:eastAsia="仿宋_GB2312" w:cs="仿宋_GB2312"/>
          <w:b/>
          <w:color w:val="auto"/>
        </w:rPr>
        <w:t>二、</w:t>
      </w:r>
      <w:r>
        <w:rPr>
          <w:rFonts w:hint="eastAsia" w:ascii="仿宋_GB2312" w:hAnsi="仿宋_GB2312" w:eastAsia="仿宋_GB2312" w:cs="仿宋_GB2312"/>
          <w:b/>
          <w:bCs/>
          <w:color w:val="auto"/>
          <w:lang w:val="en-US" w:eastAsia="zh-CN"/>
        </w:rPr>
        <w:t>供应商基本要求</w:t>
      </w:r>
    </w:p>
    <w:p w14:paraId="75FFA76C">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1.为确保高新区市场综合监管平台运行和相关工作的高效推进，满足平台数据分析和监管的实际需求，供应商须具有丰富的政务工作经验，并能够与政府相关部门密切协作，高效沟通，保持良好的协作关系。</w:t>
      </w:r>
    </w:p>
    <w:p w14:paraId="385E8472">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2.供应商需熟悉掌握国家和省市大政方针、政策法规，以及高新区各项部门的工作职能、职责、规范、标准和要求。</w:t>
      </w:r>
    </w:p>
    <w:p w14:paraId="4070D5A7">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3.为高新区市场综合监管平台建设和运行工作开展的质量和水平，供应商须在工作人员的招聘、培训、管理和考核等方面，具有完备的规章制度和管理体系，确保有高层次、高素质的工作人员从事具体业务工作，满足平台建设和运行需求。</w:t>
      </w:r>
    </w:p>
    <w:p w14:paraId="4BD672D4">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4.供应商须具备丰富的人员储备和库存，能够按照高新区市场综合监管平台运行和相关工作的节奏，及时选调高素质的工作人员，充分到工作岗位开展工作。</w:t>
      </w:r>
    </w:p>
    <w:p w14:paraId="0EE450EF">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5.为了不断的提升工作绩效，供应商须及时对高新区市场综合监管平台运行和相关工作进行情况分析，提出合理建议，改进完善服务措施，遵照工作岗位的各项规定和要求，做好日常培训、服务标准、目标及日常管理等工作。</w:t>
      </w:r>
    </w:p>
    <w:p w14:paraId="53AA2140">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6.为避免合作中出现不必要的纠纷，要求供应商财务状况良好，日常运行健康有序，管理规范，特别是在劳动用工方面，能都严格按照《中华人民共和国劳动法》执行，没有相关负面案例。</w:t>
      </w:r>
    </w:p>
    <w:p w14:paraId="1C3E3E57">
      <w:pPr>
        <w:pStyle w:val="15"/>
        <w:ind w:firstLine="380"/>
        <w:jc w:val="left"/>
        <w:rPr>
          <w:rFonts w:hint="eastAsia" w:ascii="仿宋_GB2312" w:hAnsi="仿宋_GB2312" w:eastAsia="仿宋_GB2312" w:cs="仿宋_GB2312"/>
          <w:b/>
          <w:bCs/>
          <w:color w:val="auto"/>
        </w:rPr>
      </w:pPr>
      <w:r>
        <w:rPr>
          <w:rFonts w:hint="eastAsia" w:ascii="仿宋_GB2312" w:hAnsi="仿宋_GB2312" w:eastAsia="仿宋_GB2312" w:cs="仿宋_GB2312"/>
          <w:b/>
          <w:bCs/>
          <w:color w:val="auto"/>
          <w:lang w:val="en-US" w:eastAsia="zh-CN"/>
        </w:rPr>
        <w:t>三、</w:t>
      </w:r>
      <w:r>
        <w:rPr>
          <w:rFonts w:hint="eastAsia" w:ascii="仿宋_GB2312" w:hAnsi="仿宋_GB2312" w:eastAsia="仿宋_GB2312" w:cs="仿宋_GB2312"/>
          <w:b/>
          <w:bCs/>
          <w:color w:val="auto"/>
        </w:rPr>
        <w:t>工作人员的基本条件</w:t>
      </w:r>
    </w:p>
    <w:p w14:paraId="4124CBEE">
      <w:pPr>
        <w:pStyle w:val="15"/>
        <w:ind w:firstLine="380"/>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为保证高新区市场综合监管平台建设和运行工作的开展，供应商提供的工作人员应具备以下条件：本科及以上学历，根据岗位需求结合人员综合能力、相关工作经历综合评定，性别、民族不限；工商管理、经济管理、中文、计算机及法律专业优先；具有从事政务公文写作工作、计算机软件工作经验的优先；身心健康、形象好、气质佳；有较强的沟通和表达能力，待人处事热情大方，具有一定的组织协调及独立处理问题的能力。工作严谨，反映敏锐，思维清晰；熟悉电脑操作，熟练使用office等办公软件。</w:t>
      </w:r>
    </w:p>
    <w:p w14:paraId="1E2C888C">
      <w:pPr>
        <w:pStyle w:val="15"/>
        <w:ind w:firstLine="380"/>
        <w:jc w:val="left"/>
        <w:rPr>
          <w:rFonts w:hint="eastAsia" w:ascii="仿宋_GB2312" w:hAnsi="仿宋_GB2312" w:eastAsia="仿宋_GB2312" w:cs="仿宋_GB2312"/>
          <w:b/>
          <w:bCs/>
          <w:color w:val="auto"/>
          <w:lang w:val="en-US" w:eastAsia="zh-CN"/>
        </w:rPr>
      </w:pPr>
      <w:r>
        <w:rPr>
          <w:rFonts w:hint="eastAsia" w:ascii="仿宋_GB2312" w:hAnsi="仿宋_GB2312" w:eastAsia="仿宋_GB2312" w:cs="仿宋_GB2312"/>
          <w:b/>
          <w:bCs/>
          <w:color w:val="auto"/>
          <w:lang w:val="en-US" w:eastAsia="zh-CN"/>
        </w:rPr>
        <w:t>四、工作人员的职责范围及要求</w:t>
      </w:r>
    </w:p>
    <w:p w14:paraId="0104DD73">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1、能够熟悉高新区市场综合监管平台各项功能和运行要求，熟知监管平台的各项工作参数，配合开发建设单位完善平台各项工作。</w:t>
      </w:r>
    </w:p>
    <w:p w14:paraId="0B29C31D">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2、协助高新区各职能部门完成智慧监管等工作任务。</w:t>
      </w:r>
    </w:p>
    <w:p w14:paraId="01B4757C">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3、建立完善高新区市场综合监管平台工作程序、工作制度、工作流程和协同监管规则。</w:t>
      </w:r>
    </w:p>
    <w:p w14:paraId="5E5F39DA">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4、认真做好各职能部门开展协同监管登记工作，建立协同监管工作台账，科学统计、分类管理。</w:t>
      </w:r>
    </w:p>
    <w:p w14:paraId="544EC8B2">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5、对协同监管工作事项，负责全程跟踪，明确工作事项、开展时间、责任部门、办理时限、办结时间。</w:t>
      </w:r>
    </w:p>
    <w:p w14:paraId="7130BC0F">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6、能够熟练运行高新区市场综合监管平台，开展相关数据的统计、分析，提出合理化意见和建议。</w:t>
      </w:r>
    </w:p>
    <w:p w14:paraId="094BCA50">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7、定期对高新区市场综合监管平台运行情况进行分析，提出意见和建议，不断改进完善综合监管平台。</w:t>
      </w:r>
    </w:p>
    <w:p w14:paraId="052EA0A0">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8、按照工作要求，做好日常培训、服务标准、目的管理等工作。</w:t>
      </w:r>
    </w:p>
    <w:p w14:paraId="50E424A7">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9、严格遵守高新区市场综合监管平台办公室各项规章制度和考勤管理规定，确保工作时间全程值守。</w:t>
      </w:r>
    </w:p>
    <w:p w14:paraId="01F7F1D2">
      <w:pPr>
        <w:pStyle w:val="15"/>
        <w:ind w:firstLine="380"/>
        <w:jc w:val="left"/>
        <w:rPr>
          <w:rFonts w:hint="eastAsia" w:ascii="仿宋_GB2312" w:hAnsi="仿宋_GB2312" w:eastAsia="仿宋_GB2312" w:cs="仿宋_GB2312"/>
          <w:b/>
          <w:bCs/>
          <w:color w:val="auto"/>
          <w:lang w:val="en-US" w:eastAsia="zh-CN"/>
        </w:rPr>
      </w:pPr>
      <w:r>
        <w:rPr>
          <w:rFonts w:hint="eastAsia" w:ascii="仿宋_GB2312" w:hAnsi="仿宋_GB2312" w:eastAsia="仿宋_GB2312" w:cs="仿宋_GB2312"/>
          <w:b/>
          <w:bCs/>
          <w:color w:val="auto"/>
          <w:lang w:val="en-US" w:eastAsia="zh-CN"/>
        </w:rPr>
        <w:t>五、日常考核和费用管理</w:t>
      </w:r>
    </w:p>
    <w:p w14:paraId="5A7094A7">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1.由高新区市场综合监管平台领导小组负责，通过问卷调查、委托第三方评估、日常考核等方式，对供应商进行综合考核和总体评估。考核评估结果与日常费用给付、年度合同续签等进行挂钩。</w:t>
      </w:r>
    </w:p>
    <w:p w14:paraId="7CF94C4F">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2.由高新区市场综合监管平台领导小组牵头，会同各相关之职能部门，对工作人员的业务能力、总体素养进行日常考核；对日常考核管理中不适宜岗位的工作人员，供应商应及时作出人员调整和补充，确保岗位工作不受影响。</w:t>
      </w:r>
    </w:p>
    <w:p w14:paraId="62FC5D31">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3.供应商对高新区市场综合监管平台工作人员应建立完善的考核制度，考核结果与工作人员的工资、奖金收入直接挂钩。</w:t>
      </w:r>
    </w:p>
    <w:p w14:paraId="53E748CC">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4.为保证工作人员队伍的总体稳定，保障工作人员的基本权益，供应商应按照国家相关法律法规的规定，为其聘用的全体工作人员建立完善的工资体系，福利体系和社会保障体系。</w:t>
      </w:r>
    </w:p>
    <w:p w14:paraId="24BE5B87">
      <w:pPr>
        <w:pStyle w:val="15"/>
        <w:ind w:firstLine="380"/>
        <w:jc w:val="left"/>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5.为保障人员业务工作的实际需求，供应商对工作人员总支出（包括工资、奖金、补贴、福利，以及“五险一金”等社会保障），服务费用需明确列示明细（包括外包人员薪资、社保公积金单位缴纳部分、服务管理费等），收费标准清晰透明，接受用人单位及第三方审计机构的审计核查。</w:t>
      </w:r>
    </w:p>
    <w:p w14:paraId="60B8364A">
      <w:pPr>
        <w:pStyle w:val="15"/>
        <w:ind w:firstLine="380"/>
        <w:jc w:val="left"/>
        <w:rPr>
          <w:rFonts w:ascii="仿宋_GB2312" w:hAnsi="仿宋_GB2312" w:eastAsia="仿宋_GB2312" w:cs="仿宋_GB2312"/>
          <w:b/>
          <w:bCs/>
          <w:color w:val="auto"/>
        </w:rPr>
      </w:pPr>
      <w:r>
        <w:rPr>
          <w:rFonts w:hint="eastAsia" w:ascii="仿宋_GB2312" w:hAnsi="仿宋_GB2312" w:eastAsia="仿宋_GB2312" w:cs="仿宋_GB2312"/>
          <w:b/>
          <w:bCs/>
          <w:color w:val="auto"/>
          <w:lang w:val="en-US" w:eastAsia="zh-CN"/>
        </w:rPr>
        <w:t>六</w:t>
      </w:r>
      <w:r>
        <w:rPr>
          <w:rFonts w:ascii="仿宋_GB2312" w:hAnsi="仿宋_GB2312" w:eastAsia="仿宋_GB2312" w:cs="仿宋_GB2312"/>
          <w:b/>
          <w:bCs/>
          <w:color w:val="auto"/>
        </w:rPr>
        <w:t>、商务要求</w:t>
      </w:r>
    </w:p>
    <w:p w14:paraId="7A17EF2C">
      <w:pPr>
        <w:pStyle w:val="15"/>
        <w:ind w:firstLine="380"/>
        <w:jc w:val="left"/>
        <w:rPr>
          <w:rFonts w:hint="eastAsia" w:ascii="仿宋_GB2312" w:hAnsi="仿宋_GB2312" w:eastAsia="仿宋_GB2312" w:cs="仿宋_GB2312"/>
          <w:color w:val="auto"/>
          <w:highlight w:val="none"/>
        </w:rPr>
      </w:pPr>
      <w:r>
        <w:rPr>
          <w:rFonts w:ascii="仿宋_GB2312" w:hAnsi="仿宋_GB2312" w:eastAsia="仿宋_GB2312" w:cs="仿宋_GB2312"/>
          <w:color w:val="auto"/>
          <w:highlight w:val="none"/>
        </w:rPr>
        <w:t>（一）服务期限：</w:t>
      </w:r>
      <w:r>
        <w:rPr>
          <w:rFonts w:hint="eastAsia" w:ascii="仿宋_GB2312" w:hAnsi="仿宋_GB2312" w:eastAsia="仿宋_GB2312" w:cs="仿宋_GB2312"/>
          <w:color w:val="auto"/>
          <w:highlight w:val="none"/>
          <w:lang w:val="en-US" w:eastAsia="zh-CN"/>
        </w:rPr>
        <w:t>自合同签订之日起一年</w:t>
      </w:r>
      <w:r>
        <w:rPr>
          <w:rFonts w:hint="eastAsia" w:ascii="仿宋_GB2312" w:hAnsi="仿宋_GB2312" w:eastAsia="仿宋_GB2312" w:cs="仿宋_GB2312"/>
          <w:color w:val="auto"/>
          <w:highlight w:val="none"/>
        </w:rPr>
        <w:t>。</w:t>
      </w:r>
    </w:p>
    <w:p w14:paraId="0FE381E2">
      <w:pPr>
        <w:pStyle w:val="15"/>
        <w:ind w:firstLine="380"/>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color w:val="auto"/>
          <w:highlight w:val="none"/>
          <w:lang w:val="en-US" w:eastAsia="zh-CN"/>
        </w:rPr>
        <w:t>二</w:t>
      </w: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snapToGrid w:val="0"/>
          <w:color w:val="auto"/>
          <w:spacing w:val="-33"/>
          <w:kern w:val="0"/>
          <w:sz w:val="20"/>
          <w:szCs w:val="20"/>
          <w:highlight w:val="none"/>
          <w:lang w:eastAsia="en-US"/>
        </w:rPr>
        <w:t xml:space="preserve"> </w:t>
      </w:r>
      <w:r>
        <w:rPr>
          <w:rFonts w:hint="eastAsia" w:ascii="仿宋_GB2312" w:hAnsi="仿宋_GB2312" w:eastAsia="仿宋_GB2312" w:cs="仿宋_GB2312"/>
          <w:snapToGrid w:val="0"/>
          <w:color w:val="auto"/>
          <w:spacing w:val="-1"/>
          <w:kern w:val="0"/>
          <w:sz w:val="20"/>
          <w:szCs w:val="20"/>
          <w:highlight w:val="none"/>
          <w:lang w:eastAsia="en-US"/>
        </w:rPr>
        <w:t>合同</w:t>
      </w:r>
      <w:r>
        <w:rPr>
          <w:rFonts w:hint="eastAsia" w:ascii="仿宋_GB2312" w:hAnsi="仿宋_GB2312" w:eastAsia="仿宋_GB2312" w:cs="仿宋_GB2312"/>
          <w:snapToGrid w:val="0"/>
          <w:color w:val="auto"/>
          <w:spacing w:val="-1"/>
          <w:kern w:val="0"/>
          <w:sz w:val="20"/>
          <w:szCs w:val="20"/>
          <w:highlight w:val="none"/>
          <w:lang w:val="en-US" w:eastAsia="zh-CN"/>
        </w:rPr>
        <w:t>续签要求</w:t>
      </w:r>
      <w:r>
        <w:rPr>
          <w:rFonts w:hint="eastAsia" w:ascii="仿宋_GB2312" w:hAnsi="仿宋_GB2312" w:eastAsia="仿宋_GB2312" w:cs="仿宋_GB2312"/>
          <w:color w:val="auto"/>
          <w:highlight w:val="none"/>
          <w:lang w:eastAsia="en-US"/>
        </w:rPr>
        <w:t>：合同签订后一年。在后期项目实施阶段甲方可根据《政府购买服务管理</w:t>
      </w:r>
      <w:r>
        <w:rPr>
          <w:rFonts w:hint="eastAsia" w:ascii="仿宋_GB2312" w:hAnsi="仿宋_GB2312" w:eastAsia="仿宋_GB2312" w:cs="仿宋_GB2312"/>
          <w:snapToGrid w:val="0"/>
          <w:color w:val="auto"/>
          <w:spacing w:val="-3"/>
          <w:kern w:val="0"/>
          <w:sz w:val="20"/>
          <w:szCs w:val="20"/>
          <w:highlight w:val="none"/>
          <w:lang w:eastAsia="en-US"/>
        </w:rPr>
        <w:t>办法》（财政部令第</w:t>
      </w:r>
      <w:r>
        <w:rPr>
          <w:rFonts w:hint="eastAsia" w:ascii="仿宋_GB2312" w:hAnsi="仿宋_GB2312" w:eastAsia="仿宋_GB2312" w:cs="仿宋_GB2312"/>
          <w:snapToGrid w:val="0"/>
          <w:color w:val="auto"/>
          <w:spacing w:val="-34"/>
          <w:kern w:val="0"/>
          <w:sz w:val="20"/>
          <w:szCs w:val="20"/>
          <w:highlight w:val="none"/>
          <w:lang w:eastAsia="en-US"/>
        </w:rPr>
        <w:t xml:space="preserve"> </w:t>
      </w:r>
      <w:r>
        <w:rPr>
          <w:rFonts w:hint="eastAsia" w:ascii="仿宋_GB2312" w:hAnsi="仿宋_GB2312" w:eastAsia="仿宋_GB2312" w:cs="仿宋_GB2312"/>
          <w:snapToGrid w:val="0"/>
          <w:color w:val="auto"/>
          <w:spacing w:val="-3"/>
          <w:kern w:val="0"/>
          <w:sz w:val="20"/>
          <w:szCs w:val="20"/>
          <w:highlight w:val="none"/>
          <w:lang w:eastAsia="en-US"/>
        </w:rPr>
        <w:t>102</w:t>
      </w:r>
      <w:r>
        <w:rPr>
          <w:rFonts w:hint="eastAsia" w:ascii="仿宋_GB2312" w:hAnsi="仿宋_GB2312" w:eastAsia="仿宋_GB2312" w:cs="仿宋_GB2312"/>
          <w:snapToGrid w:val="0"/>
          <w:color w:val="auto"/>
          <w:spacing w:val="-38"/>
          <w:kern w:val="0"/>
          <w:sz w:val="20"/>
          <w:szCs w:val="20"/>
          <w:highlight w:val="none"/>
          <w:lang w:eastAsia="en-US"/>
        </w:rPr>
        <w:t xml:space="preserve"> </w:t>
      </w:r>
      <w:r>
        <w:rPr>
          <w:rFonts w:hint="eastAsia" w:ascii="仿宋_GB2312" w:hAnsi="仿宋_GB2312" w:eastAsia="仿宋_GB2312" w:cs="仿宋_GB2312"/>
          <w:snapToGrid w:val="0"/>
          <w:color w:val="auto"/>
          <w:spacing w:val="-3"/>
          <w:kern w:val="0"/>
          <w:sz w:val="20"/>
          <w:szCs w:val="20"/>
          <w:highlight w:val="none"/>
          <w:lang w:eastAsia="en-US"/>
        </w:rPr>
        <w:t>号）文件的规定，在费用不变，合同内容不变，且符</w:t>
      </w:r>
      <w:r>
        <w:rPr>
          <w:rFonts w:hint="eastAsia" w:ascii="仿宋_GB2312" w:hAnsi="仿宋_GB2312" w:eastAsia="仿宋_GB2312" w:cs="仿宋_GB2312"/>
          <w:snapToGrid w:val="0"/>
          <w:color w:val="auto"/>
          <w:spacing w:val="-2"/>
          <w:kern w:val="0"/>
          <w:sz w:val="20"/>
          <w:szCs w:val="20"/>
          <w:highlight w:val="none"/>
          <w:lang w:eastAsia="en-US"/>
        </w:rPr>
        <w:t>合合同服务内容和要求，量化考核达标的情况下，为了保证服务工作的延续性，可进行续签，续签合同期限不超过两年。</w:t>
      </w:r>
    </w:p>
    <w:p w14:paraId="42742DCC">
      <w:pPr>
        <w:spacing w:line="360" w:lineRule="auto"/>
        <w:ind w:firstLine="480" w:firstLineChars="200"/>
        <w:jc w:val="left"/>
        <w:rPr>
          <w:rFonts w:ascii="仿宋" w:hAnsi="仿宋" w:eastAsia="仿宋" w:cs="仿宋"/>
          <w:sz w:val="24"/>
          <w:szCs w:val="24"/>
        </w:rPr>
      </w:pP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color w:val="auto"/>
          <w:highlight w:val="none"/>
          <w:lang w:val="en-US" w:eastAsia="zh-CN"/>
        </w:rPr>
        <w:t>三</w:t>
      </w:r>
      <w:r>
        <w:rPr>
          <w:rFonts w:hint="eastAsia" w:ascii="仿宋_GB2312" w:hAnsi="仿宋_GB2312" w:eastAsia="仿宋_GB2312" w:cs="仿宋_GB2312"/>
          <w:color w:val="auto"/>
          <w:highlight w:val="none"/>
          <w:lang w:eastAsia="zh-CN"/>
        </w:rPr>
        <w:t>）</w:t>
      </w:r>
      <w:r>
        <w:rPr>
          <w:rFonts w:ascii="仿宋_GB2312" w:hAnsi="仿宋_GB2312" w:eastAsia="仿宋_GB2312" w:cs="仿宋_GB2312"/>
          <w:color w:val="auto"/>
          <w:highlight w:val="none"/>
        </w:rPr>
        <w:t>服务地点：</w:t>
      </w:r>
      <w:r>
        <w:rPr>
          <w:rFonts w:hint="eastAsia" w:ascii="仿宋_GB2312" w:hAnsi="仿宋_GB2312" w:eastAsia="仿宋_GB2312" w:cs="仿宋_GB2312"/>
          <w:color w:val="auto"/>
          <w:highlight w:val="none"/>
        </w:rPr>
        <w:t>锦业路一号都市之门A座</w:t>
      </w:r>
      <w:r>
        <w:rPr>
          <w:rFonts w:hint="eastAsia" w:ascii="仿宋_GB2312" w:hAnsi="仿宋_GB2312" w:eastAsia="仿宋_GB2312" w:cs="仿宋_GB2312"/>
          <w:color w:val="auto"/>
          <w:highlight w:val="none"/>
          <w:lang w:val="en-US" w:eastAsia="zh-CN"/>
        </w:rPr>
        <w:t>。</w:t>
      </w:r>
      <w:bookmarkStart w:id="0" w:name="_GoBack"/>
      <w:bookmarkEnd w:id="0"/>
    </w:p>
    <w:p w14:paraId="37FE15D4">
      <w:pPr>
        <w:pStyle w:val="2"/>
        <w:rPr>
          <w:sz w:val="24"/>
          <w:szCs w:val="24"/>
        </w:rPr>
      </w:pPr>
    </w:p>
    <w:p w14:paraId="76A96CC3">
      <w:pPr>
        <w:rPr>
          <w:sz w:val="24"/>
          <w:szCs w:val="24"/>
        </w:rPr>
      </w:pPr>
    </w:p>
    <w:p w14:paraId="789726C4">
      <w:pPr>
        <w:spacing w:line="360" w:lineRule="auto"/>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5BD358"/>
    <w:multiLevelType w:val="singleLevel"/>
    <w:tmpl w:val="605BD35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0YjJlMzMzZGU3MjJkMThjN2NkYjliNDkwNTA3MzEifQ=="/>
  </w:docVars>
  <w:rsids>
    <w:rsidRoot w:val="61442A15"/>
    <w:rsid w:val="00015D20"/>
    <w:rsid w:val="000D2CDF"/>
    <w:rsid w:val="00207239"/>
    <w:rsid w:val="00280089"/>
    <w:rsid w:val="002E19BF"/>
    <w:rsid w:val="00351F29"/>
    <w:rsid w:val="005B0CFC"/>
    <w:rsid w:val="00634605"/>
    <w:rsid w:val="006E2F51"/>
    <w:rsid w:val="00705502"/>
    <w:rsid w:val="00857CA0"/>
    <w:rsid w:val="00A405B2"/>
    <w:rsid w:val="00AC4CA5"/>
    <w:rsid w:val="00B23F37"/>
    <w:rsid w:val="00BF3847"/>
    <w:rsid w:val="00D37432"/>
    <w:rsid w:val="00E841CB"/>
    <w:rsid w:val="06407BFA"/>
    <w:rsid w:val="08042CFD"/>
    <w:rsid w:val="17555641"/>
    <w:rsid w:val="195D44C9"/>
    <w:rsid w:val="1CB6711D"/>
    <w:rsid w:val="1EDF295B"/>
    <w:rsid w:val="23682D37"/>
    <w:rsid w:val="26E36703"/>
    <w:rsid w:val="287E2B0C"/>
    <w:rsid w:val="29EC73E2"/>
    <w:rsid w:val="2BF256F9"/>
    <w:rsid w:val="2D084C8A"/>
    <w:rsid w:val="2E9818A0"/>
    <w:rsid w:val="320D5B9B"/>
    <w:rsid w:val="3D2B40FC"/>
    <w:rsid w:val="45603138"/>
    <w:rsid w:val="4638054E"/>
    <w:rsid w:val="48E0087E"/>
    <w:rsid w:val="4D5B1E18"/>
    <w:rsid w:val="4F252E9A"/>
    <w:rsid w:val="51B20896"/>
    <w:rsid w:val="52961245"/>
    <w:rsid w:val="595E7E8E"/>
    <w:rsid w:val="61442A15"/>
    <w:rsid w:val="644B68D4"/>
    <w:rsid w:val="65564A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link w:val="12"/>
    <w:qFormat/>
    <w:uiPriority w:val="0"/>
    <w:pPr>
      <w:keepNext/>
      <w:keepLines/>
      <w:spacing w:line="360" w:lineRule="auto"/>
      <w:jc w:val="center"/>
      <w:outlineLvl w:val="0"/>
    </w:pPr>
    <w:rPr>
      <w:rFonts w:ascii="Times New Roman"/>
      <w:b/>
      <w:bCs/>
      <w:kern w:val="44"/>
      <w:sz w:val="32"/>
      <w:szCs w:val="32"/>
    </w:rPr>
  </w:style>
  <w:style w:type="paragraph" w:styleId="4">
    <w:name w:val="heading 2"/>
    <w:basedOn w:val="1"/>
    <w:next w:val="1"/>
    <w:link w:val="11"/>
    <w:semiHidden/>
    <w:unhideWhenUsed/>
    <w:qFormat/>
    <w:uiPriority w:val="0"/>
    <w:pPr>
      <w:keepNext/>
      <w:wordWrap w:val="0"/>
      <w:topLinePunct/>
      <w:spacing w:line="360" w:lineRule="auto"/>
      <w:jc w:val="center"/>
      <w:outlineLvl w:val="1"/>
    </w:pPr>
    <w:rPr>
      <w:rFonts w:ascii="Arial" w:hAnsi="Arial"/>
      <w:b/>
      <w:bCs/>
      <w:sz w:val="30"/>
      <w:szCs w:val="32"/>
    </w:rPr>
  </w:style>
  <w:style w:type="paragraph" w:styleId="5">
    <w:name w:val="heading 3"/>
    <w:basedOn w:val="1"/>
    <w:next w:val="1"/>
    <w:link w:val="13"/>
    <w:semiHidden/>
    <w:unhideWhenUsed/>
    <w:qFormat/>
    <w:uiPriority w:val="0"/>
    <w:pPr>
      <w:spacing w:beforeAutospacing="1" w:afterAutospacing="1"/>
      <w:jc w:val="center"/>
      <w:outlineLvl w:val="2"/>
    </w:pPr>
    <w:rPr>
      <w:rFonts w:hint="eastAsia" w:hAnsi="宋体"/>
      <w:b/>
      <w:bCs/>
      <w:sz w:val="30"/>
      <w:szCs w:val="27"/>
    </w:rPr>
  </w:style>
  <w:style w:type="paragraph" w:styleId="6">
    <w:name w:val="heading 4"/>
    <w:basedOn w:val="1"/>
    <w:next w:val="1"/>
    <w:semiHidden/>
    <w:unhideWhenUsed/>
    <w:qFormat/>
    <w:uiPriority w:val="0"/>
    <w:pPr>
      <w:jc w:val="left"/>
      <w:outlineLvl w:val="3"/>
    </w:pPr>
    <w:rPr>
      <w:rFonts w:hint="eastAsia" w:hAnsi="宋体"/>
      <w:b/>
      <w:bCs/>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7">
    <w:name w:val="Normal Indent"/>
    <w:basedOn w:val="1"/>
    <w:qFormat/>
    <w:uiPriority w:val="0"/>
    <w:pPr>
      <w:ind w:firstLine="420" w:firstLineChars="200"/>
    </w:pPr>
  </w:style>
  <w:style w:type="paragraph" w:styleId="8">
    <w:name w:val="footer"/>
    <w:basedOn w:val="1"/>
    <w:qFormat/>
    <w:uiPriority w:val="0"/>
    <w:pPr>
      <w:tabs>
        <w:tab w:val="center" w:pos="4153"/>
        <w:tab w:val="right" w:pos="8306"/>
      </w:tabs>
      <w:snapToGrid w:val="0"/>
      <w:jc w:val="left"/>
    </w:pPr>
    <w:rPr>
      <w:sz w:val="18"/>
    </w:rPr>
  </w:style>
  <w:style w:type="character" w:customStyle="1" w:styleId="11">
    <w:name w:val="标题 2 Char"/>
    <w:link w:val="4"/>
    <w:qFormat/>
    <w:uiPriority w:val="9"/>
    <w:rPr>
      <w:rFonts w:ascii="Arial" w:hAnsi="Arial" w:eastAsia="宋体" w:cs="Times New Roman"/>
      <w:b/>
      <w:bCs/>
      <w:sz w:val="30"/>
      <w:szCs w:val="32"/>
      <w:lang w:eastAsia="zh-CN" w:bidi="ar-SA"/>
    </w:rPr>
  </w:style>
  <w:style w:type="character" w:customStyle="1" w:styleId="12">
    <w:name w:val="标题 1 Char"/>
    <w:link w:val="3"/>
    <w:qFormat/>
    <w:locked/>
    <w:uiPriority w:val="99"/>
    <w:rPr>
      <w:rFonts w:ascii="Times New Roman" w:hAnsi="Times New Roman" w:eastAsia="仿宋" w:cs="Times New Roman"/>
      <w:b/>
      <w:bCs/>
      <w:kern w:val="44"/>
      <w:sz w:val="44"/>
      <w:szCs w:val="44"/>
    </w:rPr>
  </w:style>
  <w:style w:type="character" w:customStyle="1" w:styleId="13">
    <w:name w:val="标题 3 Char"/>
    <w:link w:val="5"/>
    <w:qFormat/>
    <w:locked/>
    <w:uiPriority w:val="99"/>
    <w:rPr>
      <w:rFonts w:ascii="宋体" w:hAnsi="宋体" w:eastAsia="华文仿宋" w:cs="宋体"/>
      <w:b/>
      <w:bCs/>
      <w:kern w:val="2"/>
      <w:sz w:val="30"/>
      <w:szCs w:val="32"/>
    </w:rPr>
  </w:style>
  <w:style w:type="paragraph" w:customStyle="1" w:styleId="14">
    <w:name w:val="Body text|1"/>
    <w:basedOn w:val="1"/>
    <w:qFormat/>
    <w:uiPriority w:val="0"/>
    <w:pPr>
      <w:spacing w:line="360" w:lineRule="auto"/>
      <w:ind w:firstLine="560" w:firstLineChars="200"/>
    </w:pPr>
    <w:rPr>
      <w:rFonts w:hAnsi="宋体" w:cs="宋体"/>
      <w:szCs w:val="22"/>
      <w:lang w:val="zh-TW" w:eastAsia="zh-TW" w:bidi="zh-TW"/>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1819</Words>
  <Characters>1835</Characters>
  <Lines>13</Lines>
  <Paragraphs>3</Paragraphs>
  <TotalTime>0</TotalTime>
  <ScaleCrop>false</ScaleCrop>
  <LinksUpToDate>false</LinksUpToDate>
  <CharactersWithSpaces>1835</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2023-08-10T08:16:00Z</dcterms:created>
  <dc:creator>？</dc:creator>
  <cp:lastModifiedBy>陕西华采招标有限公司</cp:lastModifiedBy>
  <dcterms:modified xsi:type="dcterms:W3CDTF">2026-08-25T06:59:36Z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33C3F410A3644D798273625BCC33F6ED_13</vt:lpwstr>
  </property>
  <property fmtid="{D5CDD505-2E9C-101B-9397-08002B2CF9AE}" pid="4" name="KSOTemplateDocerSaveRecord">
    <vt:lpwstr>eyJoZGlkIjoiZjJhNzdmOTM5YmVkNWYxMDI1ZDJkZDk5YzNhZTc2YzAiLCJ1c2VySWQiOiI5MzY1NjA0ODAifQ==</vt:lpwstr>
  </property>
</Properties>
</file>