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版本号：BYZX2026-10320260714002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2026年度未央区医保基金监管引入第三方服务项目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BYZX2026-103</w:t>
      </w:r>
      <w:r>
        <w:br/>
      </w:r>
      <w:r>
        <w:br/>
      </w:r>
      <w:r>
        <w:br/>
      </w:r>
    </w:p>
    <w:p>
      <w:pPr>
        <w:pStyle w:val="null3"/>
        <w:jc w:val="center"/>
        <w:outlineLvl w:val="2"/>
      </w:pPr>
      <w:r>
        <w:rPr>
          <w:rFonts w:ascii="仿宋_GB2312" w:hAnsi="仿宋_GB2312" w:cs="仿宋_GB2312" w:eastAsia="仿宋_GB2312"/>
          <w:sz w:val="28"/>
          <w:b/>
        </w:rPr>
        <w:t>西安市未央区医保基金监管中心</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西安市未央区医保基金监管中心</w:t>
      </w:r>
      <w:r>
        <w:rPr>
          <w:rFonts w:ascii="仿宋_GB2312" w:hAnsi="仿宋_GB2312" w:cs="仿宋_GB2312" w:eastAsia="仿宋_GB2312"/>
        </w:rPr>
        <w:t>委托，拟对</w:t>
      </w:r>
      <w:r>
        <w:rPr>
          <w:rFonts w:ascii="仿宋_GB2312" w:hAnsi="仿宋_GB2312" w:cs="仿宋_GB2312" w:eastAsia="仿宋_GB2312"/>
        </w:rPr>
        <w:t>2026年度未央区医保基金监管引入第三方服务项目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BYZX2026-103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2026年度未央区医保基金监管引入第三方服务项目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按照未央区医保基金监管中心工作需求，配合开展未央辖区内医保基金行政执法检查等基金监管相关工作。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采购包1（2026年度未央区医保基金监管引入第三方服务）：属于专门面向中小企业采购。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4、控股管理关系：单位负责人为同一人或者存在直接控股、管理关系的不同供应商，不得参加同一合同包下的政府采购活动。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西安市未央区医保基金监管中心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西安市未央区未央大厦B座20楼2004室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西安市未央区医保中心监管中心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029-81628025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陕西省西安市浐灞生态区欧亚大道欧亚国际一期B座1单元10层1007号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账户信息： 开户名称：陕西百岳项目管理咨询有限公司 开户银行：华夏银行股份有限公司西安欧亚大道支行 账 号：1147 4000 0002 2733 9 转账事由：项目名称＋招标代理服务费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西安市未央区医保基金监管中心</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西安市未央区医保基金监管中心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西安市未央区医保基金监管中心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1、竞争性磋商文件、响应文件、澄清表（函）；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地址：西安市浐灞生态区欧亚大道浐河西路666号欧亚国际一期B座1007室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按照未央区医保基金监管中心工作需求，配合开展未央辖区内医保基金行政执法检查等基金监管相关工作。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2026年度未央区医保基金监管引入第三方服务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标的名称：2026年度未央区医保基金监管引入第三方服务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firstLine="560"/>
              <w:jc w:val="both"/>
            </w:pPr>
            <w:r>
              <w:rPr>
                <w:rFonts w:ascii="仿宋_GB2312" w:hAnsi="仿宋_GB2312" w:cs="仿宋_GB2312" w:eastAsia="仿宋_GB2312"/>
                <w:sz w:val="28"/>
              </w:rPr>
              <w:t>按照未央区医保基金监管中心工作需求，配合开展未央辖区内</w:t>
            </w:r>
            <w:r>
              <w:rPr>
                <w:rFonts w:ascii="仿宋_GB2312" w:hAnsi="仿宋_GB2312" w:cs="仿宋_GB2312" w:eastAsia="仿宋_GB2312"/>
                <w:sz w:val="28"/>
              </w:rPr>
              <w:t>医保基金行政执法检查等</w:t>
            </w:r>
            <w:r>
              <w:rPr>
                <w:rFonts w:ascii="仿宋_GB2312" w:hAnsi="仿宋_GB2312" w:cs="仿宋_GB2312" w:eastAsia="仿宋_GB2312"/>
                <w:sz w:val="28"/>
              </w:rPr>
              <w:t>基金监管相关工作</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b/>
              </w:rPr>
              <w:t>服务内容</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b/>
              </w:rPr>
              <w:t>开展未央区医保基金</w:t>
            </w:r>
            <w:r>
              <w:rPr>
                <w:rFonts w:ascii="仿宋_GB2312" w:hAnsi="仿宋_GB2312" w:cs="仿宋_GB2312" w:eastAsia="仿宋_GB2312"/>
                <w:sz w:val="28"/>
                <w:b/>
              </w:rPr>
              <w:t>“</w:t>
            </w:r>
            <w:r>
              <w:rPr>
                <w:rFonts w:ascii="仿宋_GB2312" w:hAnsi="仿宋_GB2312" w:cs="仿宋_GB2312" w:eastAsia="仿宋_GB2312"/>
                <w:sz w:val="28"/>
                <w:b/>
              </w:rPr>
              <w:t>双随机一公开</w:t>
            </w:r>
            <w:r>
              <w:rPr>
                <w:rFonts w:ascii="仿宋_GB2312" w:hAnsi="仿宋_GB2312" w:cs="仿宋_GB2312" w:eastAsia="仿宋_GB2312"/>
                <w:sz w:val="28"/>
                <w:b/>
              </w:rPr>
              <w:t>”监督</w:t>
            </w:r>
            <w:r>
              <w:rPr>
                <w:rFonts w:ascii="仿宋_GB2312" w:hAnsi="仿宋_GB2312" w:cs="仿宋_GB2312" w:eastAsia="仿宋_GB2312"/>
                <w:sz w:val="28"/>
                <w:b/>
              </w:rPr>
              <w:t>检查</w:t>
            </w:r>
            <w:r>
              <w:rPr>
                <w:rFonts w:ascii="仿宋_GB2312" w:hAnsi="仿宋_GB2312" w:cs="仿宋_GB2312" w:eastAsia="仿宋_GB2312"/>
                <w:sz w:val="28"/>
              </w:rPr>
              <w:t>。根据市局工作计划，对未央辖区抽取约</w:t>
            </w:r>
            <w:r>
              <w:rPr>
                <w:rFonts w:ascii="仿宋_GB2312" w:hAnsi="仿宋_GB2312" w:cs="仿宋_GB2312" w:eastAsia="仿宋_GB2312"/>
                <w:sz w:val="28"/>
              </w:rPr>
              <w:t>80</w:t>
            </w:r>
            <w:r>
              <w:rPr>
                <w:rFonts w:ascii="仿宋_GB2312" w:hAnsi="仿宋_GB2312" w:cs="仿宋_GB2312" w:eastAsia="仿宋_GB2312"/>
                <w:sz w:val="28"/>
              </w:rPr>
              <w:t>余</w:t>
            </w:r>
            <w:r>
              <w:rPr>
                <w:rFonts w:ascii="仿宋_GB2312" w:hAnsi="仿宋_GB2312" w:cs="仿宋_GB2312" w:eastAsia="仿宋_GB2312"/>
                <w:sz w:val="28"/>
              </w:rPr>
              <w:t>家定点医药机构，组织医疗、财务、数据等专家，配合我中心开展现场执法检查与数据</w:t>
            </w:r>
            <w:r>
              <w:rPr>
                <w:rFonts w:ascii="仿宋_GB2312" w:hAnsi="仿宋_GB2312" w:cs="仿宋_GB2312" w:eastAsia="仿宋_GB2312"/>
                <w:sz w:val="28"/>
              </w:rPr>
              <w:t>筛查等</w:t>
            </w:r>
            <w:r>
              <w:rPr>
                <w:rFonts w:ascii="仿宋_GB2312" w:hAnsi="仿宋_GB2312" w:cs="仿宋_GB2312" w:eastAsia="仿宋_GB2312"/>
                <w:sz w:val="28"/>
              </w:rPr>
              <w:t>工作，并形成</w:t>
            </w:r>
            <w:r>
              <w:rPr>
                <w:rFonts w:ascii="仿宋_GB2312" w:hAnsi="仿宋_GB2312" w:cs="仿宋_GB2312" w:eastAsia="仿宋_GB2312"/>
                <w:sz w:val="28"/>
              </w:rPr>
              <w:t>相关</w:t>
            </w:r>
            <w:r>
              <w:rPr>
                <w:rFonts w:ascii="仿宋_GB2312" w:hAnsi="仿宋_GB2312" w:cs="仿宋_GB2312" w:eastAsia="仿宋_GB2312"/>
                <w:sz w:val="28"/>
              </w:rPr>
              <w:t>检查</w:t>
            </w:r>
            <w:r>
              <w:rPr>
                <w:rFonts w:ascii="仿宋_GB2312" w:hAnsi="仿宋_GB2312" w:cs="仿宋_GB2312" w:eastAsia="仿宋_GB2312"/>
                <w:sz w:val="28"/>
              </w:rPr>
              <w:t>资料</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开展打击欺诈骗保专项检查或联合检查</w:t>
            </w:r>
            <w:r>
              <w:rPr>
                <w:rFonts w:ascii="仿宋_GB2312" w:hAnsi="仿宋_GB2312" w:cs="仿宋_GB2312" w:eastAsia="仿宋_GB2312"/>
                <w:sz w:val="28"/>
                <w:b/>
              </w:rPr>
              <w:t>。</w:t>
            </w:r>
            <w:r>
              <w:rPr>
                <w:rFonts w:ascii="仿宋_GB2312" w:hAnsi="仿宋_GB2312" w:cs="仿宋_GB2312" w:eastAsia="仿宋_GB2312"/>
                <w:sz w:val="28"/>
              </w:rPr>
              <w:t>根据市、区工作安排，对未央辖区约</w:t>
            </w:r>
            <w:r>
              <w:rPr>
                <w:rFonts w:ascii="仿宋_GB2312" w:hAnsi="仿宋_GB2312" w:cs="仿宋_GB2312" w:eastAsia="仿宋_GB2312"/>
                <w:sz w:val="28"/>
              </w:rPr>
              <w:t>25</w:t>
            </w:r>
            <w:r>
              <w:rPr>
                <w:rFonts w:ascii="仿宋_GB2312" w:hAnsi="仿宋_GB2312" w:cs="仿宋_GB2312" w:eastAsia="仿宋_GB2312"/>
                <w:sz w:val="28"/>
              </w:rPr>
              <w:t>家定点医药机构，组织医疗、财务、数据等专家，配合我中心做好现场执法检查与数据筛查等工作，并形成相关检查资料。</w:t>
            </w:r>
          </w:p>
          <w:p>
            <w:pPr>
              <w:pStyle w:val="null3"/>
              <w:ind w:firstLine="562"/>
              <w:jc w:val="left"/>
            </w:pPr>
            <w:r>
              <w:rPr>
                <w:rFonts w:ascii="仿宋_GB2312" w:hAnsi="仿宋_GB2312" w:cs="仿宋_GB2312" w:eastAsia="仿宋_GB2312"/>
                <w:sz w:val="28"/>
                <w:b/>
              </w:rPr>
              <w:t>3</w:t>
            </w:r>
            <w:r>
              <w:rPr>
                <w:rFonts w:ascii="仿宋_GB2312" w:hAnsi="仿宋_GB2312" w:cs="仿宋_GB2312" w:eastAsia="仿宋_GB2312"/>
                <w:sz w:val="28"/>
                <w:b/>
              </w:rPr>
              <w:t>、开展医保基金使用投诉举报违规线索及疑点数据核查。</w:t>
            </w:r>
            <w:r>
              <w:rPr>
                <w:rFonts w:ascii="仿宋_GB2312" w:hAnsi="仿宋_GB2312" w:cs="仿宋_GB2312" w:eastAsia="仿宋_GB2312"/>
                <w:sz w:val="28"/>
              </w:rPr>
              <w:t>预计受理医保基金违规使用投诉举报线索及疑点数据约</w:t>
            </w:r>
            <w:r>
              <w:rPr>
                <w:rFonts w:ascii="仿宋_GB2312" w:hAnsi="仿宋_GB2312" w:cs="仿宋_GB2312" w:eastAsia="仿宋_GB2312"/>
                <w:sz w:val="28"/>
              </w:rPr>
              <w:t>20</w:t>
            </w:r>
            <w:r>
              <w:rPr>
                <w:rFonts w:ascii="仿宋_GB2312" w:hAnsi="仿宋_GB2312" w:cs="仿宋_GB2312" w:eastAsia="仿宋_GB2312"/>
                <w:sz w:val="28"/>
              </w:rPr>
              <w:t>起，</w:t>
            </w:r>
            <w:r>
              <w:rPr>
                <w:rFonts w:ascii="仿宋_GB2312" w:hAnsi="仿宋_GB2312" w:cs="仿宋_GB2312" w:eastAsia="仿宋_GB2312"/>
                <w:sz w:val="28"/>
              </w:rPr>
              <w:t>组织医疗、财务、数据等专家，配合我中心对</w:t>
            </w:r>
            <w:r>
              <w:rPr>
                <w:rFonts w:ascii="仿宋_GB2312" w:hAnsi="仿宋_GB2312" w:cs="仿宋_GB2312" w:eastAsia="仿宋_GB2312"/>
                <w:sz w:val="28"/>
              </w:rPr>
              <w:t>现场检查或数据核查</w:t>
            </w:r>
            <w:r>
              <w:rPr>
                <w:rFonts w:ascii="仿宋_GB2312" w:hAnsi="仿宋_GB2312" w:cs="仿宋_GB2312" w:eastAsia="仿宋_GB2312"/>
                <w:sz w:val="28"/>
              </w:rPr>
              <w:t>接收的违法违规使用医保基金的投诉举报线索进行现场执法核查与数据分析工作，并形成相关检查资料。</w:t>
            </w:r>
          </w:p>
          <w:p>
            <w:pPr>
              <w:pStyle w:val="null3"/>
              <w:ind w:firstLine="562"/>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组织每年不少于4场基金监管政策培训，</w:t>
            </w:r>
            <w:r>
              <w:rPr>
                <w:rFonts w:ascii="仿宋_GB2312" w:hAnsi="仿宋_GB2312" w:cs="仿宋_GB2312" w:eastAsia="仿宋_GB2312"/>
                <w:sz w:val="28"/>
              </w:rPr>
              <w:t>配合完成未央辖区医保基金监管相关的其他工作。</w:t>
            </w:r>
          </w:p>
          <w:p>
            <w:pPr>
              <w:pStyle w:val="null3"/>
              <w:jc w:val="left"/>
            </w:pPr>
            <w:r>
              <w:rPr>
                <w:rFonts w:ascii="仿宋_GB2312" w:hAnsi="仿宋_GB2312" w:cs="仿宋_GB2312" w:eastAsia="仿宋_GB2312"/>
                <w:sz w:val="28"/>
                <w:b/>
              </w:rPr>
              <w:t>三、服务要求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）检查范围：陕西省西安市未央区辖区内。</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）人员要求：本项目要求第三方服务公司组建专业团队，要求配备具有计算机技术和大数据分析等相关专业技术人员，具有医学和药学等相关专业技术</w:t>
            </w:r>
            <w:r>
              <w:rPr>
                <w:rFonts w:ascii="仿宋_GB2312" w:hAnsi="仿宋_GB2312" w:cs="仿宋_GB2312" w:eastAsia="仿宋_GB2312"/>
                <w:sz w:val="28"/>
              </w:rPr>
              <w:t>人员，具有财务等相</w:t>
            </w:r>
            <w:r>
              <w:rPr>
                <w:rFonts w:ascii="仿宋_GB2312" w:hAnsi="仿宋_GB2312" w:cs="仿宋_GB2312" w:eastAsia="仿宋_GB2312"/>
                <w:sz w:val="28"/>
              </w:rPr>
              <w:t>关专业技术人员，要求服务团队成员必须具有</w:t>
            </w:r>
            <w:r>
              <w:rPr>
                <w:rFonts w:ascii="仿宋_GB2312" w:hAnsi="仿宋_GB2312" w:cs="仿宋_GB2312" w:eastAsia="仿宋_GB2312"/>
                <w:sz w:val="28"/>
              </w:rPr>
              <w:t>医保基金监管</w:t>
            </w:r>
            <w:r>
              <w:rPr>
                <w:rFonts w:ascii="仿宋_GB2312" w:hAnsi="仿宋_GB2312" w:cs="仿宋_GB2312" w:eastAsia="仿宋_GB2312"/>
                <w:sz w:val="28"/>
              </w:rPr>
              <w:t>和现场检查工作经验。</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保密要求：第三方服务公司必须承诺对本项目所涉及的所有电子数据、文件材料以及由西安市未央区医保基金监管中心提供的所有内部资料、文档、被检查单位商业秘密以及有关工作秘密和信息予以保密；未经西安市未央区医保基金监管中心书面许可，不得以任何形式向第三方透露本项目的任何内容；第三方服务公司必须按照采购人的要求签订相关保密协议，接受采购人对数据保密工作的检查。</w:t>
            </w:r>
          </w:p>
          <w:p>
            <w:pPr>
              <w:pStyle w:val="null3"/>
              <w:ind w:firstLine="420"/>
              <w:jc w:val="both"/>
            </w:pPr>
            <w:r>
              <w:rPr>
                <w:rFonts w:ascii="仿宋_GB2312" w:hAnsi="仿宋_GB2312" w:cs="仿宋_GB2312" w:eastAsia="仿宋_GB2312"/>
                <w:sz w:val="28"/>
                <w:b/>
              </w:rPr>
              <w:t>四、商务要求</w:t>
            </w:r>
          </w:p>
          <w:p>
            <w:pPr>
              <w:pStyle w:val="null3"/>
              <w:ind w:firstLine="420"/>
              <w:jc w:val="both"/>
            </w:pPr>
            <w:r>
              <w:rPr>
                <w:rFonts w:ascii="仿宋_GB2312" w:hAnsi="仿宋_GB2312" w:cs="仿宋_GB2312" w:eastAsia="仿宋_GB2312"/>
                <w:sz w:val="28"/>
              </w:rPr>
              <w:t>（一）服务期限：自合同签订之日起一年</w:t>
            </w:r>
          </w:p>
          <w:p>
            <w:pPr>
              <w:pStyle w:val="null3"/>
              <w:ind w:firstLine="420"/>
              <w:jc w:val="both"/>
            </w:pPr>
            <w:r>
              <w:rPr>
                <w:rFonts w:ascii="仿宋_GB2312" w:hAnsi="仿宋_GB2312" w:cs="仿宋_GB2312" w:eastAsia="仿宋_GB2312"/>
                <w:sz w:val="28"/>
              </w:rPr>
              <w:t>（二）付款方式</w:t>
            </w:r>
          </w:p>
          <w:p>
            <w:pPr>
              <w:pStyle w:val="null3"/>
              <w:ind w:firstLine="420"/>
              <w:jc w:val="both"/>
            </w:pPr>
            <w:r>
              <w:rPr>
                <w:rFonts w:ascii="仿宋_GB2312" w:hAnsi="仿宋_GB2312" w:cs="仿宋_GB2312" w:eastAsia="仿宋_GB2312"/>
                <w:sz w:val="28"/>
              </w:rPr>
              <w:t>付款条件说明：自合同签订之日</w:t>
            </w:r>
            <w:r>
              <w:rPr>
                <w:rFonts w:ascii="仿宋_GB2312" w:hAnsi="仿宋_GB2312" w:cs="仿宋_GB2312" w:eastAsia="仿宋_GB2312"/>
                <w:sz w:val="28"/>
              </w:rPr>
              <w:t>，达到付款条件起</w:t>
            </w:r>
            <w:r>
              <w:rPr>
                <w:rFonts w:ascii="仿宋_GB2312" w:hAnsi="仿宋_GB2312" w:cs="仿宋_GB2312" w:eastAsia="仿宋_GB2312"/>
                <w:sz w:val="28"/>
              </w:rPr>
              <w:t>30</w:t>
            </w:r>
            <w:r>
              <w:rPr>
                <w:rFonts w:ascii="仿宋_GB2312" w:hAnsi="仿宋_GB2312" w:cs="仿宋_GB2312" w:eastAsia="仿宋_GB2312"/>
                <w:sz w:val="28"/>
              </w:rPr>
              <w:t xml:space="preserve">日内，支付合同总金额的 </w:t>
            </w:r>
            <w:r>
              <w:rPr>
                <w:rFonts w:ascii="仿宋_GB2312" w:hAnsi="仿宋_GB2312" w:cs="仿宋_GB2312" w:eastAsia="仿宋_GB2312"/>
                <w:sz w:val="28"/>
              </w:rPr>
              <w:t>70.00%</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付款条件说明：项目结束验收完毕后按照验收情况</w:t>
            </w:r>
            <w:r>
              <w:rPr>
                <w:rFonts w:ascii="仿宋_GB2312" w:hAnsi="仿宋_GB2312" w:cs="仿宋_GB2312" w:eastAsia="仿宋_GB2312"/>
                <w:sz w:val="28"/>
              </w:rPr>
              <w:t>，达到付款条件起</w:t>
            </w:r>
            <w:r>
              <w:rPr>
                <w:rFonts w:ascii="仿宋_GB2312" w:hAnsi="仿宋_GB2312" w:cs="仿宋_GB2312" w:eastAsia="仿宋_GB2312"/>
                <w:sz w:val="28"/>
              </w:rPr>
              <w:t>30</w:t>
            </w:r>
            <w:r>
              <w:rPr>
                <w:rFonts w:ascii="仿宋_GB2312" w:hAnsi="仿宋_GB2312" w:cs="仿宋_GB2312" w:eastAsia="仿宋_GB2312"/>
                <w:sz w:val="28"/>
              </w:rPr>
              <w:t xml:space="preserve">日内，支付合同总金额的 </w:t>
            </w:r>
            <w:r>
              <w:rPr>
                <w:rFonts w:ascii="仿宋_GB2312" w:hAnsi="仿宋_GB2312" w:cs="仿宋_GB2312" w:eastAsia="仿宋_GB2312"/>
                <w:sz w:val="28"/>
              </w:rPr>
              <w:t>30.00%</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（三）违约责任及解决争议的方法</w:t>
            </w:r>
          </w:p>
          <w:p>
            <w:pPr>
              <w:pStyle w:val="null3"/>
              <w:ind w:firstLine="420"/>
              <w:jc w:val="both"/>
            </w:pPr>
            <w:r>
              <w:rPr>
                <w:rFonts w:ascii="仿宋_GB2312" w:hAnsi="仿宋_GB2312" w:cs="仿宋_GB2312" w:eastAsia="仿宋_GB2312"/>
                <w:sz w:val="28"/>
              </w:rPr>
              <w:t>以双方最终签订的合同文本为准。</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依据竞争性磋商文件、磋商响应文件、澄清表（函）、合同内容及附件文本；合同签订时国家及行业现行的标准和技术规范，符合采购人验收标准。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项目结束验收完毕后按照验收情况</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专门面向中小企业，参与的供应商（联合体）服务全部由符合政策要求的中小企业承接（残疾人福利性单位及监狱企业视同小型、微型企业）。中小企业行业划分标准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提供合法有效的统一社会信用代码营业执照（事业单位法人证书/专业服务机构执业许可证/民办非企业单位登记证书，自然人提供身份证）；②税收缴纳证明：供应商提供近半年至少一个月的纳税证明或完税证明，纳税证明或完税证明上应有代收机构或税务机关的公章或业务专用章；其他组织和自然人提供近半年至少一个月缴纳税收的凭据；依法免税的或者依法不需缴税的投标人应提供相关文件证明； ③社会保障资金缴纳证明：提供近半年至少一个月已缴纳的社会保障资金的证明（社会保障资金缴费凭证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注：以上②-⑤项，提供《基本资格条件承诺函》的，可不再提供其他证明文件。投标人需在项目电子化交易系统中按要求上传相应证明文件并进行电子签章。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注：此项资格提供《基本资格条件承诺函》的，可不再提供以上证明文件。 投标人需在项目电子化交易系统中按要求上传相应证明文件进行电子签章。</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（1）响应文件的签字、盖章：响应文件上法定代表人或其委托代理人的签字齐全；响应文件应逐页加盖单位公章，且公章清晰可见； （2）响应文件格式：应符合磋商文件要求；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供应商应提交的资格证明文件.docx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（1）对响应文件响应程度：要求全面响应，不能有任何采购人不能接受的附加条件；（2）服务时间：应满足磋商文件要求；（3 ) 服务地点：采购人指定地点；（4）有效期：应满足磋商文件要求。</w:t>
            </w:r>
          </w:p>
        </w:tc>
        <w:tc>
          <w:tcPr>
            <w:tcW w:type="dxa" w:w="1661"/>
          </w:tcPr>
          <w:p>
            <w:pPr>
              <w:pStyle w:val="null3"/>
            </w:pPr>
            <w:r>
              <w:rPr>
                <w:rFonts w:ascii="仿宋_GB2312" w:hAnsi="仿宋_GB2312" w:cs="仿宋_GB2312" w:eastAsia="仿宋_GB2312"/>
              </w:rPr>
              <w:t>响应文件封面 供应商应提交的资格证明文件.docx 残疾人福利性单位声明函 中小企业声明函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⼀、评审内容包含：①“双随机一公开”监督检查服务方案②打击欺诈骗保专项检查或联合检查服务方案③医保基金使用投诉举报违规线索及疑点数据核查服务方案 ④基金监管政策培训方案。⼆、评审标准 1.完整性：⽅案必须全⾯，对评审内容中的各项要求有详细描述； 2.可实施性：切合本项⽬实际情况，提出清晰、合理的⽅案； 3.针对性：⽅案能够紧扣项⽬实际情况，内容科学合理。上述4项评审内容全部满⾜评审标准得12分，每有⼀个评审内容缺项扣3分，每有⼀项评审内容存在缺陷，扣0.5分，扣完为⽌，不计负分。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一、评审内容：供应商根据项目实施质量保证措施，包含但不限于：①质量保证目标②质量管理措施③质量控制流程及结果等内容。⼆、评审标准 1.完整性：⽅案必须全⾯，对评审内容中的各项要求有详细描述； 2.可实施性：切合本项⽬实际情况，提出清晰、合理的⽅案； 3.针对性：⽅案能够紧扣项⽬实际情况，内容科学合理。上述3项评审内容全部满⾜评审标准得9分，每有⼀个评审内容缺项扣3分，每有⼀项评审内容存在缺陷，扣0.5分，扣完为⽌，不计负分。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一、评审内容：供应商根据提出的服务要求制定进度安排及保障措施，包含但不限于：①工作时间计划②进度控制节点安排及相应的工作内容。⼆、评审标准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一、评审内容：针对供应商提供的保密措施进行评审，包含但不限于：①预测保密措施实施中的困难及风险、②泄密风险制定的应对措施等内容。⼆、评审标准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一、评审内容：针对供应商提供的应急预案进行评审，包含但不限于：①预警机制及处置措施②资源调配机制等内容。 ⼆、评审标准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供应商提供近3年（自2023年6月1日起至递交响应文件截止日止）以来（以合同签订日期为准）独立承担的同类项目业绩，每提供一份有效的业绩证明材料得2分，最高得10分。 注： 1.须提供业绩合同关键页（含：首页、服务内容信息页、合同金额页、签字盖章页）。复印件加盖公章，时间以合同签订日期为准。合同签订方必须是供应商自身，不符合上述要求或未按要求提供有效证明文件的业绩，在评审时将不予承认。 2.供应商提供虚假合同的，按虚假投标处理。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1.项目负责人具有高级信息系统项目管理师或PMP资质证书得2分，没有不得分； 2.项目负责人具有本科及以上学历得1分，提供学历证明材料； 3.项目负责人具有同类项目业绩经验得2分，没有不得分。项目负责人经验证明可提供项目合同或业主方业绩评价（合同或业主方业绩评价均需显示项目经理名字）或单位证明或其他能够证明项目负责人本人承担过同类项目的业绩证明材料等）。注：提供项目负责人在本单位缴纳社保证明或签订的劳动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团队配备人员</w:t>
            </w:r>
          </w:p>
        </w:tc>
        <w:tc>
          <w:tcPr>
            <w:tcW w:type="dxa" w:w="2492"/>
          </w:tcPr>
          <w:p>
            <w:pPr>
              <w:pStyle w:val="null3"/>
            </w:pPr>
            <w:r>
              <w:rPr>
                <w:rFonts w:ascii="仿宋_GB2312" w:hAnsi="仿宋_GB2312" w:cs="仿宋_GB2312" w:eastAsia="仿宋_GB2312"/>
              </w:rPr>
              <w:t>1.项目团队中具有计算机技术或大数据分析相关专业人员并提供相关证书，每提供一名得1分，最高得3分; 2.项目团队中具有医学或药学或护理学或会计或审计等相关专业人员并提供相关证书，每提供一名得1分，最多得5分;（注:上述均须提供相关人员证书的复印件并加盖公章，且须同时提供相应人员在本单位签订的劳动合同或社保证明。同一人员多个专业证书只计一次分，不重复累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①供应商承诺项目经理及项目团队成员未经采购人许可不得更换。在项目实施过程中，供应商须按照采购人的要求更换不合格人员，得3分。 ②供应商承诺提供7×24⼩时售后保障，在接收到采购人指令后10分钟内响应，2小时内提供解决办法，得3分。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供应商提供能提高服务质量的增值服务承诺书，每项有效书面承诺得1分，本项最高2分；无加盖公章书面承诺不得分。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磋商报价得分=(评标基准价／磋商报价)×报价分值，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