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5A9F1">
      <w:pPr>
        <w:pStyle w:val="3"/>
        <w:numPr>
          <w:ilvl w:val="0"/>
          <w:numId w:val="0"/>
        </w:numPr>
        <w:jc w:val="center"/>
        <w:rPr>
          <w:rFonts w:hint="eastAsia" w:ascii="仿宋" w:hAnsi="仿宋" w:eastAsia="仿宋" w:cs="仿宋"/>
          <w:bCs/>
          <w:sz w:val="36"/>
          <w:szCs w:val="36"/>
        </w:rPr>
      </w:pPr>
      <w:bookmarkStart w:id="0" w:name="_Toc1085"/>
      <w:r>
        <w:rPr>
          <w:rFonts w:hint="eastAsia" w:ascii="仿宋" w:hAnsi="仿宋" w:eastAsia="仿宋" w:cs="仿宋"/>
          <w:bCs/>
          <w:sz w:val="36"/>
          <w:szCs w:val="36"/>
        </w:rPr>
        <w:t>合同条款及格式</w:t>
      </w:r>
      <w:bookmarkEnd w:id="0"/>
    </w:p>
    <w:p w14:paraId="5095216D">
      <w:pPr>
        <w:jc w:val="center"/>
        <w:rPr>
          <w:rFonts w:hint="eastAsia" w:ascii="仿宋" w:hAnsi="仿宋" w:eastAsia="仿宋" w:cs="仿宋"/>
          <w:b/>
          <w:szCs w:val="24"/>
        </w:rPr>
      </w:pPr>
      <w:r>
        <w:rPr>
          <w:rFonts w:hint="eastAsia" w:ascii="仿宋" w:hAnsi="仿宋" w:eastAsia="仿宋" w:cs="仿宋"/>
          <w:b/>
          <w:szCs w:val="24"/>
        </w:rPr>
        <w:t>（参考格式）</w:t>
      </w:r>
    </w:p>
    <w:p w14:paraId="32F700E9">
      <w:pPr>
        <w:tabs>
          <w:tab w:val="left" w:pos="3195"/>
        </w:tabs>
        <w:spacing w:before="156" w:beforeLines="50" w:after="156" w:afterLines="50"/>
        <w:jc w:val="center"/>
        <w:rPr>
          <w:rFonts w:hint="eastAsia" w:ascii="仿宋" w:hAnsi="仿宋" w:eastAsia="仿宋" w:cs="仿宋"/>
          <w:b/>
          <w:szCs w:val="24"/>
        </w:rPr>
      </w:pPr>
    </w:p>
    <w:p w14:paraId="2F0977ED">
      <w:pPr>
        <w:keepNext w:val="0"/>
        <w:keepLines w:val="0"/>
        <w:pageBreakBefore w:val="0"/>
        <w:kinsoku/>
        <w:wordWrap/>
        <w:overflowPunct/>
        <w:topLinePunct w:val="0"/>
        <w:autoSpaceDE/>
        <w:autoSpaceDN/>
        <w:bidi w:val="0"/>
        <w:adjustRightInd/>
        <w:snapToGrid/>
        <w:spacing w:line="360" w:lineRule="auto"/>
        <w:ind w:left="0" w:leftChars="0" w:right="0"/>
        <w:textAlignment w:val="auto"/>
        <w:rPr>
          <w:rFonts w:hint="eastAsia" w:ascii="仿宋" w:hAnsi="仿宋" w:eastAsia="仿宋" w:cs="仿宋"/>
          <w:color w:val="auto"/>
          <w:szCs w:val="24"/>
          <w:highlight w:val="yellow"/>
          <w:u w:val="single"/>
          <w:lang w:val="en-US"/>
        </w:rPr>
      </w:pPr>
      <w:r>
        <w:rPr>
          <w:rFonts w:hint="eastAsia" w:ascii="仿宋" w:hAnsi="仿宋" w:eastAsia="仿宋" w:cs="仿宋"/>
          <w:color w:val="auto"/>
          <w:szCs w:val="24"/>
        </w:rPr>
        <w:t>甲方（</w:t>
      </w:r>
      <w:r>
        <w:rPr>
          <w:rFonts w:hint="eastAsia" w:ascii="仿宋" w:hAnsi="仿宋" w:eastAsia="仿宋" w:cs="仿宋"/>
          <w:color w:val="auto"/>
          <w:szCs w:val="24"/>
          <w:lang w:val="en-US" w:eastAsia="zh-CN"/>
        </w:rPr>
        <w:t>采购人</w:t>
      </w:r>
      <w:r>
        <w:rPr>
          <w:rFonts w:hint="eastAsia" w:ascii="仿宋" w:hAnsi="仿宋" w:eastAsia="仿宋" w:cs="仿宋"/>
          <w:color w:val="auto"/>
          <w:szCs w:val="24"/>
        </w:rPr>
        <w:t>）：</w:t>
      </w:r>
      <w:r>
        <w:rPr>
          <w:rFonts w:hint="eastAsia" w:ascii="仿宋" w:hAnsi="仿宋" w:eastAsia="仿宋" w:cs="仿宋"/>
          <w:color w:val="auto"/>
          <w:szCs w:val="24"/>
          <w:highlight w:val="none"/>
          <w:u w:val="single"/>
          <w:lang w:val="en-US" w:eastAsia="zh-CN"/>
        </w:rPr>
        <w:t xml:space="preserve">                     </w:t>
      </w:r>
    </w:p>
    <w:p w14:paraId="1CF73167">
      <w:pPr>
        <w:keepNext w:val="0"/>
        <w:keepLines w:val="0"/>
        <w:pageBreakBefore w:val="0"/>
        <w:kinsoku/>
        <w:wordWrap/>
        <w:overflowPunct/>
        <w:topLinePunct w:val="0"/>
        <w:autoSpaceDE/>
        <w:autoSpaceDN/>
        <w:bidi w:val="0"/>
        <w:adjustRightInd/>
        <w:snapToGrid/>
        <w:spacing w:line="360" w:lineRule="auto"/>
        <w:ind w:left="0" w:leftChars="0" w:right="0"/>
        <w:textAlignment w:val="auto"/>
        <w:rPr>
          <w:rFonts w:hint="eastAsia" w:ascii="仿宋" w:hAnsi="仿宋" w:eastAsia="仿宋" w:cs="仿宋"/>
          <w:color w:val="auto"/>
        </w:rPr>
      </w:pPr>
      <w:r>
        <w:rPr>
          <w:rFonts w:hint="eastAsia" w:ascii="仿宋" w:hAnsi="仿宋" w:eastAsia="仿宋" w:cs="仿宋"/>
          <w:color w:val="auto"/>
          <w:szCs w:val="24"/>
        </w:rPr>
        <w:t>乙方（</w:t>
      </w:r>
      <w:r>
        <w:rPr>
          <w:rFonts w:hint="eastAsia" w:ascii="仿宋" w:hAnsi="仿宋" w:eastAsia="仿宋" w:cs="仿宋"/>
          <w:color w:val="auto"/>
          <w:szCs w:val="24"/>
          <w:lang w:val="en-US" w:eastAsia="zh-CN"/>
        </w:rPr>
        <w:t>供应商</w:t>
      </w:r>
      <w:r>
        <w:rPr>
          <w:rFonts w:hint="eastAsia" w:ascii="仿宋" w:hAnsi="仿宋" w:eastAsia="仿宋" w:cs="仿宋"/>
          <w:color w:val="auto"/>
          <w:szCs w:val="24"/>
        </w:rPr>
        <w:t>）：</w:t>
      </w:r>
      <w:r>
        <w:rPr>
          <w:rFonts w:hint="eastAsia" w:ascii="仿宋" w:hAnsi="仿宋" w:eastAsia="仿宋" w:cs="仿宋"/>
          <w:color w:val="auto"/>
          <w:szCs w:val="24"/>
          <w:u w:val="single"/>
        </w:rPr>
        <w:t xml:space="preserve">                     </w:t>
      </w:r>
    </w:p>
    <w:p w14:paraId="4AD7E512">
      <w:pPr>
        <w:keepNext w:val="0"/>
        <w:keepLines w:val="0"/>
        <w:pageBreakBefore w:val="0"/>
        <w:kinsoku/>
        <w:wordWrap/>
        <w:overflowPunct/>
        <w:topLinePunct w:val="0"/>
        <w:autoSpaceDE/>
        <w:autoSpaceDN/>
        <w:bidi w:val="0"/>
        <w:adjustRightInd/>
        <w:snapToGrid/>
        <w:spacing w:line="360" w:lineRule="auto"/>
        <w:ind w:left="0" w:leftChars="0" w:right="0" w:firstLine="602"/>
        <w:textAlignment w:val="auto"/>
        <w:rPr>
          <w:rFonts w:hint="eastAsia" w:ascii="仿宋" w:hAnsi="仿宋" w:eastAsia="仿宋" w:cs="仿宋"/>
          <w:color w:val="auto"/>
        </w:rPr>
      </w:pPr>
      <w:r>
        <w:rPr>
          <w:rFonts w:hint="eastAsia" w:ascii="仿宋" w:hAnsi="仿宋" w:eastAsia="仿宋" w:cs="仿宋"/>
          <w:color w:val="auto"/>
          <w:szCs w:val="24"/>
          <w:highlight w:val="none"/>
        </w:rPr>
        <w:t>根据《中华人民共和国</w:t>
      </w:r>
      <w:r>
        <w:rPr>
          <w:rFonts w:hint="eastAsia" w:ascii="仿宋" w:hAnsi="仿宋" w:eastAsia="仿宋" w:cs="仿宋"/>
          <w:color w:val="auto"/>
          <w:szCs w:val="24"/>
          <w:highlight w:val="none"/>
          <w:lang w:eastAsia="zh-CN"/>
        </w:rPr>
        <w:t>民法典</w:t>
      </w:r>
      <w:r>
        <w:rPr>
          <w:rFonts w:hint="eastAsia" w:ascii="仿宋" w:hAnsi="仿宋" w:eastAsia="仿宋" w:cs="仿宋"/>
          <w:color w:val="auto"/>
          <w:szCs w:val="24"/>
          <w:highlight w:val="none"/>
        </w:rPr>
        <w:t>》与项目行业有关的法律法规，以及本项目</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w:t>
      </w:r>
      <w:r>
        <w:rPr>
          <w:rFonts w:hint="eastAsia" w:ascii="仿宋" w:hAnsi="仿宋" w:eastAsia="仿宋" w:cs="仿宋"/>
          <w:color w:val="auto"/>
          <w:highlight w:val="none"/>
          <w:u w:val="singl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w:t>
      </w:r>
      <w:r>
        <w:rPr>
          <w:rFonts w:hint="eastAsia" w:ascii="仿宋" w:hAnsi="仿宋" w:eastAsia="仿宋" w:cs="仿宋"/>
          <w:color w:val="auto"/>
          <w:szCs w:val="24"/>
          <w:highlight w:val="none"/>
        </w:rPr>
        <w:t>相关采购要求的规定，合同双方就乙方向采购方提供</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事宜，经协商达成一致，确立本合同。</w:t>
      </w:r>
      <w:r>
        <w:rPr>
          <w:rFonts w:hint="eastAsia" w:ascii="仿宋" w:hAnsi="仿宋" w:eastAsia="仿宋" w:cs="仿宋"/>
          <w:color w:val="auto"/>
          <w:szCs w:val="24"/>
          <w:highlight w:val="none"/>
          <w:lang w:val="en-US" w:eastAsia="zh-CN"/>
        </w:rPr>
        <w:t xml:space="preserve">  </w:t>
      </w:r>
    </w:p>
    <w:p w14:paraId="6E0EEA3A">
      <w:pPr>
        <w:spacing w:line="580" w:lineRule="exact"/>
        <w:rPr>
          <w:rFonts w:hint="eastAsia" w:ascii="仿宋" w:hAnsi="仿宋" w:eastAsia="仿宋" w:cs="仿宋"/>
          <w:b/>
          <w:color w:val="auto"/>
        </w:rPr>
      </w:pPr>
      <w:r>
        <w:rPr>
          <w:rFonts w:hint="eastAsia" w:ascii="仿宋" w:hAnsi="仿宋" w:eastAsia="仿宋" w:cs="仿宋"/>
          <w:b/>
          <w:color w:val="auto"/>
        </w:rPr>
        <w:t>一、项目概况</w:t>
      </w:r>
    </w:p>
    <w:p w14:paraId="4795507E">
      <w:pPr>
        <w:adjustRightInd w:val="0"/>
        <w:snapToGrid w:val="0"/>
        <w:spacing w:line="580" w:lineRule="exact"/>
        <w:ind w:left="1920" w:leftChars="200" w:hanging="1440" w:hangingChars="600"/>
        <w:rPr>
          <w:rFonts w:hint="eastAsia" w:ascii="仿宋" w:hAnsi="仿宋" w:eastAsia="仿宋" w:cs="仿宋"/>
          <w:color w:val="auto"/>
          <w:u w:val="single"/>
        </w:rPr>
      </w:pPr>
      <w:r>
        <w:rPr>
          <w:rFonts w:hint="eastAsia" w:ascii="仿宋" w:hAnsi="仿宋" w:eastAsia="仿宋" w:cs="仿宋"/>
          <w:color w:val="auto"/>
        </w:rPr>
        <w:t>1.项目名称：</w:t>
      </w:r>
      <w:r>
        <w:rPr>
          <w:rFonts w:hint="eastAsia" w:ascii="仿宋" w:hAnsi="仿宋" w:eastAsia="仿宋" w:cs="仿宋"/>
          <w:color w:val="auto"/>
          <w:u w:val="single"/>
        </w:rPr>
        <w:t>2026年度未央区医保基金监管引入第三方服务项目</w:t>
      </w:r>
    </w:p>
    <w:p w14:paraId="75E3046D">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lang w:val="en-US" w:eastAsia="zh-CN"/>
        </w:rPr>
        <w:t>陕西省西安市未央区辖区内</w:t>
      </w:r>
    </w:p>
    <w:p w14:paraId="1A22423E">
      <w:pPr>
        <w:spacing w:line="580" w:lineRule="exact"/>
        <w:rPr>
          <w:rFonts w:hint="eastAsia" w:ascii="仿宋" w:hAnsi="仿宋" w:eastAsia="仿宋" w:cs="仿宋"/>
          <w:b/>
          <w:color w:val="auto"/>
        </w:rPr>
      </w:pPr>
      <w:r>
        <w:rPr>
          <w:rFonts w:hint="eastAsia" w:ascii="仿宋" w:hAnsi="仿宋" w:eastAsia="仿宋" w:cs="仿宋"/>
          <w:b/>
          <w:color w:val="auto"/>
        </w:rPr>
        <w:t>二、组成本合同的文件</w:t>
      </w:r>
    </w:p>
    <w:p w14:paraId="7F2E999B">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1.协议书；</w:t>
      </w:r>
    </w:p>
    <w:p w14:paraId="7C90BF34">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lang w:val="en-US" w:eastAsia="zh-CN"/>
        </w:rPr>
        <w:t>成交</w:t>
      </w:r>
      <w:r>
        <w:rPr>
          <w:rFonts w:hint="eastAsia" w:ascii="仿宋" w:hAnsi="仿宋" w:eastAsia="仿宋" w:cs="仿宋"/>
          <w:color w:val="auto"/>
        </w:rPr>
        <w:t>通知书、</w:t>
      </w:r>
      <w:r>
        <w:rPr>
          <w:rFonts w:hint="eastAsia" w:ascii="仿宋" w:hAnsi="仿宋" w:eastAsia="仿宋" w:cs="仿宋"/>
          <w:color w:val="auto"/>
          <w:lang w:eastAsia="zh-CN"/>
        </w:rPr>
        <w:t>磋商响应文件</w:t>
      </w:r>
      <w:r>
        <w:rPr>
          <w:rFonts w:hint="eastAsia" w:ascii="仿宋" w:hAnsi="仿宋" w:eastAsia="仿宋" w:cs="仿宋"/>
          <w:color w:val="auto"/>
        </w:rPr>
        <w:t>、</w:t>
      </w:r>
      <w:r>
        <w:rPr>
          <w:rFonts w:hint="eastAsia" w:ascii="仿宋" w:hAnsi="仿宋" w:eastAsia="仿宋" w:cs="仿宋"/>
          <w:color w:val="auto"/>
          <w:lang w:eastAsia="zh-CN"/>
        </w:rPr>
        <w:t>磋商文件</w:t>
      </w:r>
      <w:r>
        <w:rPr>
          <w:rFonts w:hint="eastAsia" w:ascii="仿宋" w:hAnsi="仿宋" w:eastAsia="仿宋" w:cs="仿宋"/>
          <w:color w:val="auto"/>
        </w:rPr>
        <w:t>、澄清、补充文件；</w:t>
      </w:r>
    </w:p>
    <w:p w14:paraId="34B1327A">
      <w:pPr>
        <w:keepNext w:val="0"/>
        <w:keepLines w:val="0"/>
        <w:pageBreakBefore w:val="0"/>
        <w:widowControl w:val="0"/>
        <w:kinsoku/>
        <w:wordWrap/>
        <w:overflowPunct/>
        <w:topLinePunct w:val="0"/>
        <w:autoSpaceDE/>
        <w:autoSpaceDN/>
        <w:bidi w:val="0"/>
        <w:adjustRightInd w:val="0"/>
        <w:snapToGrid w:val="0"/>
        <w:spacing w:line="580" w:lineRule="exact"/>
        <w:ind w:firstLine="480" w:firstLineChars="200"/>
        <w:textAlignment w:val="auto"/>
        <w:rPr>
          <w:rFonts w:hint="eastAsia" w:ascii="仿宋" w:hAnsi="仿宋" w:eastAsia="仿宋" w:cs="仿宋"/>
          <w:color w:val="auto"/>
        </w:rPr>
      </w:pPr>
      <w:r>
        <w:rPr>
          <w:rFonts w:hint="eastAsia" w:ascii="仿宋" w:hAnsi="仿宋" w:eastAsia="仿宋" w:cs="仿宋"/>
          <w:color w:val="auto"/>
        </w:rPr>
        <w:t>3.相关服务建议书；</w:t>
      </w:r>
    </w:p>
    <w:p w14:paraId="395630F7">
      <w:pPr>
        <w:pStyle w:val="2"/>
        <w:keepNext w:val="0"/>
        <w:keepLines w:val="0"/>
        <w:pageBreakBefore w:val="0"/>
        <w:widowControl w:val="0"/>
        <w:kinsoku/>
        <w:wordWrap/>
        <w:overflowPunct/>
        <w:topLinePunct w:val="0"/>
        <w:autoSpaceDE/>
        <w:autoSpaceDN/>
        <w:bidi w:val="0"/>
        <w:spacing w:line="580" w:lineRule="exact"/>
        <w:textAlignment w:val="auto"/>
        <w:rPr>
          <w:rFonts w:hint="default" w:eastAsia="仿宋"/>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color w:val="auto"/>
          <w:kern w:val="0"/>
          <w:sz w:val="24"/>
          <w:lang w:val="en-US" w:eastAsia="zh-CN" w:bidi="ar-SA"/>
        </w:rPr>
        <w:t>4.保密协议</w:t>
      </w:r>
    </w:p>
    <w:p w14:paraId="3BD9A6DB">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4F2E76B9">
      <w:pPr>
        <w:spacing w:line="580" w:lineRule="exact"/>
        <w:rPr>
          <w:rFonts w:hint="eastAsia" w:ascii="仿宋" w:hAnsi="仿宋" w:eastAsia="仿宋" w:cs="仿宋"/>
          <w:b/>
          <w:color w:val="auto"/>
        </w:rPr>
      </w:pPr>
      <w:r>
        <w:rPr>
          <w:rFonts w:hint="eastAsia" w:ascii="仿宋" w:hAnsi="仿宋" w:eastAsia="仿宋" w:cs="仿宋"/>
          <w:b/>
          <w:color w:val="auto"/>
        </w:rPr>
        <w:t>三、合同金额</w:t>
      </w:r>
    </w:p>
    <w:p w14:paraId="0966B7A2">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合同</w:t>
      </w:r>
      <w:r>
        <w:rPr>
          <w:rFonts w:hint="eastAsia" w:ascii="仿宋" w:hAnsi="仿宋" w:eastAsia="仿宋" w:cs="仿宋"/>
          <w:color w:val="auto"/>
          <w:lang w:val="en-US" w:eastAsia="zh-CN"/>
        </w:rPr>
        <w:t>暂定</w:t>
      </w:r>
      <w:r>
        <w:rPr>
          <w:rFonts w:hint="eastAsia" w:ascii="仿宋" w:hAnsi="仿宋" w:eastAsia="仿宋" w:cs="仿宋"/>
          <w:color w:val="auto"/>
        </w:rPr>
        <w:t>金额（大写）：</w:t>
      </w:r>
      <w:r>
        <w:rPr>
          <w:rFonts w:hint="eastAsia" w:ascii="仿宋" w:hAnsi="仿宋" w:eastAsia="仿宋" w:cs="仿宋"/>
          <w:color w:val="auto"/>
          <w:u w:val="single"/>
        </w:rPr>
        <w:t xml:space="preserve">                            </w:t>
      </w:r>
      <w:r>
        <w:rPr>
          <w:rFonts w:hint="eastAsia" w:ascii="仿宋" w:hAnsi="仿宋" w:eastAsia="仿宋" w:cs="仿宋"/>
          <w:color w:val="auto"/>
        </w:rPr>
        <w:t>（¥</w:t>
      </w:r>
      <w:r>
        <w:rPr>
          <w:rFonts w:hint="eastAsia" w:ascii="仿宋" w:hAnsi="仿宋" w:eastAsia="仿宋" w:cs="仿宋"/>
          <w:color w:val="auto"/>
          <w:u w:val="single"/>
        </w:rPr>
        <w:t xml:space="preserve">        </w:t>
      </w:r>
      <w:r>
        <w:rPr>
          <w:rFonts w:hint="eastAsia" w:ascii="仿宋" w:hAnsi="仿宋" w:eastAsia="仿宋" w:cs="仿宋"/>
          <w:color w:val="auto"/>
          <w:lang w:val="en-US" w:eastAsia="zh-CN"/>
        </w:rPr>
        <w:t>元</w:t>
      </w:r>
      <w:r>
        <w:rPr>
          <w:rFonts w:hint="eastAsia" w:ascii="仿宋" w:hAnsi="仿宋" w:eastAsia="仿宋" w:cs="仿宋"/>
          <w:color w:val="auto"/>
        </w:rPr>
        <w:t>）。</w:t>
      </w:r>
    </w:p>
    <w:p w14:paraId="37E3C750">
      <w:pPr>
        <w:adjustRightInd w:val="0"/>
        <w:snapToGrid w:val="0"/>
        <w:spacing w:line="52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四、结算方式</w:t>
      </w:r>
    </w:p>
    <w:p w14:paraId="6F3199FD">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 xml:space="preserve">（1）由采购人负责结算，付款前，供应商必须开具全额发票给采购人。   </w:t>
      </w:r>
    </w:p>
    <w:p w14:paraId="717ABADB">
      <w:pPr>
        <w:spacing w:line="360" w:lineRule="auto"/>
        <w:ind w:firstLine="480"/>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（2）合同签订后30日内支付合同价款的70%，项目结束验收完毕后按照验收情况，达到付款条件起30日内支付合同价款的30%。</w:t>
      </w:r>
    </w:p>
    <w:p w14:paraId="7FD1AC26">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五、</w:t>
      </w:r>
      <w:r>
        <w:rPr>
          <w:rFonts w:hint="eastAsia" w:ascii="仿宋" w:hAnsi="仿宋" w:eastAsia="仿宋" w:cs="仿宋"/>
          <w:b/>
          <w:color w:val="auto"/>
          <w:szCs w:val="24"/>
          <w:highlight w:val="none"/>
        </w:rPr>
        <w:t>内容及要求</w:t>
      </w:r>
    </w:p>
    <w:p w14:paraId="0FA8840E">
      <w:pPr>
        <w:spacing w:line="360" w:lineRule="auto"/>
        <w:ind w:firstLine="480"/>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（一）、服务内容</w:t>
      </w:r>
    </w:p>
    <w:p w14:paraId="3459023F">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开展未央区医保基金“双随机一公开”监督检查。根据市局工作计划，对未央辖区抽取约80余家定点医药机构，组织医疗、财务、数据等专家，配合我中心开展现场执法检查与数据筛查等工作，并形成相关检查资料。</w:t>
      </w:r>
    </w:p>
    <w:p w14:paraId="5A5DF980">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2、开展打击欺诈骗保专项检查或联合检查。根据市、区工作安排，对未央辖区约25家定点医药机构，组织医疗、财务、数据等专家，配合我中心做好现场执法检查与数据筛查等工作，并形成相关检查资料。</w:t>
      </w:r>
    </w:p>
    <w:p w14:paraId="25318EAA">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开展医保基金使用投诉举报违规线索及疑点数据核查。2026年预计受理医保基金违规使用投诉举报线索及疑点数据约20起，组织医疗、财务、数据等专家，配合我中心对现场检查或数据核查接收的违法违规使用医保基金的投诉举报线索进行现场执法核查与数据分析工作，并形成相关检查资料。</w:t>
      </w:r>
    </w:p>
    <w:p w14:paraId="4875E813">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4、组织每年不少于4场基金监管政策培训，配合完成未央辖区医保基金监管相关的其他工作。</w:t>
      </w:r>
    </w:p>
    <w:p w14:paraId="4F9FA8A6">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（二）、服务要求</w:t>
      </w:r>
    </w:p>
    <w:p w14:paraId="1266196B">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1.检查范围：陕西省西安市未央区辖区内。</w:t>
      </w:r>
    </w:p>
    <w:p w14:paraId="20293730">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人员要求：本项目要求第三方服务公司组建专业团队，要求配备具有计算机技术和大数据分析等相关专业技术人员，具有医学和药学等相关专业技术人员，具有财务等相关专业技术人员，要求服务团队成员必须具有医保基金监管和现场检查工作经验。</w:t>
      </w:r>
    </w:p>
    <w:p w14:paraId="2F22A4E0">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保密要求：第三方服务公司必须承诺对本项目所涉及的所有电子数据、文件材料以及由西安市未央区医保基金监管中心提供的所有内部资料、文档、被检查单位商业秘密以及有关工作秘密和信息予以保密；未经西安市未央区医保基金监管中心书面许可，不得以任何形式向第三方透露本项目的任何内容；第三方服务公司必须按照采购人的要求签订相关保密协议，接受采购人对数据保密工作的检查。</w:t>
      </w:r>
    </w:p>
    <w:p w14:paraId="12569241">
      <w:pPr>
        <w:spacing w:line="360" w:lineRule="auto"/>
        <w:ind w:firstLine="48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4.工作要求：第三方服务公司需保质保量的完成本次采购项目的服务内容，同时应无条件配合甲方完成因临时性或突发性事件产生的基金监管服务工作。</w:t>
      </w:r>
    </w:p>
    <w:p w14:paraId="3EC152CF">
      <w:pPr>
        <w:pStyle w:val="5"/>
        <w:spacing w:line="360" w:lineRule="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六、项目服务期限</w:t>
      </w:r>
    </w:p>
    <w:p w14:paraId="6121025E">
      <w:pPr>
        <w:pStyle w:val="5"/>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项目服务期限：</w:t>
      </w:r>
      <w:r>
        <w:rPr>
          <w:rFonts w:hint="eastAsia" w:ascii="仿宋" w:hAnsi="仿宋" w:eastAsia="仿宋" w:cs="仿宋"/>
          <w:color w:val="auto"/>
          <w:sz w:val="24"/>
          <w:szCs w:val="24"/>
          <w:u w:val="single"/>
          <w:lang w:val="en-US" w:eastAsia="zh-CN"/>
        </w:rPr>
        <w:t>合同签订之日起一年</w:t>
      </w:r>
    </w:p>
    <w:p w14:paraId="569F8F50">
      <w:pPr>
        <w:pStyle w:val="5"/>
        <w:spacing w:line="360" w:lineRule="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七、双方的权利义务</w:t>
      </w:r>
    </w:p>
    <w:p w14:paraId="6F784166">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（一）委托方权利</w:t>
      </w:r>
    </w:p>
    <w:p w14:paraId="5CD63F12">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1.委托方有权监督受托方履行本合同的全过程，并及时提出异议和改进意见。</w:t>
      </w:r>
    </w:p>
    <w:p w14:paraId="10EAB65F">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2.委托方有权查验受托方派出人员</w:t>
      </w:r>
      <w:r>
        <w:rPr>
          <w:rFonts w:hint="eastAsia" w:ascii="仿宋" w:hAnsi="仿宋" w:eastAsia="仿宋" w:cs="仿宋"/>
          <w:color w:val="auto"/>
          <w:sz w:val="24"/>
          <w:szCs w:val="24"/>
          <w:lang w:val="en-US" w:eastAsia="zh-CN"/>
        </w:rPr>
        <w:t>与招标时提供的人员是否一致以及投入人员</w:t>
      </w:r>
      <w:r>
        <w:rPr>
          <w:rFonts w:hint="eastAsia" w:ascii="仿宋" w:hAnsi="仿宋" w:eastAsia="仿宋" w:cs="仿宋"/>
          <w:color w:val="auto"/>
          <w:sz w:val="24"/>
          <w:szCs w:val="24"/>
        </w:rPr>
        <w:t>的资质证书，以确认受托方派出人员的工作胜任能力。</w:t>
      </w:r>
    </w:p>
    <w:p w14:paraId="245154E9">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3.委托方有权要求受托方派出人员在参与工作中严格遵守相关检查工作纪律和保密纪律。</w:t>
      </w:r>
    </w:p>
    <w:p w14:paraId="09811624">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4.对受托方派出人员有不服从管理、未按要求完成交办工作的，委托方有权退回或要求更换相关人员。</w:t>
      </w:r>
    </w:p>
    <w:p w14:paraId="6779DDA6">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5.其他需约定的权利。</w:t>
      </w:r>
    </w:p>
    <w:p w14:paraId="1E25E6DF">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（二）委托方的义务</w:t>
      </w:r>
    </w:p>
    <w:p w14:paraId="082DE0A8">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1.按照本合同约定及时付款。</w:t>
      </w:r>
    </w:p>
    <w:p w14:paraId="43F9F57F">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2.其他需约定的义务。</w:t>
      </w:r>
    </w:p>
    <w:p w14:paraId="64319125">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（三）受托方的权利</w:t>
      </w:r>
    </w:p>
    <w:p w14:paraId="322263E6">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1.受托方若调离、更换派驻在委托方的项目人员，需提前</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个工作日书面通知委托方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并经委托方同意，更换同等经验资质人员</w:t>
      </w:r>
      <w:r>
        <w:rPr>
          <w:rFonts w:hint="eastAsia" w:ascii="仿宋" w:hAnsi="仿宋" w:eastAsia="仿宋" w:cs="仿宋"/>
          <w:color w:val="auto"/>
          <w:sz w:val="24"/>
          <w:szCs w:val="24"/>
        </w:rPr>
        <w:t>。</w:t>
      </w:r>
    </w:p>
    <w:p w14:paraId="69841E59">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2.其他需约定的权利。</w:t>
      </w:r>
    </w:p>
    <w:p w14:paraId="12804AC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（四）受托方的义务</w:t>
      </w:r>
    </w:p>
    <w:p w14:paraId="7DEEA497">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1.受托方在履行过程中必须遵守本合同约定。</w:t>
      </w:r>
    </w:p>
    <w:p w14:paraId="5F47AB1D">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2.受托方派驻人员上岗前应与委托方签订《</w:t>
      </w:r>
      <w:r>
        <w:rPr>
          <w:rFonts w:hint="eastAsia" w:ascii="仿宋" w:hAnsi="仿宋" w:eastAsia="仿宋" w:cs="仿宋"/>
          <w:color w:val="auto"/>
          <w:sz w:val="24"/>
          <w:szCs w:val="24"/>
          <w:lang w:eastAsia="zh-CN"/>
        </w:rPr>
        <w:t>陕西省</w:t>
      </w:r>
      <w:r>
        <w:rPr>
          <w:rFonts w:hint="eastAsia" w:ascii="仿宋" w:hAnsi="仿宋" w:eastAsia="仿宋" w:cs="仿宋"/>
          <w:color w:val="auto"/>
          <w:sz w:val="24"/>
          <w:szCs w:val="24"/>
        </w:rPr>
        <w:t>医疗保障局保密承诺书》。</w:t>
      </w:r>
    </w:p>
    <w:p w14:paraId="428E46D8">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3.不得泄露在参与工作中了解接触到的</w:t>
      </w:r>
      <w:r>
        <w:rPr>
          <w:rFonts w:hint="eastAsia" w:ascii="仿宋" w:hAnsi="仿宋" w:eastAsia="仿宋" w:cs="仿宋"/>
          <w:color w:val="auto"/>
          <w:sz w:val="24"/>
          <w:szCs w:val="24"/>
          <w:lang w:val="en-US" w:eastAsia="zh-CN"/>
        </w:rPr>
        <w:t>单位</w:t>
      </w:r>
      <w:r>
        <w:rPr>
          <w:rFonts w:hint="eastAsia" w:ascii="仿宋" w:hAnsi="仿宋" w:eastAsia="仿宋" w:cs="仿宋"/>
          <w:color w:val="auto"/>
          <w:sz w:val="24"/>
          <w:szCs w:val="24"/>
        </w:rPr>
        <w:t>秘密、被检查单位商业秘密以及有关工作秘密。</w:t>
      </w:r>
    </w:p>
    <w:p w14:paraId="49A8D132">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4.受托方对在执行业务过程中获取或知悉的资料和信息保密，保密义务不因本合同的无效、变更、中止、解除、终止等而免除。</w:t>
      </w:r>
    </w:p>
    <w:p w14:paraId="2CEA1344">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5.按照委托方提出的异议和改进意见就本合同的履行情况进行改进和完善。</w:t>
      </w:r>
    </w:p>
    <w:p w14:paraId="76505366">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6.未经委托方书面同意，受托方不得将本合同约定内容转由第三方处理。</w:t>
      </w:r>
    </w:p>
    <w:p w14:paraId="38E5A5AD">
      <w:pPr>
        <w:pStyle w:val="5"/>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八、违约责任</w:t>
      </w:r>
    </w:p>
    <w:p w14:paraId="538D5833">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依据《中华人民共和国民法典》、</w:t>
      </w:r>
      <w:r>
        <w:rPr>
          <w:rFonts w:hint="eastAsia" w:ascii="仿宋" w:hAnsi="仿宋" w:eastAsia="仿宋" w:cs="仿宋"/>
          <w:color w:val="auto"/>
          <w:sz w:val="24"/>
          <w:szCs w:val="24"/>
          <w:lang w:val="en-US" w:eastAsia="zh-CN"/>
        </w:rPr>
        <w:t>及</w:t>
      </w:r>
      <w:r>
        <w:rPr>
          <w:rFonts w:hint="eastAsia" w:ascii="仿宋" w:hAnsi="仿宋" w:eastAsia="仿宋" w:cs="仿宋"/>
          <w:color w:val="auto"/>
          <w:sz w:val="24"/>
          <w:szCs w:val="24"/>
        </w:rPr>
        <w:t>相关条款和本合同约定，</w:t>
      </w:r>
      <w:r>
        <w:rPr>
          <w:rFonts w:hint="eastAsia" w:ascii="仿宋" w:hAnsi="仿宋" w:eastAsia="仿宋" w:cs="仿宋"/>
          <w:color w:val="auto"/>
          <w:sz w:val="24"/>
          <w:szCs w:val="24"/>
          <w:lang w:val="en-US" w:eastAsia="zh-CN"/>
        </w:rPr>
        <w:t>成交</w:t>
      </w:r>
      <w:r>
        <w:rPr>
          <w:rFonts w:hint="eastAsia" w:ascii="仿宋" w:hAnsi="仿宋" w:eastAsia="仿宋" w:cs="仿宋"/>
          <w:color w:val="auto"/>
          <w:sz w:val="24"/>
          <w:szCs w:val="24"/>
        </w:rPr>
        <w:t>供应商未全面履行合同义务或者发生违约，采购单位会同采购代理机构有权终止合同，依法向</w:t>
      </w:r>
      <w:r>
        <w:rPr>
          <w:rFonts w:hint="eastAsia" w:ascii="仿宋" w:hAnsi="仿宋" w:eastAsia="仿宋" w:cs="仿宋"/>
          <w:color w:val="auto"/>
          <w:sz w:val="24"/>
          <w:szCs w:val="24"/>
          <w:lang w:val="en-US" w:eastAsia="zh-CN"/>
        </w:rPr>
        <w:t>成交</w:t>
      </w:r>
      <w:r>
        <w:rPr>
          <w:rFonts w:hint="eastAsia" w:ascii="仿宋" w:hAnsi="仿宋" w:eastAsia="仿宋" w:cs="仿宋"/>
          <w:color w:val="auto"/>
          <w:sz w:val="24"/>
          <w:szCs w:val="24"/>
        </w:rPr>
        <w:t>供应商进行经济索赔，并报请监督管理机关进行相应的行政处罚。采购单位违约的，应当赔偿给</w:t>
      </w:r>
      <w:r>
        <w:rPr>
          <w:rFonts w:hint="eastAsia" w:ascii="仿宋" w:hAnsi="仿宋" w:eastAsia="仿宋" w:cs="仿宋"/>
          <w:color w:val="auto"/>
          <w:sz w:val="24"/>
          <w:szCs w:val="24"/>
          <w:lang w:val="en-US" w:eastAsia="zh-CN"/>
        </w:rPr>
        <w:t>成交</w:t>
      </w:r>
      <w:r>
        <w:rPr>
          <w:rFonts w:hint="eastAsia" w:ascii="仿宋" w:hAnsi="仿宋" w:eastAsia="仿宋" w:cs="仿宋"/>
          <w:color w:val="auto"/>
          <w:sz w:val="24"/>
          <w:szCs w:val="24"/>
        </w:rPr>
        <w:t>供应商造成的经济损失。</w:t>
      </w:r>
    </w:p>
    <w:p w14:paraId="609AB4BF">
      <w:pPr>
        <w:pStyle w:val="5"/>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九、其它事项</w:t>
      </w:r>
    </w:p>
    <w:p w14:paraId="2692FE04">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1.本合同履行过程中如有变更或者补充，必须以书面形式签订变更或者补充协议。</w:t>
      </w:r>
    </w:p>
    <w:p w14:paraId="3B40668D">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2.本合同附件及变更或者补充协议均是本合同不可分割的一部分，与本合同具有同等法律效力。</w:t>
      </w:r>
    </w:p>
    <w:p w14:paraId="7F9272BF">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3.本合同经双方法定代表人或授权代表签字，并加盖公章后生效。</w:t>
      </w:r>
    </w:p>
    <w:p w14:paraId="1FA761FB">
      <w:pPr>
        <w:spacing w:line="580" w:lineRule="exact"/>
        <w:ind w:firstLine="482" w:firstLineChars="200"/>
        <w:rPr>
          <w:rFonts w:hint="eastAsia" w:ascii="仿宋" w:hAnsi="仿宋" w:eastAsia="仿宋" w:cs="仿宋"/>
          <w:b/>
          <w:color w:val="auto"/>
        </w:rPr>
      </w:pPr>
      <w:r>
        <w:rPr>
          <w:rFonts w:hint="eastAsia" w:ascii="仿宋" w:hAnsi="仿宋" w:eastAsia="仿宋" w:cs="仿宋"/>
          <w:b/>
          <w:color w:val="auto"/>
        </w:rPr>
        <w:t>十、合同订立</w:t>
      </w:r>
    </w:p>
    <w:p w14:paraId="7F5EC14B">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1. 订立时间：</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61E2881E">
      <w:pPr>
        <w:adjustRightInd w:val="0"/>
        <w:snapToGrid w:val="0"/>
        <w:spacing w:line="580" w:lineRule="exact"/>
        <w:ind w:firstLine="475" w:firstLineChars="198"/>
        <w:rPr>
          <w:rFonts w:hint="eastAsia" w:ascii="仿宋" w:hAnsi="仿宋" w:eastAsia="仿宋" w:cs="仿宋"/>
          <w:color w:val="auto"/>
        </w:rPr>
      </w:pPr>
      <w:r>
        <w:rPr>
          <w:rFonts w:hint="eastAsia" w:ascii="仿宋" w:hAnsi="仿宋" w:eastAsia="仿宋" w:cs="仿宋"/>
          <w:color w:val="auto"/>
        </w:rPr>
        <w:t>2. 订立地点：</w:t>
      </w:r>
      <w:r>
        <w:rPr>
          <w:rFonts w:hint="eastAsia" w:ascii="仿宋" w:hAnsi="仿宋" w:eastAsia="仿宋" w:cs="仿宋"/>
          <w:color w:val="auto"/>
          <w:u w:val="single"/>
        </w:rPr>
        <w:t xml:space="preserve">                      </w:t>
      </w:r>
      <w:r>
        <w:rPr>
          <w:rFonts w:hint="eastAsia" w:ascii="仿宋" w:hAnsi="仿宋" w:eastAsia="仿宋" w:cs="仿宋"/>
          <w:color w:val="auto"/>
        </w:rPr>
        <w:t>。</w:t>
      </w:r>
    </w:p>
    <w:p w14:paraId="27C1C439">
      <w:pPr>
        <w:tabs>
          <w:tab w:val="left" w:pos="980"/>
        </w:tabs>
        <w:kinsoku w:val="0"/>
        <w:spacing w:line="580" w:lineRule="exact"/>
        <w:ind w:firstLine="480" w:firstLineChars="200"/>
        <w:rPr>
          <w:rFonts w:hint="eastAsia" w:ascii="仿宋" w:hAnsi="仿宋" w:eastAsia="仿宋" w:cs="仿宋"/>
          <w:color w:val="auto"/>
        </w:rPr>
      </w:pPr>
      <w:r>
        <w:rPr>
          <w:rFonts w:hint="eastAsia" w:ascii="仿宋" w:hAnsi="仿宋" w:eastAsia="仿宋" w:cs="仿宋"/>
          <w:color w:val="auto"/>
        </w:rPr>
        <w:t>3. 本合同一式</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rPr>
        <w:t>份。各方签字盖章后生效，合同执行完毕自动失效。（合同的服务承诺则长期有效）。</w:t>
      </w:r>
    </w:p>
    <w:p w14:paraId="02D5EB99">
      <w:pPr>
        <w:tabs>
          <w:tab w:val="left" w:pos="980"/>
        </w:tabs>
        <w:kinsoku w:val="0"/>
        <w:spacing w:line="360" w:lineRule="auto"/>
        <w:ind w:firstLine="480" w:firstLineChars="200"/>
        <w:rPr>
          <w:rFonts w:hint="eastAsia" w:ascii="仿宋" w:hAnsi="仿宋" w:eastAsia="仿宋" w:cs="仿宋"/>
          <w:color w:val="auto"/>
          <w:szCs w:val="24"/>
        </w:rPr>
      </w:pPr>
    </w:p>
    <w:p w14:paraId="7154B2B8">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采购人：</w:t>
      </w:r>
      <w:r>
        <w:rPr>
          <w:rFonts w:hint="eastAsia" w:ascii="仿宋" w:hAnsi="仿宋" w:eastAsia="仿宋" w:cs="仿宋"/>
          <w:color w:val="auto"/>
          <w:szCs w:val="24"/>
          <w:u w:val="single"/>
        </w:rPr>
        <w:t xml:space="preserve">   （盖章）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供应商：</w:t>
      </w:r>
      <w:r>
        <w:rPr>
          <w:rFonts w:hint="eastAsia" w:ascii="仿宋" w:hAnsi="仿宋" w:eastAsia="仿宋" w:cs="仿宋"/>
          <w:color w:val="auto"/>
          <w:szCs w:val="24"/>
          <w:u w:val="single"/>
        </w:rPr>
        <w:t xml:space="preserve">   （盖章）    </w:t>
      </w:r>
    </w:p>
    <w:p w14:paraId="5D6F06ED">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 xml:space="preserve">地址：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地址： </w:t>
      </w:r>
      <w:r>
        <w:rPr>
          <w:rFonts w:hint="eastAsia" w:ascii="仿宋" w:hAnsi="仿宋" w:eastAsia="仿宋" w:cs="仿宋"/>
          <w:color w:val="auto"/>
          <w:szCs w:val="24"/>
          <w:u w:val="single"/>
        </w:rPr>
        <w:t xml:space="preserve">                      </w:t>
      </w:r>
    </w:p>
    <w:p w14:paraId="5259D98E">
      <w:pPr>
        <w:adjustRightInd w:val="0"/>
        <w:snapToGrid w:val="0"/>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邮政编码：</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邮政编码：</w:t>
      </w:r>
      <w:r>
        <w:rPr>
          <w:rFonts w:hint="eastAsia" w:ascii="仿宋" w:hAnsi="仿宋" w:eastAsia="仿宋" w:cs="仿宋"/>
          <w:color w:val="auto"/>
          <w:szCs w:val="24"/>
          <w:u w:val="single"/>
        </w:rPr>
        <w:t xml:space="preserve">                  </w:t>
      </w:r>
    </w:p>
    <w:p w14:paraId="49BE4961">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法定代表人或其授权                 法定代表人或其授权</w:t>
      </w:r>
    </w:p>
    <w:p w14:paraId="5F32419B">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的代理人：</w:t>
      </w:r>
      <w:r>
        <w:rPr>
          <w:rFonts w:hint="eastAsia" w:ascii="仿宋" w:hAnsi="仿宋" w:eastAsia="仿宋" w:cs="仿宋"/>
          <w:color w:val="auto"/>
          <w:szCs w:val="24"/>
          <w:u w:val="single"/>
        </w:rPr>
        <w:t>（签字）</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的代理人：</w:t>
      </w:r>
      <w:r>
        <w:rPr>
          <w:rFonts w:hint="eastAsia" w:ascii="仿宋" w:hAnsi="仿宋" w:eastAsia="仿宋" w:cs="仿宋"/>
          <w:color w:val="auto"/>
          <w:szCs w:val="24"/>
          <w:u w:val="single"/>
        </w:rPr>
        <w:t xml:space="preserve">（签字）          </w:t>
      </w:r>
    </w:p>
    <w:p w14:paraId="3E03761C">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开户银行：</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开户银行：</w:t>
      </w:r>
      <w:r>
        <w:rPr>
          <w:rFonts w:hint="eastAsia" w:ascii="仿宋" w:hAnsi="仿宋" w:eastAsia="仿宋" w:cs="仿宋"/>
          <w:color w:val="auto"/>
          <w:szCs w:val="24"/>
          <w:u w:val="single"/>
        </w:rPr>
        <w:t xml:space="preserve">                  </w:t>
      </w:r>
    </w:p>
    <w:p w14:paraId="007B3046">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账号：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账号：</w:t>
      </w:r>
      <w:r>
        <w:rPr>
          <w:rFonts w:hint="eastAsia" w:ascii="仿宋" w:hAnsi="仿宋" w:eastAsia="仿宋" w:cs="仿宋"/>
          <w:color w:val="auto"/>
          <w:szCs w:val="24"/>
          <w:u w:val="single"/>
        </w:rPr>
        <w:t xml:space="preserve">                       </w:t>
      </w:r>
    </w:p>
    <w:p w14:paraId="0E489291">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电话：</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电话：</w:t>
      </w:r>
      <w:r>
        <w:rPr>
          <w:rFonts w:hint="eastAsia" w:ascii="仿宋" w:hAnsi="仿宋" w:eastAsia="仿宋" w:cs="仿宋"/>
          <w:color w:val="auto"/>
          <w:szCs w:val="24"/>
          <w:u w:val="single"/>
        </w:rPr>
        <w:t xml:space="preserve">                       </w:t>
      </w:r>
    </w:p>
    <w:p w14:paraId="531F16EE">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传真：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传真：</w:t>
      </w:r>
      <w:r>
        <w:rPr>
          <w:rFonts w:hint="eastAsia" w:ascii="仿宋" w:hAnsi="仿宋" w:eastAsia="仿宋" w:cs="仿宋"/>
          <w:color w:val="auto"/>
          <w:szCs w:val="24"/>
          <w:u w:val="single"/>
        </w:rPr>
        <w:t xml:space="preserve">                       </w:t>
      </w:r>
    </w:p>
    <w:p w14:paraId="7D2C1CEF">
      <w:pPr>
        <w:adjustRightInd w:val="0"/>
        <w:snapToGrid w:val="0"/>
        <w:spacing w:line="360" w:lineRule="auto"/>
        <w:ind w:firstLine="475" w:firstLineChars="198"/>
        <w:rPr>
          <w:rFonts w:hint="eastAsia" w:ascii="仿宋" w:hAnsi="仿宋" w:eastAsia="仿宋" w:cs="仿宋"/>
          <w:color w:val="auto"/>
          <w:szCs w:val="24"/>
          <w:u w:val="single"/>
          <w:lang w:val="en-US" w:eastAsia="zh-CN"/>
        </w:rPr>
      </w:pPr>
      <w:r>
        <w:rPr>
          <w:rFonts w:hint="eastAsia" w:ascii="仿宋" w:hAnsi="仿宋" w:eastAsia="仿宋" w:cs="仿宋"/>
          <w:color w:val="auto"/>
          <w:szCs w:val="24"/>
        </w:rPr>
        <w:t>电子邮箱：</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电子邮箱：</w:t>
      </w:r>
      <w:r>
        <w:rPr>
          <w:rFonts w:hint="eastAsia" w:ascii="仿宋" w:hAnsi="仿宋" w:eastAsia="仿宋" w:cs="仿宋"/>
          <w:color w:val="auto"/>
          <w:szCs w:val="24"/>
          <w:u w:val="single"/>
        </w:rPr>
        <w:t xml:space="preserve">                  </w:t>
      </w:r>
      <w:r>
        <w:rPr>
          <w:rFonts w:hint="eastAsia" w:ascii="仿宋" w:hAnsi="仿宋" w:eastAsia="仿宋" w:cs="仿宋"/>
          <w:color w:val="auto"/>
          <w:szCs w:val="24"/>
          <w:u w:val="single"/>
          <w:lang w:val="en-US" w:eastAsia="zh-CN"/>
        </w:rPr>
        <w:t xml:space="preserve">  </w:t>
      </w:r>
    </w:p>
    <w:p w14:paraId="6F203E59">
      <w:pPr>
        <w:bidi w:val="0"/>
        <w:rPr>
          <w:rFonts w:hint="default" w:ascii="宋体" w:hAnsi="Times New Roman" w:eastAsia="宋体" w:cs="Times New Roman"/>
          <w:sz w:val="24"/>
          <w:lang w:val="en-US" w:eastAsia="zh-CN" w:bidi="ar-SA"/>
        </w:rPr>
      </w:pPr>
    </w:p>
    <w:p w14:paraId="183B23BB">
      <w:pPr>
        <w:bidi w:val="0"/>
        <w:rPr>
          <w:rFonts w:hint="default"/>
          <w:lang w:val="en-US" w:eastAsia="zh-CN"/>
        </w:rPr>
      </w:pPr>
    </w:p>
    <w:p w14:paraId="1129E961">
      <w:pPr>
        <w:bidi w:val="0"/>
        <w:rPr>
          <w:rFonts w:hint="default"/>
          <w:lang w:val="en-US" w:eastAsia="zh-CN"/>
        </w:rPr>
      </w:pPr>
    </w:p>
    <w:p w14:paraId="5A63D9D1">
      <w:pPr>
        <w:bidi w:val="0"/>
        <w:rPr>
          <w:rFonts w:hint="default"/>
          <w:lang w:val="en-US" w:eastAsia="zh-CN"/>
        </w:rPr>
      </w:pPr>
    </w:p>
    <w:p w14:paraId="31ECC8F2">
      <w:pPr>
        <w:bidi w:val="0"/>
        <w:rPr>
          <w:rFonts w:hint="default"/>
          <w:lang w:val="en-US" w:eastAsia="zh-CN"/>
        </w:rPr>
      </w:pPr>
    </w:p>
    <w:p w14:paraId="332C8C4C">
      <w:pPr>
        <w:bidi w:val="0"/>
        <w:rPr>
          <w:rFonts w:hint="default"/>
          <w:lang w:val="en-US" w:eastAsia="zh-CN"/>
        </w:rPr>
      </w:pPr>
    </w:p>
    <w:p w14:paraId="47DD9D40">
      <w:pPr>
        <w:bidi w:val="0"/>
        <w:rPr>
          <w:rFonts w:hint="default"/>
          <w:lang w:val="en-US" w:eastAsia="zh-CN"/>
        </w:rPr>
      </w:pPr>
    </w:p>
    <w:p w14:paraId="0A5E7398">
      <w:pPr>
        <w:bidi w:val="0"/>
        <w:rPr>
          <w:rFonts w:hint="default"/>
          <w:lang w:val="en-US" w:eastAsia="zh-CN"/>
        </w:rPr>
      </w:pPr>
    </w:p>
    <w:p w14:paraId="32DA1339">
      <w:pPr>
        <w:bidi w:val="0"/>
        <w:rPr>
          <w:rFonts w:hint="default"/>
          <w:lang w:val="en-US" w:eastAsia="zh-CN"/>
        </w:rPr>
      </w:pPr>
    </w:p>
    <w:p w14:paraId="5935EBE6">
      <w:pPr>
        <w:pStyle w:val="2"/>
        <w:spacing w:after="120"/>
        <w:rPr>
          <w:rFonts w:hint="eastAsia" w:ascii="仿宋" w:hAnsi="仿宋" w:eastAsia="仿宋" w:cs="仿宋"/>
          <w:b/>
          <w:bCs/>
          <w:lang w:val="en-US" w:eastAsia="zh-CN"/>
        </w:rPr>
      </w:pPr>
      <w:bookmarkStart w:id="1" w:name="_GoBack"/>
      <w:bookmarkEnd w:id="1"/>
      <w:r>
        <w:rPr>
          <w:rFonts w:hint="eastAsia" w:ascii="仿宋" w:hAnsi="仿宋" w:eastAsia="仿宋" w:cs="仿宋"/>
          <w:b/>
          <w:bCs/>
          <w:lang w:val="en-US" w:eastAsia="zh-CN"/>
        </w:rPr>
        <w:t>附件：保密协议</w:t>
      </w:r>
    </w:p>
    <w:p w14:paraId="7D9D992C">
      <w:pPr>
        <w:pStyle w:val="3"/>
        <w:spacing w:before="0" w:beforeAutospacing="0" w:after="100" w:afterAutospacing="0" w:line="300" w:lineRule="auto"/>
        <w:ind w:left="0" w:leftChars="0" w:right="0" w:rightChars="0"/>
        <w:jc w:val="center"/>
        <w:rPr>
          <w:rFonts w:hint="eastAsia" w:ascii="仿宋" w:hAnsi="仿宋" w:eastAsia="仿宋" w:cs="仿宋"/>
          <w:sz w:val="24"/>
          <w:szCs w:val="28"/>
        </w:rPr>
      </w:pPr>
      <w:r>
        <w:rPr>
          <w:rFonts w:hint="eastAsia" w:ascii="仿宋" w:hAnsi="仿宋" w:eastAsia="仿宋" w:cs="仿宋"/>
          <w:sz w:val="24"/>
          <w:szCs w:val="28"/>
        </w:rPr>
        <w:t>2026年度未央区医保基金监管引入第三方服务项目保密协议</w:t>
      </w:r>
    </w:p>
    <w:p w14:paraId="07A6D8DF">
      <w:pPr>
        <w:spacing w:before="100" w:beforeAutospacing="0" w:after="100" w:afterAutospacing="0" w:line="300" w:lineRule="auto"/>
        <w:ind w:left="0" w:leftChars="0" w:right="0" w:rightChars="0"/>
        <w:rPr>
          <w:rFonts w:hint="eastAsia" w:ascii="仿宋" w:hAnsi="仿宋" w:eastAsia="仿宋" w:cs="仿宋"/>
          <w:sz w:val="24"/>
          <w:szCs w:val="24"/>
          <w:u w:val="single"/>
          <w:lang w:val="en-US" w:eastAsia="zh-CN"/>
        </w:rPr>
      </w:pPr>
      <w:r>
        <w:rPr>
          <w:rFonts w:hint="eastAsia" w:ascii="仿宋" w:hAnsi="仿宋" w:eastAsia="仿宋" w:cs="仿宋"/>
          <w:sz w:val="24"/>
          <w:szCs w:val="24"/>
        </w:rPr>
        <w:t>甲方：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286A23E8">
      <w:pPr>
        <w:spacing w:before="100" w:beforeAutospacing="0" w:after="100" w:afterAutospacing="0" w:line="300" w:lineRule="auto"/>
        <w:ind w:left="0" w:leftChars="0" w:right="0" w:rightChars="0"/>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3D204464">
      <w:pPr>
        <w:spacing w:before="100" w:beforeAutospacing="0" w:after="100" w:afterAutospacing="0" w:line="30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鉴于甲方与乙方就2026年度未央区医保基金监管引入第三方服务项目（以下简称“本项目”）达成合作，为保护甲方及相关方的敏感信息和商业秘密，甲乙双方经友好协商，达成如下保密协议：</w:t>
      </w:r>
    </w:p>
    <w:p w14:paraId="56669992">
      <w:pPr>
        <w:pStyle w:val="4"/>
        <w:spacing w:before="320" w:beforeAutospacing="0" w:after="100" w:afterAutospacing="0" w:line="300" w:lineRule="auto"/>
        <w:ind w:left="0" w:leftChars="0" w:right="0" w:rightChars="0"/>
        <w:rPr>
          <w:rFonts w:hint="eastAsia" w:ascii="仿宋" w:hAnsi="仿宋" w:eastAsia="仿宋" w:cs="仿宋"/>
          <w:sz w:val="24"/>
          <w:szCs w:val="28"/>
        </w:rPr>
      </w:pPr>
      <w:r>
        <w:rPr>
          <w:rFonts w:hint="eastAsia" w:ascii="仿宋" w:hAnsi="仿宋" w:eastAsia="仿宋" w:cs="仿宋"/>
          <w:sz w:val="24"/>
          <w:szCs w:val="28"/>
        </w:rPr>
        <w:t>第一条 保密信息的定义</w:t>
      </w:r>
    </w:p>
    <w:p w14:paraId="5D441B54">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1.1 本协议所称“保密信息”是指甲方在本项目合作过程中向乙方提供的或乙方在履行本项目服务过程中接触到的所有与医保基金监管相关的信息，包括但不限于：</w:t>
      </w:r>
    </w:p>
    <w:p w14:paraId="10F8D030">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（1）医保基金收支数据、参保人员信息、定点医疗机构数据、医疗服务项目及价格信息；</w:t>
      </w:r>
    </w:p>
    <w:p w14:paraId="0F391016">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（2）医保基金监管政策文件、工作方案、风险评估报告、审计报告；</w:t>
      </w:r>
    </w:p>
    <w:p w14:paraId="37D03031">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（3）甲方内部管理信息、业务流程、技术文档；</w:t>
      </w:r>
    </w:p>
    <w:p w14:paraId="1AA23282">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（4）本项目合作过程中产生的所有未公开信息。</w:t>
      </w:r>
    </w:p>
    <w:p w14:paraId="19C731FA">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1.2 保密信息不包括以下信息：</w:t>
      </w:r>
    </w:p>
    <w:p w14:paraId="638079FB">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（1）乙方在与甲方合作前已合法拥有的信息；</w:t>
      </w:r>
    </w:p>
    <w:p w14:paraId="215B5DEB">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（2）非因乙方过错而进入公有领域的信息；</w:t>
      </w:r>
    </w:p>
    <w:p w14:paraId="4BCCD6C1">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（3）乙方从第三方合法获得且该第三方无保密义务的信息。</w:t>
      </w:r>
    </w:p>
    <w:p w14:paraId="216B1B73">
      <w:pPr>
        <w:pStyle w:val="4"/>
        <w:spacing w:before="320" w:beforeAutospacing="0" w:after="100" w:afterAutospacing="0" w:line="300" w:lineRule="auto"/>
        <w:ind w:left="0" w:leftChars="0" w:right="0" w:rightChars="0"/>
        <w:rPr>
          <w:rFonts w:hint="eastAsia" w:ascii="仿宋" w:hAnsi="仿宋" w:eastAsia="仿宋" w:cs="仿宋"/>
          <w:sz w:val="24"/>
          <w:szCs w:val="28"/>
        </w:rPr>
      </w:pPr>
      <w:r>
        <w:rPr>
          <w:rFonts w:hint="eastAsia" w:ascii="仿宋" w:hAnsi="仿宋" w:eastAsia="仿宋" w:cs="仿宋"/>
          <w:sz w:val="24"/>
          <w:szCs w:val="28"/>
        </w:rPr>
        <w:t>第二条 保密义务</w:t>
      </w:r>
    </w:p>
    <w:p w14:paraId="3C9244B4">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2.1 乙方应对保密信息严格保密，未经甲方书面许可，不得向任何第三方披露、复制、传播或用于本项目以外的任何目的。</w:t>
      </w:r>
    </w:p>
    <w:p w14:paraId="5CD2428D">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2.2 乙方应采取必要的技术和管理措施，确保保密信息的安全，防止其被泄露、丢失或损坏。</w:t>
      </w:r>
    </w:p>
    <w:p w14:paraId="398A19F8">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2.3 乙方仅可将保密信息披露给因履行本项目服务而确有必要知悉的其员工、代理人或分包商，且应确保该等人员遵守本协议的保密义务。</w:t>
      </w:r>
    </w:p>
    <w:p w14:paraId="12CECF76">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2.4 乙方应在本项目结束后或甲方要求时，立即归还或销毁所有保密信息及其载体，包括但不限于纸质文件、电子文档、存储介质等。</w:t>
      </w:r>
    </w:p>
    <w:p w14:paraId="41B1E3FD">
      <w:pPr>
        <w:pStyle w:val="4"/>
        <w:spacing w:before="320" w:beforeAutospacing="0" w:after="100" w:afterAutospacing="0" w:line="300" w:lineRule="auto"/>
        <w:ind w:left="0" w:leftChars="0" w:right="0" w:rightChars="0"/>
        <w:rPr>
          <w:rFonts w:hint="eastAsia" w:ascii="仿宋" w:hAnsi="仿宋" w:eastAsia="仿宋" w:cs="仿宋"/>
          <w:sz w:val="24"/>
          <w:szCs w:val="28"/>
        </w:rPr>
      </w:pPr>
      <w:r>
        <w:rPr>
          <w:rFonts w:hint="eastAsia" w:ascii="仿宋" w:hAnsi="仿宋" w:eastAsia="仿宋" w:cs="仿宋"/>
          <w:sz w:val="24"/>
          <w:szCs w:val="28"/>
        </w:rPr>
        <w:t>第三条 保密期限</w:t>
      </w:r>
    </w:p>
    <w:p w14:paraId="72AA1F33">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3.1 本协议的保密期限自本协议生效之日起至本项目结束后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年止。</w:t>
      </w:r>
    </w:p>
    <w:p w14:paraId="0F41427F">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3.2 对于涉及国家秘密、个人隐私或其他依法需要长期保密的信息，保密期限应根据相关法律法规的规定执行。</w:t>
      </w:r>
    </w:p>
    <w:p w14:paraId="4300F1F0">
      <w:pPr>
        <w:pStyle w:val="4"/>
        <w:spacing w:before="320" w:beforeAutospacing="0" w:after="100" w:afterAutospacing="0" w:line="300" w:lineRule="auto"/>
        <w:ind w:left="0" w:leftChars="0" w:right="0" w:rightChars="0"/>
        <w:rPr>
          <w:rFonts w:hint="eastAsia" w:ascii="仿宋" w:hAnsi="仿宋" w:eastAsia="仿宋" w:cs="仿宋"/>
          <w:sz w:val="24"/>
          <w:szCs w:val="28"/>
        </w:rPr>
      </w:pPr>
      <w:r>
        <w:rPr>
          <w:rFonts w:hint="eastAsia" w:ascii="仿宋" w:hAnsi="仿宋" w:eastAsia="仿宋" w:cs="仿宋"/>
          <w:sz w:val="24"/>
          <w:szCs w:val="28"/>
        </w:rPr>
        <w:t>第四条 违约责任</w:t>
      </w:r>
    </w:p>
    <w:p w14:paraId="7805B3F2">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4.1 若乙方违反本协议的保密义务，应立即停止违约行为，并赔偿甲方因此遭受的全部损失，包括但不限于直接损失、间接损失、律师费、诉讼费等。</w:t>
      </w:r>
    </w:p>
    <w:p w14:paraId="3B7EFFF4">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4.2 若乙方的违约行为导致甲方或相关方的合法权益受到严重损害，甲方有权解除与乙方的合作协议，并追究乙方的法律责任。</w:t>
      </w:r>
    </w:p>
    <w:p w14:paraId="57A4680C">
      <w:pPr>
        <w:pStyle w:val="4"/>
        <w:spacing w:before="320" w:beforeAutospacing="0" w:after="100" w:afterAutospacing="0" w:line="300" w:lineRule="auto"/>
        <w:ind w:left="0" w:leftChars="0" w:right="0" w:rightChars="0"/>
        <w:rPr>
          <w:rFonts w:hint="eastAsia" w:ascii="仿宋" w:hAnsi="仿宋" w:eastAsia="仿宋" w:cs="仿宋"/>
          <w:sz w:val="24"/>
          <w:szCs w:val="28"/>
        </w:rPr>
      </w:pPr>
      <w:r>
        <w:rPr>
          <w:rFonts w:hint="eastAsia" w:ascii="仿宋" w:hAnsi="仿宋" w:eastAsia="仿宋" w:cs="仿宋"/>
          <w:sz w:val="24"/>
          <w:szCs w:val="28"/>
        </w:rPr>
        <w:t>第五条 争议解决</w:t>
      </w:r>
    </w:p>
    <w:p w14:paraId="61C27B9B">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5.1 因本协议引起的或与本协议有关的任何争议，双方应通过友好协商解决；协商不成的，任何一方均有权向甲方所在地有管辖权的人民法院提起诉讼。</w:t>
      </w:r>
    </w:p>
    <w:p w14:paraId="627DAB2D">
      <w:pPr>
        <w:pStyle w:val="4"/>
        <w:spacing w:before="320" w:beforeAutospacing="0" w:after="100" w:afterAutospacing="0" w:line="300" w:lineRule="auto"/>
        <w:ind w:left="0" w:leftChars="0" w:right="0" w:rightChars="0"/>
        <w:rPr>
          <w:rFonts w:hint="eastAsia" w:ascii="仿宋" w:hAnsi="仿宋" w:eastAsia="仿宋" w:cs="仿宋"/>
          <w:sz w:val="24"/>
          <w:szCs w:val="28"/>
        </w:rPr>
      </w:pPr>
      <w:r>
        <w:rPr>
          <w:rFonts w:hint="eastAsia" w:ascii="仿宋" w:hAnsi="仿宋" w:eastAsia="仿宋" w:cs="仿宋"/>
          <w:sz w:val="24"/>
          <w:szCs w:val="28"/>
        </w:rPr>
        <w:t>第六条 其他条款</w:t>
      </w:r>
    </w:p>
    <w:p w14:paraId="14F978DC">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6.1 本协议自双方签字盖章之日起生效。</w:t>
      </w:r>
    </w:p>
    <w:p w14:paraId="12BE8516">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6.2 本协议一式两份，甲乙双方各执一份，具有同等法律效力。</w:t>
      </w:r>
    </w:p>
    <w:p w14:paraId="60BD3720">
      <w:pPr>
        <w:spacing w:before="100" w:beforeAutospacing="0" w:after="100" w:afterAutospacing="0" w:line="300" w:lineRule="auto"/>
        <w:ind w:left="400" w:leftChars="0" w:right="0" w:rightChars="0" w:hanging="400" w:firstLineChars="0"/>
        <w:rPr>
          <w:rFonts w:hint="eastAsia" w:ascii="仿宋" w:hAnsi="仿宋" w:eastAsia="仿宋" w:cs="仿宋"/>
          <w:sz w:val="24"/>
          <w:szCs w:val="24"/>
        </w:rPr>
      </w:pPr>
      <w:r>
        <w:rPr>
          <w:rFonts w:hint="eastAsia" w:ascii="仿宋" w:hAnsi="仿宋" w:eastAsia="仿宋" w:cs="仿宋"/>
          <w:sz w:val="24"/>
          <w:szCs w:val="24"/>
        </w:rPr>
        <w:t>6.3 本协议未尽事宜，双方可另行签订补充协议。补充协议与本协议具有同等法律效力。</w:t>
      </w:r>
    </w:p>
    <w:p w14:paraId="06274CC5">
      <w:pPr>
        <w:spacing w:before="100" w:beforeAutospacing="0" w:after="100" w:afterAutospacing="0" w:line="300" w:lineRule="auto"/>
        <w:ind w:left="1000" w:leftChars="0" w:right="0" w:rightChars="0"/>
        <w:jc w:val="center"/>
        <w:rPr>
          <w:rFonts w:hint="eastAsia" w:ascii="仿宋" w:hAnsi="仿宋" w:eastAsia="仿宋" w:cs="仿宋"/>
          <w:sz w:val="24"/>
          <w:szCs w:val="24"/>
        </w:rPr>
      </w:pPr>
    </w:p>
    <w:p w14:paraId="681D165E">
      <w:pPr>
        <w:spacing w:before="100" w:beforeAutospacing="0" w:after="100" w:afterAutospacing="0" w:line="300" w:lineRule="auto"/>
        <w:ind w:right="0" w:rightChars="0"/>
        <w:jc w:val="both"/>
        <w:rPr>
          <w:rFonts w:hint="eastAsia" w:ascii="仿宋" w:hAnsi="仿宋" w:eastAsia="仿宋" w:cs="仿宋"/>
          <w:sz w:val="24"/>
          <w:szCs w:val="24"/>
        </w:rPr>
      </w:pPr>
      <w:r>
        <w:rPr>
          <w:rFonts w:hint="eastAsia" w:ascii="仿宋" w:hAnsi="仿宋" w:eastAsia="仿宋" w:cs="仿宋"/>
          <w:sz w:val="24"/>
          <w:szCs w:val="24"/>
        </w:rPr>
        <w:t>甲方（盖章）：</w:t>
      </w:r>
    </w:p>
    <w:p w14:paraId="44A567D4">
      <w:pPr>
        <w:spacing w:before="100" w:beforeAutospacing="0" w:after="100" w:afterAutospacing="0" w:line="300" w:lineRule="auto"/>
        <w:ind w:right="0" w:rightChars="0"/>
        <w:jc w:val="both"/>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val="en-US" w:eastAsia="zh-CN"/>
        </w:rPr>
        <w:t>或授权代表</w:t>
      </w:r>
      <w:r>
        <w:rPr>
          <w:rFonts w:hint="eastAsia" w:ascii="仿宋" w:hAnsi="仿宋" w:eastAsia="仿宋" w:cs="仿宋"/>
          <w:sz w:val="24"/>
          <w:szCs w:val="24"/>
        </w:rPr>
        <w:t>（签字）：</w:t>
      </w:r>
    </w:p>
    <w:p w14:paraId="6207ABA1">
      <w:pPr>
        <w:spacing w:before="100" w:beforeAutospacing="0" w:after="100" w:afterAutospacing="0" w:line="300" w:lineRule="auto"/>
        <w:ind w:right="0" w:rightChars="0"/>
        <w:jc w:val="both"/>
        <w:rPr>
          <w:rFonts w:hint="eastAsia" w:ascii="仿宋" w:hAnsi="仿宋" w:eastAsia="仿宋" w:cs="仿宋"/>
          <w:sz w:val="24"/>
          <w:szCs w:val="24"/>
        </w:rPr>
      </w:pPr>
      <w:r>
        <w:rPr>
          <w:rFonts w:hint="eastAsia" w:ascii="仿宋" w:hAnsi="仿宋" w:eastAsia="仿宋" w:cs="仿宋"/>
          <w:sz w:val="24"/>
          <w:szCs w:val="24"/>
        </w:rPr>
        <w:t>日期： 年 月 日</w:t>
      </w:r>
    </w:p>
    <w:p w14:paraId="368BEF82">
      <w:pPr>
        <w:pStyle w:val="2"/>
        <w:rPr>
          <w:rFonts w:hint="eastAsia" w:ascii="仿宋" w:hAnsi="仿宋" w:eastAsia="仿宋" w:cs="仿宋"/>
          <w:sz w:val="24"/>
        </w:rPr>
      </w:pPr>
    </w:p>
    <w:p w14:paraId="45065601">
      <w:pPr>
        <w:spacing w:before="100" w:beforeAutospacing="0" w:after="100" w:afterAutospacing="0" w:line="300" w:lineRule="auto"/>
        <w:ind w:right="0" w:rightChars="0"/>
        <w:jc w:val="both"/>
        <w:rPr>
          <w:rFonts w:hint="eastAsia" w:ascii="仿宋" w:hAnsi="仿宋" w:eastAsia="仿宋" w:cs="仿宋"/>
          <w:sz w:val="24"/>
          <w:szCs w:val="24"/>
        </w:rPr>
      </w:pPr>
      <w:r>
        <w:rPr>
          <w:rFonts w:hint="eastAsia" w:ascii="仿宋" w:hAnsi="仿宋" w:eastAsia="仿宋" w:cs="仿宋"/>
          <w:sz w:val="24"/>
          <w:szCs w:val="24"/>
        </w:rPr>
        <w:t>乙方（盖章）：法定代表人（签字）：</w:t>
      </w:r>
    </w:p>
    <w:p w14:paraId="51FE5EE3">
      <w:pPr>
        <w:spacing w:before="100" w:beforeAutospacing="0" w:after="100" w:afterAutospacing="0" w:line="300" w:lineRule="auto"/>
        <w:ind w:right="0" w:rightChars="0"/>
        <w:jc w:val="both"/>
        <w:rPr>
          <w:rFonts w:hint="eastAsia" w:ascii="仿宋" w:hAnsi="仿宋" w:eastAsia="仿宋" w:cs="仿宋"/>
          <w:sz w:val="24"/>
          <w:szCs w:val="24"/>
        </w:rPr>
      </w:pPr>
      <w:r>
        <w:rPr>
          <w:rFonts w:hint="eastAsia" w:ascii="仿宋" w:hAnsi="仿宋" w:eastAsia="仿宋" w:cs="仿宋"/>
          <w:sz w:val="24"/>
          <w:szCs w:val="24"/>
        </w:rPr>
        <w:t>日期： 年 月 日</w:t>
      </w:r>
    </w:p>
    <w:p w14:paraId="1A242DE4">
      <w:pPr>
        <w:rPr>
          <w:rFonts w:hint="eastAsia" w:ascii="仿宋" w:hAnsi="仿宋" w:eastAsia="仿宋" w:cs="仿宋"/>
          <w:lang w:val="en-US" w:eastAsia="zh-CN"/>
        </w:rPr>
      </w:pPr>
    </w:p>
    <w:p w14:paraId="6E09447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144C3">
    <w:pPr>
      <w:pStyle w:val="6"/>
      <w:jc w:val="both"/>
      <w:rPr>
        <w:rFonts w:hint="eastAsia"/>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8F16201">
                          <w:pPr>
                            <w:pStyle w:val="6"/>
                          </w:pPr>
                          <w:r>
                            <w:fldChar w:fldCharType="begin"/>
                          </w:r>
                          <w:r>
                            <w:instrText xml:space="preserve"> PAGE  \* MERGEFORMAT </w:instrText>
                          </w:r>
                          <w:r>
                            <w:fldChar w:fldCharType="separate"/>
                          </w:r>
                          <w:r>
                            <w:t>22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8F16201">
                    <w:pPr>
                      <w:pStyle w:val="6"/>
                    </w:pPr>
                    <w:r>
                      <w:fldChar w:fldCharType="begin"/>
                    </w:r>
                    <w:r>
                      <w:instrText xml:space="preserve"> PAGE  \* MERGEFORMAT </w:instrText>
                    </w:r>
                    <w:r>
                      <w:fldChar w:fldCharType="separate"/>
                    </w:r>
                    <w:r>
                      <w:t>22</w:t>
                    </w:r>
                    <w:r>
                      <w:fldChar w:fldCharType="end"/>
                    </w:r>
                  </w:p>
                </w:txbxContent>
              </v:textbox>
            </v:shape>
          </w:pict>
        </mc:Fallback>
      </mc:AlternateContent>
    </w:r>
  </w:p>
  <w:p w14:paraId="4CFF00B2">
    <w:pPr>
      <w:tabs>
        <w:tab w:val="left" w:pos="5646"/>
      </w:tabs>
      <w:rPr>
        <w:sz w:val="18"/>
        <w:szCs w:val="18"/>
      </w:rPr>
    </w:pPr>
  </w:p>
  <w:p w14:paraId="3CE50AA7">
    <w:pPr>
      <w:pStyle w:val="6"/>
      <w:jc w:val="both"/>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8A6720"/>
    <w:rsid w:val="358A6720"/>
    <w:rsid w:val="4B904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3132</Words>
  <Characters>3212</Characters>
  <Lines>0</Lines>
  <Paragraphs>0</Paragraphs>
  <TotalTime>0</TotalTime>
  <ScaleCrop>false</ScaleCrop>
  <LinksUpToDate>false</LinksUpToDate>
  <CharactersWithSpaces>3880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2026-04-14T08:15:00Z</dcterms:created>
  <dc:creator>¬_¬~EmiKo:D</dc:creator>
  <cp:lastModifiedBy>¬_¬~EmiKo:D</cp:lastModifiedBy>
  <dcterms:modified xsi:type="dcterms:W3CDTF">2026-07-14T07:00:51Z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6C23255C42D342099B3EAE39160619E4_11</vt:lpwstr>
  </property>
  <property fmtid="{D5CDD505-2E9C-101B-9397-08002B2CF9AE}" pid="4" name="KSOTemplateDocerSaveRecord">
    <vt:lpwstr>eyJoZGlkIjoiMmE3MGMzNTNmNTRhOWZkYzA5MzJiY2RhMDdlODIxYjIiLCJ1c2VySWQiOiIyMzMzMTIxNDkifQ==</vt:lpwstr>
  </property>
</Properties>
</file>