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DCE2E">
      <w:pPr>
        <w:spacing w:line="360" w:lineRule="auto"/>
        <w:jc w:val="center"/>
        <w:rPr>
          <w:rFonts w:hint="eastAsia" w:ascii="宋体" w:hAnsi="宋体" w:eastAsia="宋体" w:cs="宋体"/>
          <w:spacing w:val="20"/>
          <w:sz w:val="36"/>
          <w:szCs w:val="36"/>
        </w:rPr>
      </w:pPr>
      <w:r>
        <w:rPr>
          <w:rFonts w:hint="eastAsia" w:ascii="宋体" w:hAnsi="宋体" w:eastAsia="宋体" w:cs="宋体"/>
          <w:spacing w:val="20"/>
          <w:sz w:val="36"/>
          <w:szCs w:val="36"/>
        </w:rPr>
        <w:t>拟签订采购合同文本</w:t>
      </w:r>
    </w:p>
    <w:p w14:paraId="21FAFEFD">
      <w:pPr>
        <w:spacing w:line="360" w:lineRule="auto"/>
        <w:jc w:val="center"/>
        <w:rPr>
          <w:rFonts w:hint="eastAsia" w:ascii="宋体" w:hAnsi="宋体" w:eastAsia="宋体" w:cs="宋体"/>
          <w:b/>
          <w:bCs/>
          <w:spacing w:val="20"/>
          <w:sz w:val="32"/>
          <w:szCs w:val="32"/>
        </w:rPr>
      </w:pPr>
      <w:r>
        <w:rPr>
          <w:rFonts w:hint="eastAsia" w:ascii="宋体" w:hAnsi="宋体" w:eastAsia="宋体" w:cs="宋体"/>
          <w:b/>
          <w:bCs/>
          <w:spacing w:val="20"/>
          <w:sz w:val="32"/>
          <w:szCs w:val="32"/>
        </w:rPr>
        <w:t>物业管理服务合同</w:t>
      </w:r>
    </w:p>
    <w:p w14:paraId="7AF97A5B">
      <w:pPr>
        <w:pStyle w:val="4"/>
        <w:tabs>
          <w:tab w:val="clear" w:pos="567"/>
        </w:tabs>
        <w:spacing w:before="0" w:line="360" w:lineRule="auto"/>
        <w:ind w:firstLine="472" w:firstLineChars="225"/>
        <w:rPr>
          <w:rFonts w:hint="eastAsia" w:ascii="仿宋_GB2312" w:eastAsia="仿宋_GB2312"/>
          <w:color w:val="auto"/>
          <w:sz w:val="21"/>
          <w:szCs w:val="21"/>
        </w:rPr>
      </w:pPr>
      <w:r>
        <w:rPr>
          <w:rFonts w:hint="eastAsia" w:ascii="仿宋_GB2312" w:eastAsia="仿宋_GB2312"/>
          <w:color w:val="auto"/>
          <w:sz w:val="21"/>
          <w:szCs w:val="21"/>
        </w:rPr>
        <w:t>甲方：（前款所称采购人）     住所：</w:t>
      </w:r>
    </w:p>
    <w:p w14:paraId="00026241">
      <w:pPr>
        <w:pStyle w:val="4"/>
        <w:tabs>
          <w:tab w:val="clear" w:pos="567"/>
        </w:tabs>
        <w:spacing w:before="0" w:line="360" w:lineRule="auto"/>
        <w:ind w:firstLine="472" w:firstLineChars="225"/>
        <w:rPr>
          <w:rFonts w:hint="eastAsia" w:ascii="仿宋_GB2312" w:eastAsia="仿宋_GB2312"/>
          <w:color w:val="auto"/>
        </w:rPr>
      </w:pPr>
      <w:r>
        <w:rPr>
          <w:rFonts w:hint="eastAsia" w:ascii="仿宋_GB2312" w:eastAsia="仿宋_GB2312"/>
          <w:color w:val="auto"/>
          <w:sz w:val="21"/>
          <w:szCs w:val="21"/>
        </w:rPr>
        <w:t>乙方：（前款所称</w:t>
      </w:r>
      <w:r>
        <w:rPr>
          <w:rFonts w:hint="eastAsia" w:ascii="仿宋_GB2312" w:eastAsia="仿宋_GB2312"/>
          <w:color w:val="auto"/>
          <w:sz w:val="21"/>
          <w:szCs w:val="21"/>
          <w:lang w:val="en-US" w:eastAsia="zh-CN"/>
        </w:rPr>
        <w:t>供应商</w:t>
      </w:r>
      <w:r>
        <w:rPr>
          <w:rFonts w:hint="eastAsia" w:ascii="仿宋_GB2312" w:eastAsia="仿宋_GB2312"/>
          <w:color w:val="auto"/>
          <w:sz w:val="21"/>
          <w:szCs w:val="21"/>
        </w:rPr>
        <w:t>）     住所：</w:t>
      </w:r>
    </w:p>
    <w:p w14:paraId="0B761079">
      <w:pPr>
        <w:pStyle w:val="10"/>
        <w:rPr>
          <w:rFonts w:hint="eastAsia" w:ascii="仿宋_GB2312" w:hAnsi="仿宋_GB2312" w:eastAsia="仿宋_GB2312" w:cs="仿宋_GB2312"/>
        </w:rPr>
      </w:pPr>
      <w:r>
        <w:rPr>
          <w:rFonts w:hint="eastAsia" w:ascii="仿宋_GB2312" w:hAnsi="仿宋_GB2312" w:eastAsia="仿宋_GB2312" w:cs="仿宋_GB2312"/>
        </w:rPr>
        <w:t>根据《中华人民共和国民法典</w:t>
      </w:r>
      <w:r>
        <w:rPr>
          <w:rFonts w:hint="eastAsia" w:ascii="仿宋_GB2312" w:hAnsi="仿宋_GB2312" w:eastAsia="仿宋_GB2312" w:cs="仿宋_GB2312"/>
          <w:lang w:eastAsia="zh-CN"/>
        </w:rPr>
        <w:t>》《</w:t>
      </w:r>
      <w:r>
        <w:rPr>
          <w:rFonts w:hint="eastAsia" w:ascii="仿宋_GB2312" w:hAnsi="仿宋_GB2312" w:eastAsia="仿宋_GB2312" w:cs="仿宋_GB2312"/>
        </w:rPr>
        <w:t>物业管理条例》及相关法律、法规规定，甲乙双方本着公平、公正、公开的原则，通过友好协商就</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t>项目物业管理服务事宜达成一致，订立本合同。</w:t>
      </w:r>
    </w:p>
    <w:p w14:paraId="210401F8">
      <w:pPr>
        <w:keepNext w:val="0"/>
        <w:keepLines w:val="0"/>
        <w:pageBreakBefore w:val="0"/>
        <w:kinsoku/>
        <w:wordWrap/>
        <w:overflowPunct/>
        <w:topLinePunct w:val="0"/>
        <w:autoSpaceDE/>
        <w:autoSpaceDN/>
        <w:bidi w:val="0"/>
        <w:adjustRightInd/>
        <w:spacing w:line="360" w:lineRule="auto"/>
        <w:textAlignment w:val="auto"/>
        <w:rPr>
          <w:rFonts w:hint="eastAsia" w:ascii="仿宋_GB2312" w:hAnsi="仿宋_GB2312" w:eastAsia="仿宋_GB2312" w:cs="仿宋_GB2312"/>
          <w:b/>
          <w:bCs/>
          <w:color w:val="auto"/>
          <w:spacing w:val="0"/>
          <w:sz w:val="21"/>
          <w:szCs w:val="21"/>
        </w:rPr>
      </w:pPr>
      <w:r>
        <w:rPr>
          <w:rFonts w:hint="eastAsia" w:ascii="仿宋_GB2312" w:hAnsi="仿宋_GB2312" w:eastAsia="仿宋_GB2312" w:cs="仿宋_GB2312"/>
          <w:b/>
          <w:bCs/>
          <w:color w:val="auto"/>
          <w:spacing w:val="0"/>
          <w:sz w:val="21"/>
          <w:szCs w:val="21"/>
        </w:rPr>
        <w:t>第一条 物业管理服务的区域及内容</w:t>
      </w:r>
    </w:p>
    <w:p w14:paraId="3FF26B88">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一、物业服务区域</w:t>
      </w:r>
    </w:p>
    <w:p w14:paraId="35484501">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西安市朱雀大街</w:t>
      </w:r>
      <w:r>
        <w:rPr>
          <w:rFonts w:hint="eastAsia" w:ascii="仿宋_GB2312" w:hAnsi="仿宋_GB2312" w:eastAsia="仿宋_GB2312" w:cs="仿宋_GB2312"/>
          <w:kern w:val="0"/>
          <w:sz w:val="20"/>
          <w:szCs w:val="20"/>
          <w:lang w:val="en-US" w:eastAsia="zh-CN"/>
        </w:rPr>
        <w:t>21</w:t>
      </w:r>
      <w:r>
        <w:rPr>
          <w:rFonts w:hint="eastAsia" w:ascii="仿宋_GB2312" w:hAnsi="仿宋_GB2312" w:eastAsia="仿宋_GB2312" w:cs="仿宋_GB2312"/>
          <w:kern w:val="0"/>
          <w:sz w:val="20"/>
          <w:szCs w:val="20"/>
          <w:lang w:val="en-US" w:eastAsia="zh-Hans"/>
        </w:rPr>
        <w:t>号</w:t>
      </w:r>
      <w:r>
        <w:rPr>
          <w:rFonts w:hint="eastAsia" w:ascii="仿宋_GB2312" w:hAnsi="仿宋_GB2312" w:eastAsia="仿宋_GB2312" w:cs="仿宋_GB2312"/>
          <w:kern w:val="0"/>
          <w:sz w:val="20"/>
          <w:szCs w:val="20"/>
          <w:lang w:val="en-US" w:eastAsia="zh-CN"/>
        </w:rPr>
        <w:t>二楼及地下室</w:t>
      </w:r>
      <w:r>
        <w:rPr>
          <w:rFonts w:hint="eastAsia" w:ascii="仿宋_GB2312" w:hAnsi="仿宋_GB2312" w:eastAsia="仿宋_GB2312" w:cs="仿宋_GB2312"/>
          <w:kern w:val="0"/>
          <w:sz w:val="20"/>
          <w:szCs w:val="20"/>
          <w:lang w:val="en-US" w:eastAsia="zh-Hans"/>
        </w:rPr>
        <w:t>，建筑面积</w:t>
      </w:r>
      <w:r>
        <w:rPr>
          <w:rFonts w:hint="eastAsia" w:ascii="仿宋_GB2312" w:hAnsi="仿宋_GB2312" w:eastAsia="仿宋_GB2312" w:cs="仿宋_GB2312"/>
          <w:kern w:val="0"/>
          <w:sz w:val="20"/>
          <w:szCs w:val="20"/>
          <w:lang w:val="en-US" w:eastAsia="zh-CN"/>
        </w:rPr>
        <w:t>4800平方米</w:t>
      </w:r>
      <w:r>
        <w:rPr>
          <w:rFonts w:hint="eastAsia" w:ascii="仿宋_GB2312" w:hAnsi="仿宋_GB2312" w:eastAsia="仿宋_GB2312" w:cs="仿宋_GB2312"/>
          <w:kern w:val="0"/>
          <w:sz w:val="20"/>
          <w:szCs w:val="20"/>
          <w:lang w:val="en-US" w:eastAsia="zh-Hans"/>
        </w:rPr>
        <w:t>。</w:t>
      </w:r>
    </w:p>
    <w:p w14:paraId="1874223A">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CN"/>
        </w:rPr>
        <w:t>二、</w:t>
      </w:r>
      <w:r>
        <w:rPr>
          <w:rFonts w:hint="eastAsia" w:ascii="仿宋_GB2312" w:hAnsi="仿宋_GB2312" w:eastAsia="仿宋_GB2312" w:cs="仿宋_GB2312"/>
          <w:kern w:val="0"/>
          <w:sz w:val="20"/>
          <w:szCs w:val="20"/>
          <w:lang w:val="en-US" w:eastAsia="zh-Hans"/>
        </w:rPr>
        <w:t>物业服务内容</w:t>
      </w:r>
    </w:p>
    <w:p w14:paraId="25671B7E">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1、客户服务</w:t>
      </w:r>
    </w:p>
    <w:p w14:paraId="78E5F13B">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（1）办公区域的客户引领、迎送服务；</w:t>
      </w:r>
    </w:p>
    <w:p w14:paraId="1E043F1C">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（2）办公区的避雨服务；</w:t>
      </w:r>
    </w:p>
    <w:p w14:paraId="301D7773">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（3）客户的存伞服务；</w:t>
      </w:r>
    </w:p>
    <w:p w14:paraId="2E54C90C">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2、环境维护</w:t>
      </w:r>
    </w:p>
    <w:p w14:paraId="24D2C5ED">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（1）1-2层办公区域地面、墙面、门窗的清洁、保洁。</w:t>
      </w:r>
    </w:p>
    <w:p w14:paraId="4D43A257">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（2）1-2层办公区域设施的清洁、保洁、物品的整理。</w:t>
      </w:r>
    </w:p>
    <w:p w14:paraId="13BFE5FE">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（3）电梯轿厢、电梯厅的清洁保洁。</w:t>
      </w:r>
    </w:p>
    <w:p w14:paraId="2D3F4168">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（4）茶水间、卫生间/洗手间的卫生清洁及物品整理。</w:t>
      </w:r>
    </w:p>
    <w:p w14:paraId="77D8B1CB">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（5）消防通道的清洁保洁。</w:t>
      </w:r>
    </w:p>
    <w:p w14:paraId="341AD1B5">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（6）大厅地毯的铺设，为携带雨伞的顾客发放雨伞袋。</w:t>
      </w:r>
    </w:p>
    <w:p w14:paraId="7AE3B7B4">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（7）办公垃圾的收集及清运。</w:t>
      </w:r>
    </w:p>
    <w:p w14:paraId="5A6045C2">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（8）供应商配备茶水间、卫生间/洗手间的清洁工具，并提供一次性纸杯、厨房用纸、擦手纸、卫生纸、洗手液、消毒液、垃圾袋、芳香块、除味喷雾、清洁泡片等日常保洁耗材）。</w:t>
      </w:r>
    </w:p>
    <w:p w14:paraId="535AF0EB">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（9）一个月两次在周末或节假日使用专业设备进行大扫除。</w:t>
      </w:r>
    </w:p>
    <w:p w14:paraId="2547E0AA">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（10）负责公共区域共30盆绿植养护摆放，如有影响品相现象发生应及时更换。</w:t>
      </w:r>
    </w:p>
    <w:p w14:paraId="04773D07">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3、公共秩序维护</w:t>
      </w:r>
    </w:p>
    <w:p w14:paraId="1D90778B">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（1）一层大厅的秩序维护、客户引导、室外停车场的车辆停放引导。</w:t>
      </w:r>
    </w:p>
    <w:p w14:paraId="6B63566C">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（2）办公区的来访登记。</w:t>
      </w:r>
    </w:p>
    <w:p w14:paraId="57197B47">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（3）1-2层办公区域和地下室安全检查及巡逻。</w:t>
      </w:r>
    </w:p>
    <w:p w14:paraId="6A08CC2A">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（4）上班及下班后进行清场检查。</w:t>
      </w:r>
    </w:p>
    <w:p w14:paraId="146CE447">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（5）夜间、节假日的值守。</w:t>
      </w:r>
    </w:p>
    <w:p w14:paraId="345BBFB7">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（6）消防设施设备的巡查、检测。</w:t>
      </w:r>
    </w:p>
    <w:p w14:paraId="0CCFD6DF">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（7）监控室的值班、运行。</w:t>
      </w:r>
    </w:p>
    <w:p w14:paraId="125C2556">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（8）应急突发事件的处理。</w:t>
      </w:r>
    </w:p>
    <w:p w14:paraId="65ED24F9">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（9）协助处理上访服务；</w:t>
      </w:r>
    </w:p>
    <w:p w14:paraId="0044BF9C">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4、设施设备维护、运行</w:t>
      </w:r>
    </w:p>
    <w:p w14:paraId="7940148E">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（1）签订《电梯日常维护保养合同》，确保电梯日常运行符合《特种设备使用管理规则》。</w:t>
      </w:r>
    </w:p>
    <w:p w14:paraId="47C8A56B">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（2）签订《中央空调维保合同》，定期维护保养，确保中央空调系统的正常运行。</w:t>
      </w:r>
    </w:p>
    <w:p w14:paraId="3B967E1C">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（3）签订《消防维护保养合同》，进行消防报警系统、消防排烟系统、摄像系统的维护保养。</w:t>
      </w:r>
    </w:p>
    <w:p w14:paraId="617D33D9">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（4）使用中的4kg干粉灭火器（38具）、七氟丙烷气体灭设备（19组，17 组为 120 L，1 组 90L，1 组 70L）于2026年7月30日到更换期，对上述设备定期检测、维护、更换。</w:t>
      </w:r>
    </w:p>
    <w:p w14:paraId="7FB7F8DD">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（5）按月出具维护保养报告并上传陕西消防小蜜蜂维保系统。</w:t>
      </w:r>
    </w:p>
    <w:p w14:paraId="159F823C">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（6）办公区域照明、给排水设施的维修巡查。</w:t>
      </w:r>
    </w:p>
    <w:p w14:paraId="5EE20F9F">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（5）公共部位装饰装修的检查及维护。</w:t>
      </w:r>
    </w:p>
    <w:p w14:paraId="4E127432">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5、物业档案资料的管理。</w:t>
      </w:r>
    </w:p>
    <w:p w14:paraId="4C928B79">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6、代缴水费、电费，凭缴费凭证报销，每半年结算一次。</w:t>
      </w:r>
    </w:p>
    <w:p w14:paraId="48BDAEFC">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bookmarkStart w:id="0" w:name="_GoBack"/>
      <w:bookmarkEnd w:id="0"/>
      <w:r>
        <w:rPr>
          <w:rFonts w:hint="eastAsia" w:ascii="仿宋_GB2312" w:hAnsi="仿宋_GB2312" w:eastAsia="仿宋_GB2312" w:cs="仿宋_GB2312"/>
          <w:kern w:val="0"/>
          <w:sz w:val="20"/>
          <w:szCs w:val="20"/>
          <w:lang w:val="en-US" w:eastAsia="zh-Hans"/>
        </w:rPr>
        <w:t>三、物业服务标准指标</w:t>
      </w:r>
    </w:p>
    <w:p w14:paraId="21C2C32B">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环境卫生，清洁率≥95%。</w:t>
      </w:r>
    </w:p>
    <w:p w14:paraId="4D87820A">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保洁服务满意率≥95%。</w:t>
      </w:r>
    </w:p>
    <w:p w14:paraId="5A74C8B9">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火灾责任事故发生率0%。</w:t>
      </w:r>
    </w:p>
    <w:p w14:paraId="1E85E7EF">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消防设施设备完好率100%。</w:t>
      </w:r>
    </w:p>
    <w:p w14:paraId="7822B220">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设备完好率100%；</w:t>
      </w:r>
    </w:p>
    <w:p w14:paraId="10A28A5C">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零修及时率≥95%；急修及时率达100%；</w:t>
      </w:r>
    </w:p>
    <w:p w14:paraId="677374B7">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服务有效投诉处理率≥95%；</w:t>
      </w:r>
    </w:p>
    <w:p w14:paraId="3C3EEF0E">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_GB2312" w:hAnsi="仿宋_GB2312" w:eastAsia="仿宋_GB2312" w:cs="仿宋_GB2312"/>
          <w:kern w:val="0"/>
          <w:sz w:val="20"/>
          <w:szCs w:val="20"/>
          <w:lang w:val="en-US" w:eastAsia="zh-Hans"/>
        </w:rPr>
      </w:pPr>
      <w:r>
        <w:rPr>
          <w:rFonts w:hint="eastAsia" w:ascii="仿宋_GB2312" w:hAnsi="仿宋_GB2312" w:eastAsia="仿宋_GB2312" w:cs="仿宋_GB2312"/>
          <w:kern w:val="0"/>
          <w:sz w:val="20"/>
          <w:szCs w:val="20"/>
          <w:lang w:val="en-US" w:eastAsia="zh-Hans"/>
        </w:rPr>
        <w:t>每季度征询一次</w:t>
      </w:r>
      <w:r>
        <w:rPr>
          <w:rFonts w:hint="eastAsia" w:ascii="仿宋_GB2312" w:hAnsi="仿宋_GB2312" w:eastAsia="仿宋_GB2312" w:cs="仿宋_GB2312"/>
          <w:kern w:val="0"/>
          <w:sz w:val="20"/>
          <w:szCs w:val="20"/>
          <w:lang w:val="en-US" w:eastAsia="zh-CN"/>
        </w:rPr>
        <w:t>甲</w:t>
      </w:r>
      <w:r>
        <w:rPr>
          <w:rFonts w:hint="eastAsia" w:ascii="仿宋_GB2312" w:hAnsi="仿宋_GB2312" w:eastAsia="仿宋_GB2312" w:cs="仿宋_GB2312"/>
          <w:kern w:val="0"/>
          <w:sz w:val="20"/>
          <w:szCs w:val="20"/>
          <w:lang w:val="en-US" w:eastAsia="zh-Hans"/>
        </w:rPr>
        <w:t>方对物业服务的意见，满意率达≥90%。</w:t>
      </w:r>
    </w:p>
    <w:p w14:paraId="05F85F01">
      <w:pPr>
        <w:keepNext w:val="0"/>
        <w:keepLines w:val="0"/>
        <w:pageBreakBefore w:val="0"/>
        <w:kinsoku/>
        <w:wordWrap/>
        <w:overflowPunct/>
        <w:topLinePunct w:val="0"/>
        <w:autoSpaceDE/>
        <w:autoSpaceDN/>
        <w:bidi w:val="0"/>
        <w:adjustRightInd/>
        <w:spacing w:line="360" w:lineRule="auto"/>
        <w:textAlignment w:val="auto"/>
        <w:rPr>
          <w:rFonts w:hint="eastAsia" w:ascii="仿宋_GB2312" w:hAnsi="仿宋_GB2312" w:eastAsia="仿宋_GB2312" w:cs="仿宋_GB2312"/>
          <w:b/>
          <w:bCs/>
          <w:color w:val="auto"/>
          <w:spacing w:val="0"/>
          <w:sz w:val="21"/>
          <w:szCs w:val="21"/>
        </w:rPr>
      </w:pPr>
      <w:r>
        <w:rPr>
          <w:rFonts w:hint="eastAsia" w:ascii="仿宋_GB2312" w:hAnsi="仿宋_GB2312" w:eastAsia="仿宋_GB2312" w:cs="仿宋_GB2312"/>
          <w:b/>
          <w:bCs/>
          <w:color w:val="auto"/>
          <w:spacing w:val="0"/>
          <w:sz w:val="21"/>
          <w:szCs w:val="21"/>
        </w:rPr>
        <w:t>第二条 物业服务期限</w:t>
      </w:r>
    </w:p>
    <w:p w14:paraId="7BA0D440">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本协议期限自</w:t>
      </w:r>
      <w:r>
        <w:rPr>
          <w:rFonts w:hint="eastAsia" w:ascii="仿宋_GB2312" w:hAnsi="仿宋_GB2312" w:eastAsia="仿宋_GB2312" w:cs="仿宋_GB2312"/>
          <w:color w:val="auto"/>
          <w:spacing w:val="0"/>
          <w:sz w:val="21"/>
          <w:szCs w:val="21"/>
          <w:u w:val="single"/>
          <w:lang w:val="en-US" w:eastAsia="zh-CN"/>
        </w:rPr>
        <w:t xml:space="preserve">  </w:t>
      </w:r>
      <w:r>
        <w:rPr>
          <w:rFonts w:hint="eastAsia" w:ascii="仿宋_GB2312" w:hAnsi="仿宋_GB2312" w:eastAsia="仿宋_GB2312" w:cs="仿宋_GB2312"/>
          <w:color w:val="auto"/>
          <w:spacing w:val="0"/>
          <w:sz w:val="21"/>
          <w:szCs w:val="21"/>
        </w:rPr>
        <w:t>年</w:t>
      </w:r>
      <w:r>
        <w:rPr>
          <w:rFonts w:hint="eastAsia" w:ascii="仿宋_GB2312" w:hAnsi="仿宋_GB2312" w:eastAsia="仿宋_GB2312" w:cs="仿宋_GB2312"/>
          <w:color w:val="auto"/>
          <w:spacing w:val="0"/>
          <w:sz w:val="21"/>
          <w:szCs w:val="21"/>
          <w:u w:val="single"/>
          <w:lang w:val="en-US" w:eastAsia="zh-CN"/>
        </w:rPr>
        <w:t xml:space="preserve">  </w:t>
      </w:r>
      <w:r>
        <w:rPr>
          <w:rFonts w:hint="eastAsia" w:ascii="仿宋_GB2312" w:hAnsi="仿宋_GB2312" w:eastAsia="仿宋_GB2312" w:cs="仿宋_GB2312"/>
          <w:color w:val="auto"/>
          <w:spacing w:val="0"/>
          <w:sz w:val="21"/>
          <w:szCs w:val="21"/>
        </w:rPr>
        <w:t>月</w:t>
      </w:r>
      <w:r>
        <w:rPr>
          <w:rFonts w:hint="eastAsia" w:ascii="仿宋_GB2312" w:hAnsi="仿宋_GB2312" w:eastAsia="仿宋_GB2312" w:cs="仿宋_GB2312"/>
          <w:color w:val="auto"/>
          <w:spacing w:val="0"/>
          <w:sz w:val="21"/>
          <w:szCs w:val="21"/>
          <w:u w:val="single"/>
          <w:lang w:val="en-US" w:eastAsia="zh-CN"/>
        </w:rPr>
        <w:t xml:space="preserve">  </w:t>
      </w:r>
      <w:r>
        <w:rPr>
          <w:rFonts w:hint="eastAsia" w:ascii="仿宋_GB2312" w:hAnsi="仿宋_GB2312" w:eastAsia="仿宋_GB2312" w:cs="仿宋_GB2312"/>
          <w:color w:val="auto"/>
          <w:spacing w:val="0"/>
          <w:sz w:val="21"/>
          <w:szCs w:val="21"/>
        </w:rPr>
        <w:t>日起至</w:t>
      </w:r>
      <w:r>
        <w:rPr>
          <w:rFonts w:hint="eastAsia" w:ascii="仿宋_GB2312" w:hAnsi="仿宋_GB2312" w:eastAsia="仿宋_GB2312" w:cs="仿宋_GB2312"/>
          <w:color w:val="auto"/>
          <w:spacing w:val="0"/>
          <w:sz w:val="21"/>
          <w:szCs w:val="21"/>
          <w:u w:val="single"/>
          <w:lang w:val="en-US" w:eastAsia="zh-CN"/>
        </w:rPr>
        <w:t xml:space="preserve">  </w:t>
      </w:r>
      <w:r>
        <w:rPr>
          <w:rFonts w:hint="eastAsia" w:ascii="仿宋_GB2312" w:hAnsi="仿宋_GB2312" w:eastAsia="仿宋_GB2312" w:cs="仿宋_GB2312"/>
          <w:color w:val="auto"/>
          <w:spacing w:val="0"/>
          <w:sz w:val="21"/>
          <w:szCs w:val="21"/>
        </w:rPr>
        <w:t>年</w:t>
      </w:r>
      <w:r>
        <w:rPr>
          <w:rFonts w:hint="eastAsia" w:ascii="仿宋_GB2312" w:hAnsi="仿宋_GB2312" w:eastAsia="仿宋_GB2312" w:cs="仿宋_GB2312"/>
          <w:color w:val="auto"/>
          <w:spacing w:val="0"/>
          <w:sz w:val="21"/>
          <w:szCs w:val="21"/>
          <w:u w:val="single"/>
        </w:rPr>
        <w:t xml:space="preserve">  </w:t>
      </w:r>
      <w:r>
        <w:rPr>
          <w:rFonts w:hint="eastAsia" w:ascii="仿宋_GB2312" w:hAnsi="仿宋_GB2312" w:eastAsia="仿宋_GB2312" w:cs="仿宋_GB2312"/>
          <w:color w:val="auto"/>
          <w:spacing w:val="0"/>
          <w:sz w:val="21"/>
          <w:szCs w:val="21"/>
        </w:rPr>
        <w:t>月</w:t>
      </w:r>
      <w:r>
        <w:rPr>
          <w:rFonts w:hint="eastAsia" w:ascii="仿宋_GB2312" w:hAnsi="仿宋_GB2312" w:eastAsia="仿宋_GB2312" w:cs="仿宋_GB2312"/>
          <w:color w:val="auto"/>
          <w:spacing w:val="0"/>
          <w:sz w:val="21"/>
          <w:szCs w:val="21"/>
          <w:u w:val="single"/>
        </w:rPr>
        <w:t xml:space="preserve">  </w:t>
      </w:r>
      <w:r>
        <w:rPr>
          <w:rFonts w:hint="eastAsia" w:ascii="仿宋_GB2312" w:hAnsi="仿宋_GB2312" w:eastAsia="仿宋_GB2312" w:cs="仿宋_GB2312"/>
          <w:color w:val="auto"/>
          <w:spacing w:val="0"/>
          <w:sz w:val="21"/>
          <w:szCs w:val="21"/>
        </w:rPr>
        <w:t>日止。</w:t>
      </w:r>
    </w:p>
    <w:p w14:paraId="5D08E47B">
      <w:pPr>
        <w:keepNext w:val="0"/>
        <w:keepLines w:val="0"/>
        <w:pageBreakBefore w:val="0"/>
        <w:kinsoku/>
        <w:wordWrap/>
        <w:overflowPunct/>
        <w:topLinePunct w:val="0"/>
        <w:autoSpaceDE/>
        <w:autoSpaceDN/>
        <w:bidi w:val="0"/>
        <w:adjustRightInd/>
        <w:spacing w:line="360" w:lineRule="auto"/>
        <w:textAlignment w:val="auto"/>
        <w:rPr>
          <w:rFonts w:hint="eastAsia" w:ascii="仿宋_GB2312" w:hAnsi="仿宋_GB2312" w:eastAsia="仿宋_GB2312" w:cs="仿宋_GB2312"/>
          <w:b/>
          <w:bCs/>
          <w:color w:val="auto"/>
          <w:spacing w:val="0"/>
          <w:sz w:val="21"/>
          <w:szCs w:val="21"/>
        </w:rPr>
      </w:pPr>
      <w:r>
        <w:rPr>
          <w:rFonts w:hint="eastAsia" w:ascii="仿宋_GB2312" w:hAnsi="仿宋_GB2312" w:eastAsia="仿宋_GB2312" w:cs="仿宋_GB2312"/>
          <w:b/>
          <w:bCs/>
          <w:color w:val="auto"/>
          <w:spacing w:val="0"/>
          <w:sz w:val="21"/>
          <w:szCs w:val="21"/>
        </w:rPr>
        <w:t>第三条 物业服务人员配置</w:t>
      </w:r>
    </w:p>
    <w:p w14:paraId="0DF1FCC8">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根据甲乙双方充分沟通，</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方为</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方配置服务人员</w:t>
      </w:r>
      <w:r>
        <w:rPr>
          <w:rFonts w:hint="eastAsia" w:ascii="仿宋_GB2312" w:hAnsi="仿宋_GB2312" w:eastAsia="仿宋_GB2312" w:cs="仿宋_GB2312"/>
          <w:color w:val="auto"/>
          <w:spacing w:val="0"/>
          <w:sz w:val="21"/>
          <w:szCs w:val="21"/>
          <w:lang w:val="en-US" w:eastAsia="zh-CN"/>
        </w:rPr>
        <w:t xml:space="preserve"> </w:t>
      </w:r>
      <w:r>
        <w:rPr>
          <w:rFonts w:hint="eastAsia" w:ascii="仿宋_GB2312" w:hAnsi="仿宋_GB2312" w:eastAsia="仿宋_GB2312" w:cs="仿宋_GB2312"/>
          <w:color w:val="auto"/>
          <w:spacing w:val="0"/>
          <w:sz w:val="21"/>
          <w:szCs w:val="21"/>
          <w:u w:val="single"/>
          <w:lang w:val="en-US" w:eastAsia="zh-CN"/>
        </w:rPr>
        <w:t xml:space="preserve">  </w:t>
      </w:r>
      <w:r>
        <w:rPr>
          <w:rFonts w:hint="eastAsia" w:ascii="仿宋_GB2312" w:hAnsi="仿宋_GB2312" w:eastAsia="仿宋_GB2312" w:cs="仿宋_GB2312"/>
          <w:color w:val="auto"/>
          <w:spacing w:val="0"/>
          <w:sz w:val="21"/>
          <w:szCs w:val="21"/>
        </w:rPr>
        <w:t>人，明细如下：</w:t>
      </w:r>
    </w:p>
    <w:tbl>
      <w:tblPr>
        <w:tblStyle w:val="8"/>
        <w:tblW w:w="9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2"/>
        <w:gridCol w:w="1736"/>
        <w:gridCol w:w="1014"/>
        <w:gridCol w:w="5584"/>
      </w:tblGrid>
      <w:tr w14:paraId="690D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938C054">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序号</w:t>
            </w:r>
          </w:p>
        </w:tc>
        <w:tc>
          <w:tcPr>
            <w:tcW w:w="1736" w:type="dxa"/>
            <w:vAlign w:val="center"/>
          </w:tcPr>
          <w:p w14:paraId="4FA6DE78">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岗位</w:t>
            </w:r>
          </w:p>
        </w:tc>
        <w:tc>
          <w:tcPr>
            <w:tcW w:w="1014" w:type="dxa"/>
            <w:vAlign w:val="center"/>
          </w:tcPr>
          <w:p w14:paraId="53D4ABD9">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人数</w:t>
            </w:r>
          </w:p>
        </w:tc>
        <w:tc>
          <w:tcPr>
            <w:tcW w:w="5584" w:type="dxa"/>
            <w:vAlign w:val="center"/>
          </w:tcPr>
          <w:p w14:paraId="43969334">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配置标准</w:t>
            </w:r>
          </w:p>
        </w:tc>
      </w:tr>
      <w:tr w14:paraId="3E7C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7624150F">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1</w:t>
            </w:r>
          </w:p>
        </w:tc>
        <w:tc>
          <w:tcPr>
            <w:tcW w:w="1736" w:type="dxa"/>
            <w:vAlign w:val="center"/>
          </w:tcPr>
          <w:p w14:paraId="303962BE">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主管</w:t>
            </w:r>
          </w:p>
        </w:tc>
        <w:tc>
          <w:tcPr>
            <w:tcW w:w="1014" w:type="dxa"/>
            <w:vAlign w:val="center"/>
          </w:tcPr>
          <w:p w14:paraId="6D6D2B8A">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p>
        </w:tc>
        <w:tc>
          <w:tcPr>
            <w:tcW w:w="5584" w:type="dxa"/>
            <w:vAlign w:val="center"/>
          </w:tcPr>
          <w:p w14:paraId="043C867E">
            <w:pPr>
              <w:keepNext w:val="0"/>
              <w:keepLines w:val="0"/>
              <w:pageBreakBefore w:val="0"/>
              <w:kinsoku/>
              <w:wordWrap/>
              <w:overflowPunct/>
              <w:topLinePunct w:val="0"/>
              <w:autoSpaceDE/>
              <w:autoSpaceDN/>
              <w:bidi w:val="0"/>
              <w:adjustRightInd/>
              <w:spacing w:line="360" w:lineRule="auto"/>
              <w:jc w:val="left"/>
              <w:textAlignment w:val="auto"/>
              <w:rPr>
                <w:rFonts w:hint="eastAsia" w:ascii="仿宋_GB2312" w:hAnsi="仿宋_GB2312" w:eastAsia="仿宋_GB2312" w:cs="仿宋_GB2312"/>
                <w:color w:val="auto"/>
                <w:spacing w:val="20"/>
                <w:sz w:val="21"/>
                <w:szCs w:val="21"/>
              </w:rPr>
            </w:pPr>
          </w:p>
        </w:tc>
      </w:tr>
      <w:tr w14:paraId="3638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2191C6DF">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2</w:t>
            </w:r>
          </w:p>
        </w:tc>
        <w:tc>
          <w:tcPr>
            <w:tcW w:w="1736" w:type="dxa"/>
            <w:vAlign w:val="center"/>
          </w:tcPr>
          <w:p w14:paraId="27148410">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白班门岗</w:t>
            </w:r>
          </w:p>
        </w:tc>
        <w:tc>
          <w:tcPr>
            <w:tcW w:w="1014" w:type="dxa"/>
            <w:vAlign w:val="center"/>
          </w:tcPr>
          <w:p w14:paraId="219CDAD0">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p>
        </w:tc>
        <w:tc>
          <w:tcPr>
            <w:tcW w:w="5584" w:type="dxa"/>
            <w:vAlign w:val="center"/>
          </w:tcPr>
          <w:p w14:paraId="7B20EC4A">
            <w:pPr>
              <w:keepNext w:val="0"/>
              <w:keepLines w:val="0"/>
              <w:pageBreakBefore w:val="0"/>
              <w:kinsoku/>
              <w:wordWrap/>
              <w:overflowPunct/>
              <w:topLinePunct w:val="0"/>
              <w:autoSpaceDE/>
              <w:autoSpaceDN/>
              <w:bidi w:val="0"/>
              <w:adjustRightInd/>
              <w:spacing w:line="360" w:lineRule="auto"/>
              <w:jc w:val="left"/>
              <w:textAlignment w:val="auto"/>
              <w:rPr>
                <w:rFonts w:hint="eastAsia" w:ascii="仿宋_GB2312" w:hAnsi="仿宋_GB2312" w:eastAsia="仿宋_GB2312" w:cs="仿宋_GB2312"/>
                <w:color w:val="auto"/>
                <w:spacing w:val="20"/>
                <w:sz w:val="21"/>
                <w:szCs w:val="21"/>
              </w:rPr>
            </w:pPr>
          </w:p>
        </w:tc>
      </w:tr>
      <w:tr w14:paraId="7A29F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1AF3CD8B">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lang w:eastAsia="zh-CN"/>
              </w:rPr>
            </w:pPr>
            <w:r>
              <w:rPr>
                <w:rFonts w:hint="eastAsia" w:ascii="仿宋_GB2312" w:hAnsi="仿宋_GB2312" w:eastAsia="仿宋_GB2312" w:cs="仿宋_GB2312"/>
                <w:color w:val="auto"/>
                <w:spacing w:val="20"/>
                <w:sz w:val="21"/>
                <w:szCs w:val="21"/>
                <w:lang w:val="en-US" w:eastAsia="zh-CN"/>
              </w:rPr>
              <w:t>3</w:t>
            </w:r>
          </w:p>
        </w:tc>
        <w:tc>
          <w:tcPr>
            <w:tcW w:w="1736" w:type="dxa"/>
            <w:vAlign w:val="center"/>
          </w:tcPr>
          <w:p w14:paraId="4BF4B773">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夜班值班岗</w:t>
            </w:r>
          </w:p>
        </w:tc>
        <w:tc>
          <w:tcPr>
            <w:tcW w:w="1014" w:type="dxa"/>
            <w:vAlign w:val="center"/>
          </w:tcPr>
          <w:p w14:paraId="7DA3C5AA">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p>
        </w:tc>
        <w:tc>
          <w:tcPr>
            <w:tcW w:w="5584" w:type="dxa"/>
            <w:vAlign w:val="center"/>
          </w:tcPr>
          <w:p w14:paraId="0AB7BA3E">
            <w:pPr>
              <w:keepNext w:val="0"/>
              <w:keepLines w:val="0"/>
              <w:pageBreakBefore w:val="0"/>
              <w:kinsoku/>
              <w:wordWrap/>
              <w:overflowPunct/>
              <w:topLinePunct w:val="0"/>
              <w:autoSpaceDE/>
              <w:autoSpaceDN/>
              <w:bidi w:val="0"/>
              <w:adjustRightInd/>
              <w:spacing w:line="360" w:lineRule="auto"/>
              <w:jc w:val="left"/>
              <w:textAlignment w:val="auto"/>
              <w:rPr>
                <w:rFonts w:hint="eastAsia" w:ascii="仿宋_GB2312" w:hAnsi="仿宋_GB2312" w:eastAsia="仿宋_GB2312" w:cs="仿宋_GB2312"/>
                <w:color w:val="auto"/>
                <w:spacing w:val="20"/>
                <w:sz w:val="21"/>
                <w:szCs w:val="21"/>
              </w:rPr>
            </w:pPr>
          </w:p>
        </w:tc>
      </w:tr>
      <w:tr w14:paraId="6826E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1FE1889E">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lang w:eastAsia="zh-CN"/>
              </w:rPr>
            </w:pPr>
            <w:r>
              <w:rPr>
                <w:rFonts w:hint="eastAsia" w:ascii="仿宋_GB2312" w:hAnsi="仿宋_GB2312" w:eastAsia="仿宋_GB2312" w:cs="仿宋_GB2312"/>
                <w:color w:val="auto"/>
                <w:spacing w:val="20"/>
                <w:sz w:val="21"/>
                <w:szCs w:val="21"/>
                <w:lang w:val="en-US" w:eastAsia="zh-CN"/>
              </w:rPr>
              <w:t>4</w:t>
            </w:r>
          </w:p>
        </w:tc>
        <w:tc>
          <w:tcPr>
            <w:tcW w:w="1736" w:type="dxa"/>
            <w:vAlign w:val="center"/>
          </w:tcPr>
          <w:p w14:paraId="056B334A">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监控岗</w:t>
            </w:r>
          </w:p>
        </w:tc>
        <w:tc>
          <w:tcPr>
            <w:tcW w:w="1014" w:type="dxa"/>
            <w:vAlign w:val="center"/>
          </w:tcPr>
          <w:p w14:paraId="46B2A402">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lang w:eastAsia="zh-CN"/>
              </w:rPr>
            </w:pPr>
          </w:p>
        </w:tc>
        <w:tc>
          <w:tcPr>
            <w:tcW w:w="5584" w:type="dxa"/>
            <w:vAlign w:val="center"/>
          </w:tcPr>
          <w:p w14:paraId="3AADA1CD">
            <w:pPr>
              <w:keepNext w:val="0"/>
              <w:keepLines w:val="0"/>
              <w:pageBreakBefore w:val="0"/>
              <w:kinsoku/>
              <w:wordWrap/>
              <w:overflowPunct/>
              <w:topLinePunct w:val="0"/>
              <w:autoSpaceDE/>
              <w:autoSpaceDN/>
              <w:bidi w:val="0"/>
              <w:adjustRightInd/>
              <w:spacing w:line="360" w:lineRule="auto"/>
              <w:jc w:val="left"/>
              <w:textAlignment w:val="auto"/>
              <w:rPr>
                <w:rFonts w:hint="eastAsia" w:ascii="仿宋_GB2312" w:hAnsi="仿宋_GB2312" w:eastAsia="仿宋_GB2312" w:cs="仿宋_GB2312"/>
                <w:color w:val="auto"/>
                <w:spacing w:val="20"/>
                <w:sz w:val="21"/>
                <w:szCs w:val="21"/>
              </w:rPr>
            </w:pPr>
          </w:p>
        </w:tc>
      </w:tr>
      <w:tr w14:paraId="1476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40BB5AC8">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lang w:eastAsia="zh-CN"/>
              </w:rPr>
            </w:pPr>
            <w:r>
              <w:rPr>
                <w:rFonts w:hint="eastAsia" w:ascii="仿宋_GB2312" w:hAnsi="仿宋_GB2312" w:eastAsia="仿宋_GB2312" w:cs="仿宋_GB2312"/>
                <w:color w:val="auto"/>
                <w:spacing w:val="20"/>
                <w:sz w:val="21"/>
                <w:szCs w:val="21"/>
                <w:lang w:val="en-US" w:eastAsia="zh-CN"/>
              </w:rPr>
              <w:t>5</w:t>
            </w:r>
          </w:p>
        </w:tc>
        <w:tc>
          <w:tcPr>
            <w:tcW w:w="1736" w:type="dxa"/>
            <w:vAlign w:val="center"/>
          </w:tcPr>
          <w:p w14:paraId="2E61FA42">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保洁</w:t>
            </w:r>
          </w:p>
        </w:tc>
        <w:tc>
          <w:tcPr>
            <w:tcW w:w="1014" w:type="dxa"/>
            <w:vAlign w:val="center"/>
          </w:tcPr>
          <w:p w14:paraId="75203848">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p>
        </w:tc>
        <w:tc>
          <w:tcPr>
            <w:tcW w:w="5584" w:type="dxa"/>
            <w:vAlign w:val="center"/>
          </w:tcPr>
          <w:p w14:paraId="779BDA4E">
            <w:pPr>
              <w:keepNext w:val="0"/>
              <w:keepLines w:val="0"/>
              <w:pageBreakBefore w:val="0"/>
              <w:kinsoku/>
              <w:wordWrap/>
              <w:overflowPunct/>
              <w:topLinePunct w:val="0"/>
              <w:autoSpaceDE/>
              <w:autoSpaceDN/>
              <w:bidi w:val="0"/>
              <w:adjustRightInd/>
              <w:spacing w:line="360" w:lineRule="auto"/>
              <w:jc w:val="left"/>
              <w:textAlignment w:val="auto"/>
              <w:rPr>
                <w:rFonts w:hint="eastAsia" w:ascii="仿宋_GB2312" w:hAnsi="仿宋_GB2312" w:eastAsia="仿宋_GB2312" w:cs="仿宋_GB2312"/>
                <w:color w:val="auto"/>
                <w:spacing w:val="20"/>
                <w:sz w:val="21"/>
                <w:szCs w:val="21"/>
              </w:rPr>
            </w:pPr>
          </w:p>
        </w:tc>
      </w:tr>
      <w:tr w14:paraId="3F106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78EFDAB3">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lang w:eastAsia="zh-CN"/>
              </w:rPr>
            </w:pPr>
            <w:r>
              <w:rPr>
                <w:rFonts w:hint="eastAsia" w:ascii="仿宋_GB2312" w:hAnsi="仿宋_GB2312" w:eastAsia="仿宋_GB2312" w:cs="仿宋_GB2312"/>
                <w:color w:val="auto"/>
                <w:spacing w:val="20"/>
                <w:sz w:val="21"/>
                <w:szCs w:val="21"/>
                <w:lang w:val="en-US" w:eastAsia="zh-CN"/>
              </w:rPr>
              <w:t>6</w:t>
            </w:r>
          </w:p>
        </w:tc>
        <w:tc>
          <w:tcPr>
            <w:tcW w:w="1736" w:type="dxa"/>
            <w:vAlign w:val="center"/>
          </w:tcPr>
          <w:p w14:paraId="500159AF">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水电、空调维修工</w:t>
            </w:r>
          </w:p>
        </w:tc>
        <w:tc>
          <w:tcPr>
            <w:tcW w:w="1014" w:type="dxa"/>
            <w:vAlign w:val="center"/>
          </w:tcPr>
          <w:p w14:paraId="0D196227">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p>
        </w:tc>
        <w:tc>
          <w:tcPr>
            <w:tcW w:w="5584" w:type="dxa"/>
            <w:vAlign w:val="center"/>
          </w:tcPr>
          <w:p w14:paraId="30D36BF0">
            <w:pPr>
              <w:keepNext w:val="0"/>
              <w:keepLines w:val="0"/>
              <w:pageBreakBefore w:val="0"/>
              <w:kinsoku/>
              <w:wordWrap/>
              <w:overflowPunct/>
              <w:topLinePunct w:val="0"/>
              <w:autoSpaceDE/>
              <w:autoSpaceDN/>
              <w:bidi w:val="0"/>
              <w:adjustRightInd/>
              <w:spacing w:line="360" w:lineRule="auto"/>
              <w:jc w:val="left"/>
              <w:textAlignment w:val="auto"/>
              <w:rPr>
                <w:rFonts w:hint="eastAsia" w:ascii="仿宋_GB2312" w:hAnsi="仿宋_GB2312" w:eastAsia="仿宋_GB2312" w:cs="仿宋_GB2312"/>
                <w:color w:val="auto"/>
                <w:spacing w:val="20"/>
                <w:sz w:val="21"/>
                <w:szCs w:val="21"/>
              </w:rPr>
            </w:pPr>
          </w:p>
        </w:tc>
      </w:tr>
    </w:tbl>
    <w:p w14:paraId="2189A037">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各岗位上班时间安排及配备标准</w:t>
      </w:r>
    </w:p>
    <w:tbl>
      <w:tblPr>
        <w:tblStyle w:val="8"/>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2963"/>
        <w:gridCol w:w="2275"/>
        <w:gridCol w:w="2275"/>
      </w:tblGrid>
      <w:tr w14:paraId="6E27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586" w:type="dxa"/>
          </w:tcPr>
          <w:p w14:paraId="0AC9C655">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序号</w:t>
            </w:r>
          </w:p>
        </w:tc>
        <w:tc>
          <w:tcPr>
            <w:tcW w:w="2963" w:type="dxa"/>
          </w:tcPr>
          <w:p w14:paraId="13BB1403">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岗位</w:t>
            </w:r>
          </w:p>
        </w:tc>
        <w:tc>
          <w:tcPr>
            <w:tcW w:w="2275" w:type="dxa"/>
          </w:tcPr>
          <w:p w14:paraId="00B7F784">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上班时间</w:t>
            </w:r>
          </w:p>
        </w:tc>
        <w:tc>
          <w:tcPr>
            <w:tcW w:w="2275" w:type="dxa"/>
          </w:tcPr>
          <w:p w14:paraId="038E054D">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下班时间</w:t>
            </w:r>
          </w:p>
        </w:tc>
      </w:tr>
      <w:tr w14:paraId="2BE9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586" w:type="dxa"/>
          </w:tcPr>
          <w:p w14:paraId="2D13FE19">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1</w:t>
            </w:r>
          </w:p>
        </w:tc>
        <w:tc>
          <w:tcPr>
            <w:tcW w:w="2963" w:type="dxa"/>
          </w:tcPr>
          <w:p w14:paraId="665CCB2B">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主管</w:t>
            </w:r>
          </w:p>
        </w:tc>
        <w:tc>
          <w:tcPr>
            <w:tcW w:w="2275" w:type="dxa"/>
          </w:tcPr>
          <w:p w14:paraId="5C0F1954">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8:30</w:t>
            </w:r>
          </w:p>
        </w:tc>
        <w:tc>
          <w:tcPr>
            <w:tcW w:w="2275" w:type="dxa"/>
          </w:tcPr>
          <w:p w14:paraId="6A0D2400">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18:</w:t>
            </w:r>
            <w:r>
              <w:rPr>
                <w:rFonts w:hint="eastAsia" w:ascii="仿宋_GB2312" w:hAnsi="仿宋_GB2312" w:eastAsia="仿宋_GB2312" w:cs="仿宋_GB2312"/>
                <w:color w:val="000000" w:themeColor="text1"/>
                <w:kern w:val="0"/>
                <w:sz w:val="21"/>
                <w:szCs w:val="21"/>
                <w:lang w:val="en-US" w:eastAsia="zh-CN"/>
                <w14:textFill>
                  <w14:solidFill>
                    <w14:schemeClr w14:val="tx1"/>
                  </w14:solidFill>
                </w14:textFill>
              </w:rPr>
              <w:t>0</w:t>
            </w:r>
            <w:r>
              <w:rPr>
                <w:rFonts w:hint="eastAsia" w:ascii="仿宋_GB2312" w:hAnsi="仿宋_GB2312" w:eastAsia="仿宋_GB2312" w:cs="仿宋_GB2312"/>
                <w:color w:val="auto"/>
                <w:kern w:val="0"/>
                <w:sz w:val="21"/>
                <w:szCs w:val="21"/>
              </w:rPr>
              <w:t>0</w:t>
            </w:r>
          </w:p>
        </w:tc>
      </w:tr>
      <w:tr w14:paraId="570B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586" w:type="dxa"/>
          </w:tcPr>
          <w:p w14:paraId="0B04E17E">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2</w:t>
            </w:r>
          </w:p>
        </w:tc>
        <w:tc>
          <w:tcPr>
            <w:tcW w:w="2963" w:type="dxa"/>
          </w:tcPr>
          <w:p w14:paraId="2804AAB8">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白班门岗</w:t>
            </w:r>
          </w:p>
        </w:tc>
        <w:tc>
          <w:tcPr>
            <w:tcW w:w="2275" w:type="dxa"/>
          </w:tcPr>
          <w:p w14:paraId="3873946E">
            <w:pPr>
              <w:keepNext w:val="0"/>
              <w:keepLines w:val="0"/>
              <w:pageBreakBefore w:val="0"/>
              <w:numPr>
                <w:ilvl w:val="255"/>
                <w:numId w:val="0"/>
              </w:numPr>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7:00</w:t>
            </w:r>
          </w:p>
        </w:tc>
        <w:tc>
          <w:tcPr>
            <w:tcW w:w="2275" w:type="dxa"/>
          </w:tcPr>
          <w:p w14:paraId="4BEB1F52">
            <w:pPr>
              <w:keepNext w:val="0"/>
              <w:keepLines w:val="0"/>
              <w:pageBreakBefore w:val="0"/>
              <w:numPr>
                <w:ilvl w:val="255"/>
                <w:numId w:val="0"/>
              </w:numPr>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19:00</w:t>
            </w:r>
          </w:p>
        </w:tc>
      </w:tr>
      <w:tr w14:paraId="4ECD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586" w:type="dxa"/>
          </w:tcPr>
          <w:p w14:paraId="218A65C0">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lang w:eastAsia="zh-CN"/>
              </w:rPr>
            </w:pPr>
            <w:r>
              <w:rPr>
                <w:rFonts w:hint="eastAsia" w:ascii="仿宋_GB2312" w:hAnsi="仿宋_GB2312" w:eastAsia="仿宋_GB2312" w:cs="仿宋_GB2312"/>
                <w:color w:val="auto"/>
                <w:spacing w:val="20"/>
                <w:sz w:val="21"/>
                <w:szCs w:val="21"/>
                <w:lang w:val="en-US" w:eastAsia="zh-CN"/>
              </w:rPr>
              <w:t>3</w:t>
            </w:r>
          </w:p>
        </w:tc>
        <w:tc>
          <w:tcPr>
            <w:tcW w:w="2963" w:type="dxa"/>
          </w:tcPr>
          <w:p w14:paraId="7F9AD50E">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夜班值班</w:t>
            </w:r>
          </w:p>
        </w:tc>
        <w:tc>
          <w:tcPr>
            <w:tcW w:w="2275" w:type="dxa"/>
          </w:tcPr>
          <w:p w14:paraId="4CF02127">
            <w:pPr>
              <w:keepNext w:val="0"/>
              <w:keepLines w:val="0"/>
              <w:pageBreakBefore w:val="0"/>
              <w:numPr>
                <w:ilvl w:val="255"/>
                <w:numId w:val="0"/>
              </w:numPr>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19:00</w:t>
            </w:r>
          </w:p>
        </w:tc>
        <w:tc>
          <w:tcPr>
            <w:tcW w:w="2275" w:type="dxa"/>
          </w:tcPr>
          <w:p w14:paraId="42A56034">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次日7:00</w:t>
            </w:r>
          </w:p>
        </w:tc>
      </w:tr>
      <w:tr w14:paraId="1EBF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586" w:type="dxa"/>
            <w:vAlign w:val="center"/>
          </w:tcPr>
          <w:p w14:paraId="68F486AA">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lang w:eastAsia="zh-CN"/>
              </w:rPr>
            </w:pPr>
            <w:r>
              <w:rPr>
                <w:rFonts w:hint="eastAsia" w:ascii="仿宋_GB2312" w:hAnsi="仿宋_GB2312" w:eastAsia="仿宋_GB2312" w:cs="仿宋_GB2312"/>
                <w:color w:val="auto"/>
                <w:spacing w:val="20"/>
                <w:sz w:val="21"/>
                <w:szCs w:val="21"/>
                <w:lang w:val="en-US" w:eastAsia="zh-CN"/>
              </w:rPr>
              <w:t>4</w:t>
            </w:r>
          </w:p>
        </w:tc>
        <w:tc>
          <w:tcPr>
            <w:tcW w:w="2963" w:type="dxa"/>
            <w:vAlign w:val="center"/>
          </w:tcPr>
          <w:p w14:paraId="134D15CE">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监控岗</w:t>
            </w:r>
          </w:p>
        </w:tc>
        <w:tc>
          <w:tcPr>
            <w:tcW w:w="2275" w:type="dxa"/>
            <w:vAlign w:val="center"/>
          </w:tcPr>
          <w:p w14:paraId="6838DF55">
            <w:pPr>
              <w:keepNext w:val="0"/>
              <w:keepLines w:val="0"/>
              <w:pageBreakBefore w:val="0"/>
              <w:numPr>
                <w:ilvl w:val="255"/>
                <w:numId w:val="0"/>
              </w:numPr>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7:00</w:t>
            </w:r>
          </w:p>
        </w:tc>
        <w:tc>
          <w:tcPr>
            <w:tcW w:w="2275" w:type="dxa"/>
            <w:vAlign w:val="center"/>
          </w:tcPr>
          <w:p w14:paraId="762C9265">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次日7:00</w:t>
            </w:r>
          </w:p>
        </w:tc>
      </w:tr>
      <w:tr w14:paraId="7CC2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586" w:type="dxa"/>
          </w:tcPr>
          <w:p w14:paraId="33D8E950">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lang w:eastAsia="zh-CN"/>
              </w:rPr>
            </w:pPr>
            <w:r>
              <w:rPr>
                <w:rFonts w:hint="eastAsia" w:ascii="仿宋_GB2312" w:hAnsi="仿宋_GB2312" w:eastAsia="仿宋_GB2312" w:cs="仿宋_GB2312"/>
                <w:color w:val="auto"/>
                <w:spacing w:val="20"/>
                <w:sz w:val="21"/>
                <w:szCs w:val="21"/>
                <w:lang w:val="en-US" w:eastAsia="zh-CN"/>
              </w:rPr>
              <w:t>5</w:t>
            </w:r>
          </w:p>
        </w:tc>
        <w:tc>
          <w:tcPr>
            <w:tcW w:w="2963" w:type="dxa"/>
          </w:tcPr>
          <w:p w14:paraId="7108075B">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保洁</w:t>
            </w:r>
          </w:p>
        </w:tc>
        <w:tc>
          <w:tcPr>
            <w:tcW w:w="2275" w:type="dxa"/>
          </w:tcPr>
          <w:p w14:paraId="2CAE13C9">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7:00</w:t>
            </w:r>
          </w:p>
        </w:tc>
        <w:tc>
          <w:tcPr>
            <w:tcW w:w="2275" w:type="dxa"/>
          </w:tcPr>
          <w:p w14:paraId="6F12C442">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18:00</w:t>
            </w:r>
          </w:p>
        </w:tc>
      </w:tr>
      <w:tr w14:paraId="6E0B7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586" w:type="dxa"/>
          </w:tcPr>
          <w:p w14:paraId="3D9E6884">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lang w:eastAsia="zh-CN"/>
              </w:rPr>
            </w:pPr>
            <w:r>
              <w:rPr>
                <w:rFonts w:hint="eastAsia" w:ascii="仿宋_GB2312" w:hAnsi="仿宋_GB2312" w:eastAsia="仿宋_GB2312" w:cs="仿宋_GB2312"/>
                <w:color w:val="auto"/>
                <w:spacing w:val="20"/>
                <w:sz w:val="21"/>
                <w:szCs w:val="21"/>
                <w:lang w:val="en-US" w:eastAsia="zh-CN"/>
              </w:rPr>
              <w:t>6</w:t>
            </w:r>
          </w:p>
        </w:tc>
        <w:tc>
          <w:tcPr>
            <w:tcW w:w="2963" w:type="dxa"/>
          </w:tcPr>
          <w:p w14:paraId="29784B5A">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spacing w:val="20"/>
                <w:sz w:val="21"/>
                <w:szCs w:val="21"/>
              </w:rPr>
              <w:t>水电、空调维修工</w:t>
            </w:r>
          </w:p>
        </w:tc>
        <w:tc>
          <w:tcPr>
            <w:tcW w:w="2275" w:type="dxa"/>
          </w:tcPr>
          <w:p w14:paraId="61CD3398">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8:00</w:t>
            </w:r>
          </w:p>
        </w:tc>
        <w:tc>
          <w:tcPr>
            <w:tcW w:w="2275" w:type="dxa"/>
          </w:tcPr>
          <w:p w14:paraId="1BC1F3A1">
            <w:pPr>
              <w:keepNext w:val="0"/>
              <w:keepLines w:val="0"/>
              <w:pageBreakBefore w:val="0"/>
              <w:kinsoku/>
              <w:wordWrap/>
              <w:overflowPunct/>
              <w:topLinePunct w:val="0"/>
              <w:autoSpaceDE/>
              <w:autoSpaceDN/>
              <w:bidi w:val="0"/>
              <w:adjustRightInd/>
              <w:spacing w:line="360" w:lineRule="auto"/>
              <w:jc w:val="center"/>
              <w:textAlignment w:val="auto"/>
              <w:rPr>
                <w:rFonts w:hint="eastAsia" w:ascii="仿宋_GB2312" w:hAnsi="仿宋_GB2312" w:eastAsia="仿宋_GB2312" w:cs="仿宋_GB2312"/>
                <w:color w:val="auto"/>
                <w:spacing w:val="20"/>
                <w:sz w:val="21"/>
                <w:szCs w:val="21"/>
              </w:rPr>
            </w:pPr>
            <w:r>
              <w:rPr>
                <w:rFonts w:hint="eastAsia" w:ascii="仿宋_GB2312" w:hAnsi="仿宋_GB2312" w:eastAsia="仿宋_GB2312" w:cs="仿宋_GB2312"/>
                <w:color w:val="auto"/>
                <w:kern w:val="0"/>
                <w:sz w:val="21"/>
                <w:szCs w:val="21"/>
              </w:rPr>
              <w:t>18:00</w:t>
            </w:r>
          </w:p>
        </w:tc>
      </w:tr>
    </w:tbl>
    <w:p w14:paraId="6C1E4943">
      <w:pPr>
        <w:keepNext w:val="0"/>
        <w:keepLines w:val="0"/>
        <w:pageBreakBefore w:val="0"/>
        <w:kinsoku/>
        <w:wordWrap/>
        <w:overflowPunct/>
        <w:topLinePunct w:val="0"/>
        <w:autoSpaceDE/>
        <w:autoSpaceDN/>
        <w:bidi w:val="0"/>
        <w:adjustRightInd/>
        <w:spacing w:line="360" w:lineRule="auto"/>
        <w:textAlignment w:val="auto"/>
        <w:rPr>
          <w:rFonts w:hint="eastAsia" w:ascii="仿宋_GB2312" w:hAnsi="仿宋_GB2312" w:eastAsia="仿宋_GB2312" w:cs="仿宋_GB2312"/>
          <w:b/>
          <w:bCs/>
          <w:color w:val="auto"/>
          <w:spacing w:val="20"/>
          <w:sz w:val="21"/>
          <w:szCs w:val="21"/>
        </w:rPr>
      </w:pPr>
    </w:p>
    <w:p w14:paraId="1BDAF3AA">
      <w:pPr>
        <w:keepNext w:val="0"/>
        <w:keepLines w:val="0"/>
        <w:pageBreakBefore w:val="0"/>
        <w:kinsoku/>
        <w:wordWrap/>
        <w:overflowPunct/>
        <w:topLinePunct w:val="0"/>
        <w:autoSpaceDE/>
        <w:autoSpaceDN/>
        <w:bidi w:val="0"/>
        <w:adjustRightInd/>
        <w:spacing w:line="360" w:lineRule="auto"/>
        <w:textAlignment w:val="auto"/>
        <w:rPr>
          <w:rFonts w:hint="eastAsia" w:ascii="仿宋_GB2312" w:hAnsi="仿宋_GB2312" w:eastAsia="仿宋_GB2312" w:cs="仿宋_GB2312"/>
          <w:b/>
          <w:bCs/>
          <w:color w:val="auto"/>
          <w:spacing w:val="0"/>
          <w:sz w:val="21"/>
          <w:szCs w:val="21"/>
        </w:rPr>
      </w:pPr>
      <w:r>
        <w:rPr>
          <w:rFonts w:hint="eastAsia" w:ascii="仿宋_GB2312" w:hAnsi="仿宋_GB2312" w:eastAsia="仿宋_GB2312" w:cs="仿宋_GB2312"/>
          <w:b/>
          <w:bCs/>
          <w:color w:val="auto"/>
          <w:spacing w:val="0"/>
          <w:sz w:val="21"/>
          <w:szCs w:val="21"/>
        </w:rPr>
        <w:t>第四条  费用</w:t>
      </w:r>
      <w:r>
        <w:rPr>
          <w:rFonts w:hint="eastAsia" w:ascii="仿宋_GB2312" w:hAnsi="仿宋_GB2312" w:eastAsia="仿宋_GB2312" w:cs="仿宋_GB2312"/>
          <w:b/>
          <w:bCs/>
          <w:color w:val="auto"/>
          <w:spacing w:val="0"/>
          <w:sz w:val="21"/>
          <w:szCs w:val="21"/>
          <w:lang w:eastAsia="zh-CN"/>
        </w:rPr>
        <w:t>标准</w:t>
      </w:r>
      <w:r>
        <w:rPr>
          <w:rFonts w:hint="eastAsia" w:ascii="仿宋_GB2312" w:hAnsi="仿宋_GB2312" w:eastAsia="仿宋_GB2312" w:cs="仿宋_GB2312"/>
          <w:b/>
          <w:bCs/>
          <w:color w:val="auto"/>
          <w:spacing w:val="0"/>
          <w:sz w:val="21"/>
          <w:szCs w:val="21"/>
        </w:rPr>
        <w:t>及</w:t>
      </w:r>
      <w:r>
        <w:rPr>
          <w:rFonts w:hint="eastAsia" w:ascii="仿宋_GB2312" w:hAnsi="仿宋_GB2312" w:eastAsia="仿宋_GB2312" w:cs="仿宋_GB2312"/>
          <w:b/>
          <w:bCs/>
          <w:color w:val="auto"/>
          <w:spacing w:val="0"/>
          <w:sz w:val="21"/>
          <w:szCs w:val="21"/>
          <w:lang w:eastAsia="zh-CN"/>
        </w:rPr>
        <w:t>结算</w:t>
      </w:r>
      <w:r>
        <w:rPr>
          <w:rFonts w:hint="eastAsia" w:ascii="仿宋_GB2312" w:hAnsi="仿宋_GB2312" w:eastAsia="仿宋_GB2312" w:cs="仿宋_GB2312"/>
          <w:b/>
          <w:bCs/>
          <w:color w:val="auto"/>
          <w:spacing w:val="0"/>
          <w:sz w:val="21"/>
          <w:szCs w:val="21"/>
        </w:rPr>
        <w:t>方式</w:t>
      </w:r>
    </w:p>
    <w:p w14:paraId="55AE43D6">
      <w:pPr>
        <w:keepNext w:val="0"/>
        <w:keepLines w:val="0"/>
        <w:pageBreakBefore w:val="0"/>
        <w:numPr>
          <w:ilvl w:val="0"/>
          <w:numId w:val="1"/>
        </w:numPr>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kern w:val="0"/>
          <w:sz w:val="21"/>
          <w:szCs w:val="21"/>
          <w:lang w:eastAsia="zh-CN" w:bidi="ar"/>
        </w:rPr>
        <w:t>费用标准：</w:t>
      </w:r>
    </w:p>
    <w:p w14:paraId="2426AF37">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val="en-US" w:eastAsia="zh-CN" w:bidi="ar"/>
        </w:rPr>
        <w:t>1、月度</w:t>
      </w:r>
      <w:r>
        <w:rPr>
          <w:rFonts w:hint="eastAsia" w:ascii="仿宋_GB2312" w:hAnsi="仿宋_GB2312" w:eastAsia="仿宋_GB2312" w:cs="仿宋_GB2312"/>
          <w:color w:val="auto"/>
          <w:spacing w:val="0"/>
          <w:kern w:val="0"/>
          <w:sz w:val="21"/>
          <w:szCs w:val="21"/>
          <w:lang w:bidi="ar"/>
        </w:rPr>
        <w:t>服务费：</w:t>
      </w:r>
      <w:r>
        <w:rPr>
          <w:rFonts w:hint="eastAsia" w:ascii="仿宋_GB2312" w:hAnsi="仿宋_GB2312" w:eastAsia="仿宋_GB2312" w:cs="仿宋_GB2312"/>
          <w:color w:val="auto"/>
          <w:spacing w:val="0"/>
          <w:kern w:val="0"/>
          <w:sz w:val="21"/>
          <w:szCs w:val="21"/>
          <w:u w:val="single"/>
          <w:lang w:val="en-US" w:eastAsia="zh-CN" w:bidi="ar"/>
        </w:rPr>
        <w:t xml:space="preserve">    </w:t>
      </w:r>
      <w:r>
        <w:rPr>
          <w:rFonts w:hint="eastAsia" w:ascii="仿宋_GB2312" w:hAnsi="仿宋_GB2312" w:eastAsia="仿宋_GB2312" w:cs="仿宋_GB2312"/>
          <w:color w:val="auto"/>
          <w:spacing w:val="0"/>
          <w:kern w:val="0"/>
          <w:sz w:val="21"/>
          <w:szCs w:val="21"/>
          <w:lang w:bidi="ar"/>
        </w:rPr>
        <w:t>元/月。</w:t>
      </w:r>
    </w:p>
    <w:p w14:paraId="77943C07">
      <w:pPr>
        <w:keepNext w:val="0"/>
        <w:keepLines w:val="0"/>
        <w:pageBreakBefore w:val="0"/>
        <w:widowControl w:val="0"/>
        <w:kinsoku/>
        <w:wordWrap/>
        <w:overflowPunct/>
        <w:topLinePunct w:val="0"/>
        <w:autoSpaceDE/>
        <w:autoSpaceDN/>
        <w:bidi w:val="0"/>
        <w:adjustRightInd/>
        <w:snapToGrid/>
        <w:spacing w:line="360" w:lineRule="auto"/>
        <w:ind w:firstLine="399" w:firstLineChars="190"/>
        <w:jc w:val="left"/>
        <w:textAlignment w:val="auto"/>
        <w:rPr>
          <w:rFonts w:hint="eastAsia" w:ascii="仿宋_GB2312" w:hAnsi="仿宋_GB2312" w:eastAsia="仿宋_GB2312" w:cs="仿宋_GB2312"/>
          <w:color w:val="auto"/>
          <w:spacing w:val="0"/>
          <w:sz w:val="21"/>
          <w:szCs w:val="21"/>
          <w:lang w:eastAsia="zh-CN"/>
        </w:rPr>
      </w:pPr>
      <w:r>
        <w:rPr>
          <w:rFonts w:hint="eastAsia" w:ascii="仿宋_GB2312" w:hAnsi="仿宋_GB2312" w:eastAsia="仿宋_GB2312" w:cs="仿宋_GB2312"/>
          <w:color w:val="auto"/>
          <w:spacing w:val="0"/>
          <w:kern w:val="0"/>
          <w:sz w:val="21"/>
          <w:szCs w:val="21"/>
          <w:lang w:val="en-US" w:eastAsia="zh-CN" w:bidi="ar"/>
        </w:rPr>
        <w:t>2、</w:t>
      </w:r>
      <w:r>
        <w:rPr>
          <w:rFonts w:hint="eastAsia" w:ascii="仿宋_GB2312" w:hAnsi="仿宋_GB2312" w:eastAsia="仿宋_GB2312" w:cs="仿宋_GB2312"/>
          <w:color w:val="auto"/>
          <w:spacing w:val="0"/>
          <w:kern w:val="0"/>
          <w:sz w:val="21"/>
          <w:szCs w:val="21"/>
          <w:lang w:bidi="ar"/>
        </w:rPr>
        <w:t>水费</w:t>
      </w:r>
      <w:r>
        <w:rPr>
          <w:rFonts w:hint="eastAsia" w:ascii="仿宋_GB2312" w:hAnsi="仿宋_GB2312" w:eastAsia="仿宋_GB2312" w:cs="仿宋_GB2312"/>
          <w:color w:val="auto"/>
          <w:spacing w:val="0"/>
          <w:kern w:val="0"/>
          <w:sz w:val="21"/>
          <w:szCs w:val="21"/>
          <w:lang w:eastAsia="zh-CN" w:bidi="ar"/>
        </w:rPr>
        <w:t>：</w:t>
      </w:r>
      <w:r>
        <w:rPr>
          <w:rFonts w:hint="eastAsia" w:ascii="仿宋_GB2312" w:hAnsi="仿宋_GB2312" w:eastAsia="仿宋_GB2312" w:cs="仿宋_GB2312"/>
          <w:color w:val="auto"/>
          <w:spacing w:val="0"/>
          <w:kern w:val="0"/>
          <w:sz w:val="21"/>
          <w:szCs w:val="21"/>
          <w:lang w:bidi="ar"/>
        </w:rPr>
        <w:t>以实际发生的费用</w:t>
      </w:r>
      <w:r>
        <w:rPr>
          <w:rFonts w:hint="eastAsia" w:ascii="仿宋_GB2312" w:hAnsi="仿宋_GB2312" w:eastAsia="仿宋_GB2312" w:cs="仿宋_GB2312"/>
          <w:color w:val="auto"/>
          <w:spacing w:val="0"/>
          <w:kern w:val="0"/>
          <w:sz w:val="21"/>
          <w:szCs w:val="21"/>
          <w:lang w:eastAsia="zh-CN" w:bidi="ar"/>
        </w:rPr>
        <w:t>分摊</w:t>
      </w:r>
      <w:r>
        <w:rPr>
          <w:rFonts w:hint="eastAsia" w:ascii="仿宋_GB2312" w:hAnsi="仿宋_GB2312" w:eastAsia="仿宋_GB2312" w:cs="仿宋_GB2312"/>
          <w:color w:val="auto"/>
          <w:spacing w:val="0"/>
          <w:kern w:val="0"/>
          <w:sz w:val="21"/>
          <w:szCs w:val="21"/>
          <w:lang w:bidi="ar"/>
        </w:rPr>
        <w:t>收取，单价为</w:t>
      </w:r>
      <w:r>
        <w:rPr>
          <w:rFonts w:hint="eastAsia" w:ascii="仿宋_GB2312" w:hAnsi="仿宋_GB2312" w:eastAsia="仿宋_GB2312" w:cs="仿宋_GB2312"/>
          <w:color w:val="auto"/>
          <w:spacing w:val="0"/>
          <w:kern w:val="0"/>
          <w:sz w:val="21"/>
          <w:szCs w:val="21"/>
          <w:u w:val="single"/>
          <w:lang w:bidi="ar"/>
        </w:rPr>
        <w:t>6.47</w:t>
      </w:r>
      <w:r>
        <w:rPr>
          <w:rFonts w:hint="eastAsia" w:ascii="仿宋_GB2312" w:hAnsi="仿宋_GB2312" w:eastAsia="仿宋_GB2312" w:cs="仿宋_GB2312"/>
          <w:color w:val="auto"/>
          <w:spacing w:val="0"/>
          <w:kern w:val="0"/>
          <w:sz w:val="21"/>
          <w:szCs w:val="21"/>
          <w:lang w:bidi="ar"/>
        </w:rPr>
        <w:t>元</w:t>
      </w:r>
      <w:r>
        <w:rPr>
          <w:rFonts w:hint="eastAsia" w:ascii="仿宋_GB2312" w:hAnsi="仿宋_GB2312" w:eastAsia="仿宋_GB2312" w:cs="仿宋_GB2312"/>
          <w:color w:val="auto"/>
          <w:spacing w:val="0"/>
          <w:sz w:val="21"/>
          <w:szCs w:val="21"/>
          <w:lang w:val="en-US" w:eastAsia="zh-CN"/>
        </w:rPr>
        <w:t>/</w:t>
      </w:r>
      <w:r>
        <w:rPr>
          <w:rFonts w:hint="eastAsia" w:ascii="仿宋_GB2312" w:hAnsi="仿宋_GB2312" w:eastAsia="仿宋_GB2312" w:cs="仿宋_GB2312"/>
          <w:color w:val="auto"/>
          <w:spacing w:val="0"/>
          <w:kern w:val="0"/>
          <w:sz w:val="21"/>
          <w:szCs w:val="21"/>
          <w:lang w:bidi="ar"/>
        </w:rPr>
        <w:t>吨</w:t>
      </w:r>
      <w:r>
        <w:rPr>
          <w:rFonts w:hint="eastAsia" w:ascii="仿宋_GB2312" w:hAnsi="仿宋_GB2312" w:eastAsia="仿宋_GB2312" w:cs="仿宋_GB2312"/>
          <w:color w:val="auto"/>
          <w:spacing w:val="0"/>
          <w:kern w:val="0"/>
          <w:sz w:val="21"/>
          <w:szCs w:val="21"/>
          <w:lang w:eastAsia="zh-CN" w:bidi="ar"/>
        </w:rPr>
        <w:t>。</w:t>
      </w:r>
      <w:r>
        <w:rPr>
          <w:rFonts w:hint="eastAsia" w:ascii="仿宋_GB2312" w:hAnsi="仿宋_GB2312" w:eastAsia="仿宋_GB2312" w:cs="仿宋_GB2312"/>
          <w:color w:val="auto"/>
          <w:spacing w:val="0"/>
          <w:sz w:val="21"/>
          <w:szCs w:val="21"/>
        </w:rPr>
        <w:t>参照西安市工商业水费价格：5.8元/立方+二次供水运行费0.5元/立方+水损耗0.17元/立方</w:t>
      </w:r>
      <w:r>
        <w:rPr>
          <w:rFonts w:hint="eastAsia" w:ascii="仿宋_GB2312" w:hAnsi="仿宋_GB2312" w:eastAsia="仿宋_GB2312" w:cs="仿宋_GB2312"/>
          <w:color w:val="auto"/>
          <w:spacing w:val="0"/>
          <w:sz w:val="21"/>
          <w:szCs w:val="21"/>
          <w:lang w:val="en-US" w:eastAsia="zh-CN"/>
        </w:rPr>
        <w:t>=</w:t>
      </w:r>
      <w:r>
        <w:rPr>
          <w:rFonts w:hint="eastAsia" w:ascii="仿宋_GB2312" w:hAnsi="仿宋_GB2312" w:eastAsia="仿宋_GB2312" w:cs="仿宋_GB2312"/>
          <w:color w:val="auto"/>
          <w:spacing w:val="0"/>
          <w:sz w:val="21"/>
          <w:szCs w:val="21"/>
        </w:rPr>
        <w:t>6.47元/立方</w:t>
      </w:r>
      <w:r>
        <w:rPr>
          <w:rFonts w:hint="eastAsia" w:ascii="仿宋_GB2312" w:hAnsi="仿宋_GB2312" w:eastAsia="仿宋_GB2312" w:cs="仿宋_GB2312"/>
          <w:color w:val="auto"/>
          <w:spacing w:val="0"/>
          <w:sz w:val="21"/>
          <w:szCs w:val="21"/>
          <w:lang w:eastAsia="zh-CN"/>
        </w:rPr>
        <w:t>。</w:t>
      </w:r>
    </w:p>
    <w:p w14:paraId="0E9372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仿宋_GB2312" w:hAnsi="仿宋_GB2312" w:eastAsia="仿宋_GB2312" w:cs="仿宋_GB2312"/>
          <w:color w:val="auto"/>
          <w:spacing w:val="0"/>
          <w:sz w:val="21"/>
          <w:szCs w:val="21"/>
          <w:lang w:val="en-US" w:eastAsia="zh-CN"/>
        </w:rPr>
      </w:pPr>
      <w:r>
        <w:rPr>
          <w:rFonts w:hint="eastAsia" w:ascii="仿宋_GB2312" w:hAnsi="仿宋_GB2312" w:eastAsia="仿宋_GB2312" w:cs="仿宋_GB2312"/>
          <w:color w:val="auto"/>
          <w:spacing w:val="0"/>
          <w:kern w:val="0"/>
          <w:sz w:val="21"/>
          <w:szCs w:val="21"/>
          <w:lang w:val="en-US" w:eastAsia="zh-CN" w:bidi="ar"/>
        </w:rPr>
        <w:t>3、</w:t>
      </w:r>
      <w:r>
        <w:rPr>
          <w:rFonts w:hint="eastAsia" w:ascii="仿宋_GB2312" w:hAnsi="仿宋_GB2312" w:eastAsia="仿宋_GB2312" w:cs="仿宋_GB2312"/>
          <w:color w:val="auto"/>
          <w:spacing w:val="0"/>
          <w:kern w:val="0"/>
          <w:sz w:val="21"/>
          <w:szCs w:val="21"/>
          <w:lang w:bidi="ar"/>
        </w:rPr>
        <w:t>电费</w:t>
      </w:r>
      <w:r>
        <w:rPr>
          <w:rFonts w:hint="eastAsia" w:ascii="仿宋_GB2312" w:hAnsi="仿宋_GB2312" w:eastAsia="仿宋_GB2312" w:cs="仿宋_GB2312"/>
          <w:color w:val="auto"/>
          <w:spacing w:val="0"/>
          <w:kern w:val="0"/>
          <w:sz w:val="21"/>
          <w:szCs w:val="21"/>
          <w:lang w:eastAsia="zh-CN" w:bidi="ar"/>
        </w:rPr>
        <w:t>：</w:t>
      </w:r>
      <w:r>
        <w:rPr>
          <w:rFonts w:hint="eastAsia" w:ascii="仿宋_GB2312" w:hAnsi="仿宋_GB2312" w:eastAsia="仿宋_GB2312" w:cs="仿宋_GB2312"/>
          <w:color w:val="auto"/>
          <w:spacing w:val="0"/>
          <w:kern w:val="0"/>
          <w:sz w:val="21"/>
          <w:szCs w:val="21"/>
          <w:lang w:bidi="ar"/>
        </w:rPr>
        <w:t>以实际发生的费用分摊收取，单价根据陕发改价格【2021】573号文件《陕西省发展和改革委员会关于明确转供电缓解电价政策有关事项的</w:t>
      </w:r>
      <w:r>
        <w:rPr>
          <w:rFonts w:hint="eastAsia" w:ascii="仿宋_GB2312" w:hAnsi="仿宋_GB2312" w:eastAsia="仿宋_GB2312" w:cs="仿宋_GB2312"/>
          <w:color w:val="auto"/>
          <w:spacing w:val="0"/>
          <w:kern w:val="0"/>
          <w:sz w:val="21"/>
          <w:szCs w:val="21"/>
          <w:lang w:eastAsia="zh-CN" w:bidi="ar"/>
        </w:rPr>
        <w:t>通知</w:t>
      </w:r>
      <w:r>
        <w:rPr>
          <w:rFonts w:hint="eastAsia" w:ascii="仿宋_GB2312" w:hAnsi="仿宋_GB2312" w:eastAsia="仿宋_GB2312" w:cs="仿宋_GB2312"/>
          <w:color w:val="auto"/>
          <w:spacing w:val="0"/>
          <w:kern w:val="0"/>
          <w:sz w:val="21"/>
          <w:szCs w:val="21"/>
          <w:lang w:bidi="ar"/>
        </w:rPr>
        <w:t>》，按照当月国网陕西省电力有限公司代理购电工商业用户电价表中峰平谷单价计算后</w:t>
      </w:r>
      <w:r>
        <w:rPr>
          <w:rFonts w:hint="eastAsia" w:ascii="仿宋_GB2312" w:hAnsi="仿宋_GB2312" w:eastAsia="仿宋_GB2312" w:cs="仿宋_GB2312"/>
          <w:color w:val="auto"/>
          <w:spacing w:val="0"/>
          <w:kern w:val="0"/>
          <w:sz w:val="21"/>
          <w:szCs w:val="21"/>
          <w:lang w:eastAsia="zh-CN" w:bidi="ar"/>
        </w:rPr>
        <w:t>的实际单价为准</w:t>
      </w:r>
      <w:r>
        <w:rPr>
          <w:rFonts w:hint="eastAsia" w:ascii="仿宋_GB2312" w:hAnsi="仿宋_GB2312" w:eastAsia="仿宋_GB2312" w:cs="仿宋_GB2312"/>
          <w:color w:val="auto"/>
          <w:spacing w:val="0"/>
          <w:kern w:val="0"/>
          <w:sz w:val="21"/>
          <w:szCs w:val="21"/>
          <w:lang w:bidi="ar"/>
        </w:rPr>
        <w:t>。</w:t>
      </w:r>
    </w:p>
    <w:p w14:paraId="4D0FCCDA">
      <w:pPr>
        <w:keepNext w:val="0"/>
        <w:keepLines w:val="0"/>
        <w:pageBreakBefore w:val="0"/>
        <w:numPr>
          <w:ilvl w:val="0"/>
          <w:numId w:val="0"/>
        </w:numPr>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val="en-US" w:eastAsia="zh-CN" w:bidi="ar"/>
        </w:rPr>
        <w:t>4、</w:t>
      </w:r>
      <w:r>
        <w:rPr>
          <w:rFonts w:hint="eastAsia" w:ascii="仿宋_GB2312" w:hAnsi="仿宋_GB2312" w:eastAsia="仿宋_GB2312" w:cs="仿宋_GB2312"/>
          <w:color w:val="auto"/>
          <w:spacing w:val="0"/>
          <w:kern w:val="0"/>
          <w:sz w:val="21"/>
          <w:szCs w:val="21"/>
          <w:lang w:bidi="ar"/>
        </w:rPr>
        <w:t>垃圾费依据政府收取的费用</w:t>
      </w:r>
      <w:r>
        <w:rPr>
          <w:rFonts w:hint="eastAsia" w:ascii="仿宋_GB2312" w:hAnsi="仿宋_GB2312" w:eastAsia="仿宋_GB2312" w:cs="仿宋_GB2312"/>
          <w:color w:val="auto"/>
          <w:spacing w:val="0"/>
          <w:kern w:val="0"/>
          <w:sz w:val="21"/>
          <w:szCs w:val="21"/>
          <w:lang w:val="en-US" w:eastAsia="zh-CN" w:bidi="ar"/>
        </w:rPr>
        <w:t>按面积</w:t>
      </w:r>
      <w:r>
        <w:rPr>
          <w:rFonts w:hint="eastAsia" w:ascii="仿宋_GB2312" w:hAnsi="仿宋_GB2312" w:eastAsia="仿宋_GB2312" w:cs="仿宋_GB2312"/>
          <w:color w:val="auto"/>
          <w:spacing w:val="0"/>
          <w:kern w:val="0"/>
          <w:sz w:val="21"/>
          <w:szCs w:val="21"/>
          <w:lang w:bidi="ar"/>
        </w:rPr>
        <w:t>进行分摊。</w:t>
      </w:r>
    </w:p>
    <w:p w14:paraId="7779B51C">
      <w:pPr>
        <w:keepNext w:val="0"/>
        <w:keepLines w:val="0"/>
        <w:pageBreakBefore w:val="0"/>
        <w:numPr>
          <w:ilvl w:val="-1"/>
          <w:numId w:val="0"/>
        </w:numPr>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kern w:val="0"/>
          <w:sz w:val="21"/>
          <w:szCs w:val="21"/>
          <w:lang w:bidi="ar"/>
        </w:rPr>
        <w:t>以上费用</w:t>
      </w:r>
      <w:r>
        <w:rPr>
          <w:rFonts w:hint="eastAsia" w:ascii="仿宋_GB2312" w:hAnsi="仿宋_GB2312" w:eastAsia="仿宋_GB2312" w:cs="仿宋_GB2312"/>
          <w:color w:val="auto"/>
          <w:spacing w:val="0"/>
          <w:sz w:val="21"/>
          <w:szCs w:val="21"/>
        </w:rPr>
        <w:t>如遇国家、省、市价格或政策调整，本项目相关的收费标准随之调整。</w:t>
      </w:r>
    </w:p>
    <w:p w14:paraId="28940BBE">
      <w:pPr>
        <w:keepNext w:val="0"/>
        <w:keepLines w:val="0"/>
        <w:pageBreakBefore w:val="0"/>
        <w:numPr>
          <w:ilvl w:val="0"/>
          <w:numId w:val="1"/>
        </w:numPr>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kern w:val="0"/>
          <w:sz w:val="21"/>
          <w:szCs w:val="21"/>
          <w:lang w:bidi="ar"/>
        </w:rPr>
        <w:t>结算方式：</w:t>
      </w:r>
    </w:p>
    <w:p w14:paraId="3406A07A">
      <w:pPr>
        <w:keepNext w:val="0"/>
        <w:keepLines w:val="0"/>
        <w:pageBreakBefore w:val="0"/>
        <w:numPr>
          <w:ilvl w:val="0"/>
          <w:numId w:val="0"/>
        </w:numPr>
        <w:kinsoku/>
        <w:wordWrap/>
        <w:overflowPunct/>
        <w:topLinePunct w:val="0"/>
        <w:autoSpaceDE/>
        <w:autoSpaceDN/>
        <w:bidi w:val="0"/>
        <w:adjustRightInd/>
        <w:spacing w:line="360" w:lineRule="auto"/>
        <w:ind w:left="0" w:leftChars="0"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kern w:val="2"/>
          <w:sz w:val="21"/>
          <w:szCs w:val="21"/>
          <w:lang w:val="en-US" w:eastAsia="zh-CN" w:bidi="ar-SA"/>
        </w:rPr>
        <w:t>1.</w:t>
      </w:r>
      <w:r>
        <w:rPr>
          <w:rFonts w:hint="eastAsia" w:ascii="仿宋_GB2312" w:hAnsi="仿宋_GB2312" w:eastAsia="仿宋_GB2312" w:cs="仿宋_GB2312"/>
          <w:color w:val="auto"/>
          <w:spacing w:val="0"/>
          <w:sz w:val="21"/>
          <w:szCs w:val="21"/>
        </w:rPr>
        <w:t>物业服务费和垃圾费为每</w:t>
      </w:r>
      <w:r>
        <w:rPr>
          <w:rFonts w:hint="eastAsia" w:ascii="仿宋_GB2312" w:hAnsi="仿宋_GB2312" w:eastAsia="仿宋_GB2312" w:cs="仿宋_GB2312"/>
          <w:color w:val="auto"/>
          <w:spacing w:val="0"/>
          <w:sz w:val="21"/>
          <w:szCs w:val="21"/>
          <w:lang w:val="en-US" w:eastAsia="zh-CN"/>
        </w:rPr>
        <w:t>季度结算</w:t>
      </w:r>
      <w:r>
        <w:rPr>
          <w:rFonts w:hint="eastAsia" w:ascii="仿宋_GB2312" w:hAnsi="仿宋_GB2312" w:eastAsia="仿宋_GB2312" w:cs="仿宋_GB2312"/>
          <w:color w:val="auto"/>
          <w:spacing w:val="0"/>
          <w:sz w:val="21"/>
          <w:szCs w:val="21"/>
        </w:rPr>
        <w:t>。</w:t>
      </w:r>
    </w:p>
    <w:p w14:paraId="555D26EC">
      <w:pPr>
        <w:keepNext w:val="0"/>
        <w:keepLines w:val="0"/>
        <w:pageBreakBefore w:val="0"/>
        <w:numPr>
          <w:ilvl w:val="0"/>
          <w:numId w:val="0"/>
        </w:numPr>
        <w:kinsoku/>
        <w:wordWrap/>
        <w:overflowPunct/>
        <w:topLinePunct w:val="0"/>
        <w:autoSpaceDE/>
        <w:autoSpaceDN/>
        <w:bidi w:val="0"/>
        <w:adjustRightInd/>
        <w:spacing w:line="360" w:lineRule="auto"/>
        <w:ind w:left="0" w:leftChars="0"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kern w:val="2"/>
          <w:sz w:val="21"/>
          <w:szCs w:val="21"/>
          <w:lang w:val="en-US" w:eastAsia="zh-CN" w:bidi="ar-SA"/>
        </w:rPr>
        <w:t>2.</w:t>
      </w:r>
      <w:r>
        <w:rPr>
          <w:rFonts w:hint="eastAsia" w:ascii="仿宋_GB2312" w:hAnsi="仿宋_GB2312" w:eastAsia="仿宋_GB2312" w:cs="仿宋_GB2312"/>
          <w:color w:val="auto"/>
          <w:spacing w:val="0"/>
          <w:sz w:val="21"/>
          <w:szCs w:val="21"/>
        </w:rPr>
        <w:t>水电费能耗费为每</w:t>
      </w:r>
      <w:r>
        <w:rPr>
          <w:rFonts w:hint="eastAsia" w:ascii="仿宋_GB2312" w:hAnsi="仿宋_GB2312" w:eastAsia="仿宋_GB2312" w:cs="仿宋_GB2312"/>
          <w:color w:val="auto"/>
          <w:spacing w:val="0"/>
          <w:sz w:val="21"/>
          <w:szCs w:val="21"/>
          <w:lang w:val="en-US" w:eastAsia="zh-CN"/>
        </w:rPr>
        <w:t>季度结算</w:t>
      </w:r>
      <w:r>
        <w:rPr>
          <w:rFonts w:hint="eastAsia" w:ascii="仿宋_GB2312" w:hAnsi="仿宋_GB2312" w:eastAsia="仿宋_GB2312" w:cs="仿宋_GB2312"/>
          <w:color w:val="auto"/>
          <w:spacing w:val="0"/>
          <w:sz w:val="21"/>
          <w:szCs w:val="21"/>
        </w:rPr>
        <w:t>。</w:t>
      </w:r>
    </w:p>
    <w:p w14:paraId="7E397CB1">
      <w:pPr>
        <w:keepNext w:val="0"/>
        <w:keepLines w:val="0"/>
        <w:pageBreakBefore w:val="0"/>
        <w:numPr>
          <w:ilvl w:val="0"/>
          <w:numId w:val="0"/>
        </w:numPr>
        <w:kinsoku/>
        <w:wordWrap/>
        <w:overflowPunct/>
        <w:topLinePunct w:val="0"/>
        <w:autoSpaceDE/>
        <w:autoSpaceDN/>
        <w:bidi w:val="0"/>
        <w:adjustRightInd/>
        <w:spacing w:line="360" w:lineRule="auto"/>
        <w:ind w:left="0" w:leftChars="0"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kern w:val="2"/>
          <w:sz w:val="21"/>
          <w:szCs w:val="21"/>
          <w:lang w:val="en-US" w:eastAsia="zh-CN" w:bidi="ar-SA"/>
        </w:rPr>
        <w:t>3.</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方每</w:t>
      </w:r>
      <w:r>
        <w:rPr>
          <w:rFonts w:hint="eastAsia" w:ascii="仿宋_GB2312" w:hAnsi="仿宋_GB2312" w:eastAsia="仿宋_GB2312" w:cs="仿宋_GB2312"/>
          <w:color w:val="auto"/>
          <w:spacing w:val="0"/>
          <w:sz w:val="21"/>
          <w:szCs w:val="21"/>
          <w:lang w:val="en-US" w:eastAsia="zh-CN"/>
        </w:rPr>
        <w:t>季度</w:t>
      </w:r>
      <w:r>
        <w:rPr>
          <w:rFonts w:hint="eastAsia" w:ascii="仿宋_GB2312" w:hAnsi="仿宋_GB2312" w:eastAsia="仿宋_GB2312" w:cs="仿宋_GB2312"/>
          <w:color w:val="auto"/>
          <w:spacing w:val="0"/>
          <w:sz w:val="21"/>
          <w:szCs w:val="21"/>
        </w:rPr>
        <w:t>向</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方开具物业服务费、垃圾费及水电费发票，</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方自收到发票后</w:t>
      </w:r>
      <w:r>
        <w:rPr>
          <w:rFonts w:hint="eastAsia" w:ascii="仿宋_GB2312" w:hAnsi="仿宋_GB2312" w:eastAsia="仿宋_GB2312" w:cs="仿宋_GB2312"/>
          <w:color w:val="auto"/>
          <w:spacing w:val="0"/>
          <w:sz w:val="21"/>
          <w:szCs w:val="21"/>
          <w:lang w:val="en-US" w:eastAsia="zh-CN"/>
        </w:rPr>
        <w:t>30</w:t>
      </w:r>
      <w:r>
        <w:rPr>
          <w:rFonts w:hint="eastAsia" w:ascii="仿宋_GB2312" w:hAnsi="仿宋_GB2312" w:eastAsia="仿宋_GB2312" w:cs="仿宋_GB2312"/>
          <w:color w:val="auto"/>
          <w:spacing w:val="0"/>
          <w:sz w:val="21"/>
          <w:szCs w:val="21"/>
        </w:rPr>
        <w:t>个工作日内</w:t>
      </w:r>
      <w:r>
        <w:rPr>
          <w:rFonts w:hint="eastAsia" w:ascii="仿宋_GB2312" w:hAnsi="仿宋_GB2312" w:eastAsia="仿宋_GB2312" w:cs="仿宋_GB2312"/>
          <w:color w:val="auto"/>
          <w:spacing w:val="0"/>
          <w:sz w:val="21"/>
          <w:szCs w:val="21"/>
          <w:lang w:val="en-US" w:eastAsia="zh-CN"/>
        </w:rPr>
        <w:t>向乙方</w:t>
      </w:r>
      <w:r>
        <w:rPr>
          <w:rFonts w:hint="eastAsia" w:ascii="仿宋_GB2312" w:hAnsi="仿宋_GB2312" w:eastAsia="仿宋_GB2312" w:cs="仿宋_GB2312"/>
          <w:color w:val="auto"/>
          <w:spacing w:val="0"/>
          <w:sz w:val="21"/>
          <w:szCs w:val="21"/>
        </w:rPr>
        <w:t>支付相关费用。</w:t>
      </w:r>
    </w:p>
    <w:p w14:paraId="56E226E1">
      <w:pPr>
        <w:keepNext w:val="0"/>
        <w:keepLines w:val="0"/>
        <w:pageBreakBefore w:val="0"/>
        <w:numPr>
          <w:ilvl w:val="0"/>
          <w:numId w:val="0"/>
        </w:numPr>
        <w:kinsoku/>
        <w:wordWrap/>
        <w:overflowPunct/>
        <w:topLinePunct w:val="0"/>
        <w:autoSpaceDE/>
        <w:autoSpaceDN/>
        <w:bidi w:val="0"/>
        <w:adjustRightInd/>
        <w:spacing w:line="360" w:lineRule="auto"/>
        <w:textAlignment w:val="auto"/>
        <w:rPr>
          <w:rFonts w:hint="eastAsia" w:ascii="仿宋_GB2312" w:hAnsi="仿宋_GB2312" w:eastAsia="仿宋_GB2312" w:cs="仿宋_GB2312"/>
          <w:b/>
          <w:bCs/>
          <w:color w:val="auto"/>
          <w:spacing w:val="0"/>
          <w:sz w:val="21"/>
          <w:szCs w:val="21"/>
          <w:lang w:bidi="ar"/>
        </w:rPr>
      </w:pPr>
      <w:r>
        <w:rPr>
          <w:rFonts w:hint="eastAsia" w:ascii="仿宋_GB2312" w:hAnsi="仿宋_GB2312" w:eastAsia="仿宋_GB2312" w:cs="仿宋_GB2312"/>
          <w:b/>
          <w:bCs/>
          <w:color w:val="auto"/>
          <w:spacing w:val="0"/>
          <w:kern w:val="2"/>
          <w:sz w:val="21"/>
          <w:szCs w:val="21"/>
          <w:lang w:val="en-US" w:eastAsia="zh-CN" w:bidi="ar"/>
        </w:rPr>
        <w:t>第五条</w:t>
      </w:r>
      <w:r>
        <w:rPr>
          <w:rFonts w:hint="eastAsia" w:ascii="仿宋_GB2312" w:hAnsi="仿宋_GB2312" w:eastAsia="仿宋_GB2312" w:cs="仿宋_GB2312"/>
          <w:b/>
          <w:bCs/>
          <w:color w:val="auto"/>
          <w:spacing w:val="0"/>
          <w:sz w:val="21"/>
          <w:szCs w:val="21"/>
          <w:lang w:bidi="ar"/>
        </w:rPr>
        <w:t xml:space="preserve"> 甲方的权利和义务</w:t>
      </w:r>
    </w:p>
    <w:p w14:paraId="4255DB5C">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一、审定</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方拟定的</w:t>
      </w:r>
      <w:r>
        <w:rPr>
          <w:rFonts w:hint="eastAsia" w:ascii="仿宋_GB2312" w:hAnsi="仿宋_GB2312" w:eastAsia="仿宋_GB2312" w:cs="仿宋_GB2312"/>
          <w:color w:val="auto"/>
          <w:spacing w:val="0"/>
          <w:sz w:val="21"/>
          <w:szCs w:val="21"/>
          <w:lang w:eastAsia="zh-CN"/>
        </w:rPr>
        <w:t>物业</w:t>
      </w:r>
      <w:r>
        <w:rPr>
          <w:rFonts w:hint="eastAsia" w:ascii="仿宋_GB2312" w:hAnsi="仿宋_GB2312" w:eastAsia="仿宋_GB2312" w:cs="仿宋_GB2312"/>
          <w:color w:val="auto"/>
          <w:spacing w:val="0"/>
          <w:sz w:val="21"/>
          <w:szCs w:val="21"/>
        </w:rPr>
        <w:t>管理方案。</w:t>
      </w:r>
    </w:p>
    <w:p w14:paraId="3076A53A">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二、对</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方的服务质量进行检查。</w:t>
      </w:r>
    </w:p>
    <w:p w14:paraId="36E11015">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三、监督</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方服务工作的实施及制度的执行情况，有权向乙方提出意见或建议，并要求</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方对管理中存在的问题进行改进，</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方应认真对待</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方意见或建议，并及时解决，同时应将解决结果</w:t>
      </w:r>
      <w:r>
        <w:rPr>
          <w:rFonts w:hint="eastAsia" w:ascii="仿宋_GB2312" w:hAnsi="仿宋_GB2312" w:eastAsia="仿宋_GB2312" w:cs="仿宋_GB2312"/>
          <w:color w:val="auto"/>
          <w:spacing w:val="0"/>
          <w:sz w:val="21"/>
          <w:szCs w:val="21"/>
          <w:u w:val="single"/>
          <w:lang w:val="en-US" w:eastAsia="zh-CN"/>
        </w:rPr>
        <w:t xml:space="preserve"> 1 </w:t>
      </w:r>
      <w:r>
        <w:rPr>
          <w:rFonts w:hint="eastAsia" w:ascii="仿宋_GB2312" w:hAnsi="仿宋_GB2312" w:eastAsia="仿宋_GB2312" w:cs="仿宋_GB2312"/>
          <w:color w:val="auto"/>
          <w:spacing w:val="0"/>
          <w:sz w:val="21"/>
          <w:szCs w:val="21"/>
        </w:rPr>
        <w:t>天内书面通知</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方；若属于近期无法解决的，</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方负责向</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方提供书面解释，并将解决方案提供给</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方，在双方确认的期限内解决。</w:t>
      </w:r>
    </w:p>
    <w:p w14:paraId="11A453A0">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eastAsia="zh-CN" w:bidi="ar"/>
        </w:rPr>
        <w:t>四</w:t>
      </w:r>
      <w:r>
        <w:rPr>
          <w:rFonts w:hint="eastAsia" w:ascii="仿宋_GB2312" w:hAnsi="仿宋_GB2312" w:eastAsia="仿宋_GB2312" w:cs="仿宋_GB2312"/>
          <w:color w:val="auto"/>
          <w:spacing w:val="0"/>
          <w:kern w:val="0"/>
          <w:sz w:val="21"/>
          <w:szCs w:val="21"/>
          <w:lang w:bidi="ar"/>
        </w:rPr>
        <w:t>、</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kern w:val="0"/>
          <w:sz w:val="21"/>
          <w:szCs w:val="21"/>
          <w:lang w:bidi="ar"/>
        </w:rPr>
        <w:t>方在合同生效后向</w:t>
      </w:r>
      <w:r>
        <w:rPr>
          <w:rFonts w:hint="eastAsia" w:ascii="仿宋_GB2312" w:hAnsi="仿宋_GB2312" w:eastAsia="仿宋_GB2312" w:cs="仿宋_GB2312"/>
          <w:color w:val="auto"/>
          <w:spacing w:val="0"/>
          <w:kern w:val="0"/>
          <w:sz w:val="21"/>
          <w:szCs w:val="21"/>
          <w:lang w:val="en-US" w:eastAsia="zh-CN" w:bidi="ar"/>
        </w:rPr>
        <w:t>乙</w:t>
      </w:r>
      <w:r>
        <w:rPr>
          <w:rFonts w:hint="eastAsia" w:ascii="仿宋_GB2312" w:hAnsi="仿宋_GB2312" w:eastAsia="仿宋_GB2312" w:cs="仿宋_GB2312"/>
          <w:color w:val="auto"/>
          <w:spacing w:val="0"/>
          <w:kern w:val="0"/>
          <w:sz w:val="21"/>
          <w:szCs w:val="21"/>
          <w:lang w:bidi="ar"/>
        </w:rPr>
        <w:t>方提供与物业管理相关的档案资料，在双方终止合同时</w:t>
      </w:r>
      <w:r>
        <w:rPr>
          <w:rFonts w:hint="eastAsia" w:ascii="仿宋_GB2312" w:hAnsi="仿宋_GB2312" w:eastAsia="仿宋_GB2312" w:cs="仿宋_GB2312"/>
          <w:color w:val="auto"/>
          <w:spacing w:val="0"/>
          <w:kern w:val="0"/>
          <w:sz w:val="21"/>
          <w:szCs w:val="21"/>
          <w:lang w:val="en-US" w:eastAsia="zh-CN" w:bidi="ar"/>
        </w:rPr>
        <w:t>乙</w:t>
      </w:r>
      <w:r>
        <w:rPr>
          <w:rFonts w:hint="eastAsia" w:ascii="仿宋_GB2312" w:hAnsi="仿宋_GB2312" w:eastAsia="仿宋_GB2312" w:cs="仿宋_GB2312"/>
          <w:color w:val="auto"/>
          <w:spacing w:val="0"/>
          <w:kern w:val="0"/>
          <w:sz w:val="21"/>
          <w:szCs w:val="21"/>
          <w:lang w:bidi="ar"/>
        </w:rPr>
        <w:t>方应及时交还给</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方，不得交给第三方。</w:t>
      </w:r>
    </w:p>
    <w:p w14:paraId="387CAF0B">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kern w:val="0"/>
          <w:sz w:val="21"/>
          <w:szCs w:val="21"/>
          <w:lang w:eastAsia="zh-CN" w:bidi="ar"/>
        </w:rPr>
        <w:t>五</w:t>
      </w:r>
      <w:r>
        <w:rPr>
          <w:rFonts w:hint="eastAsia" w:ascii="仿宋_GB2312" w:hAnsi="仿宋_GB2312" w:eastAsia="仿宋_GB2312" w:cs="仿宋_GB2312"/>
          <w:color w:val="auto"/>
          <w:spacing w:val="0"/>
          <w:kern w:val="0"/>
          <w:sz w:val="21"/>
          <w:szCs w:val="21"/>
          <w:lang w:bidi="ar"/>
        </w:rPr>
        <w:t>、</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方为</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方开展工作提供必要的工作场所。</w:t>
      </w:r>
    </w:p>
    <w:p w14:paraId="42014267">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lang w:eastAsia="zh-CN"/>
        </w:rPr>
        <w:t>六</w:t>
      </w:r>
      <w:r>
        <w:rPr>
          <w:rFonts w:hint="eastAsia" w:ascii="仿宋_GB2312" w:hAnsi="仿宋_GB2312" w:eastAsia="仿宋_GB2312" w:cs="仿宋_GB2312"/>
          <w:color w:val="auto"/>
          <w:spacing w:val="0"/>
          <w:sz w:val="21"/>
          <w:szCs w:val="21"/>
        </w:rPr>
        <w:t>、按合同约定向</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方按时支付物业服务费、水电能耗费、垃圾费等。</w:t>
      </w:r>
    </w:p>
    <w:p w14:paraId="0273EDE2">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b/>
          <w:bCs/>
          <w:color w:val="auto"/>
          <w:spacing w:val="0"/>
          <w:sz w:val="21"/>
          <w:szCs w:val="21"/>
          <w:lang w:bidi="ar"/>
        </w:rPr>
      </w:pPr>
      <w:r>
        <w:rPr>
          <w:rFonts w:hint="eastAsia" w:ascii="仿宋_GB2312" w:hAnsi="仿宋_GB2312" w:eastAsia="仿宋_GB2312" w:cs="仿宋_GB2312"/>
          <w:color w:val="auto"/>
          <w:spacing w:val="0"/>
          <w:sz w:val="21"/>
          <w:szCs w:val="21"/>
          <w:lang w:eastAsia="zh-CN"/>
        </w:rPr>
        <w:t>七</w:t>
      </w:r>
      <w:r>
        <w:rPr>
          <w:rFonts w:hint="eastAsia" w:ascii="仿宋_GB2312" w:hAnsi="仿宋_GB2312" w:eastAsia="仿宋_GB2312" w:cs="仿宋_GB2312"/>
          <w:color w:val="auto"/>
          <w:spacing w:val="0"/>
          <w:sz w:val="21"/>
          <w:szCs w:val="21"/>
        </w:rPr>
        <w:t>、</w:t>
      </w:r>
      <w:r>
        <w:rPr>
          <w:rFonts w:hint="eastAsia" w:ascii="仿宋_GB2312" w:hAnsi="仿宋_GB2312" w:eastAsia="仿宋_GB2312" w:cs="仿宋_GB2312"/>
          <w:color w:val="auto"/>
          <w:spacing w:val="0"/>
          <w:kern w:val="0"/>
          <w:sz w:val="21"/>
          <w:szCs w:val="21"/>
          <w:lang w:bidi="ar"/>
        </w:rPr>
        <w:t>若出现因</w:t>
      </w:r>
      <w:r>
        <w:rPr>
          <w:rFonts w:hint="eastAsia" w:ascii="仿宋_GB2312" w:hAnsi="仿宋_GB2312" w:eastAsia="仿宋_GB2312" w:cs="仿宋_GB2312"/>
          <w:color w:val="auto"/>
          <w:spacing w:val="0"/>
          <w:kern w:val="0"/>
          <w:sz w:val="21"/>
          <w:szCs w:val="21"/>
          <w:lang w:val="en-US" w:eastAsia="zh-CN" w:bidi="ar"/>
        </w:rPr>
        <w:t>乙</w:t>
      </w:r>
      <w:r>
        <w:rPr>
          <w:rFonts w:hint="eastAsia" w:ascii="仿宋_GB2312" w:hAnsi="仿宋_GB2312" w:eastAsia="仿宋_GB2312" w:cs="仿宋_GB2312"/>
          <w:color w:val="auto"/>
          <w:spacing w:val="0"/>
          <w:kern w:val="0"/>
          <w:sz w:val="21"/>
          <w:szCs w:val="21"/>
          <w:lang w:bidi="ar"/>
        </w:rPr>
        <w:t>方运营管理不合规范被政府部门处罚或媒体曝光等情况，影响到</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方声誉，</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方有权单方解除合同。</w:t>
      </w:r>
    </w:p>
    <w:p w14:paraId="600D7F5F">
      <w:pPr>
        <w:keepNext w:val="0"/>
        <w:keepLines w:val="0"/>
        <w:pageBreakBefore w:val="0"/>
        <w:kinsoku/>
        <w:wordWrap/>
        <w:overflowPunct/>
        <w:topLinePunct w:val="0"/>
        <w:autoSpaceDE/>
        <w:autoSpaceDN/>
        <w:bidi w:val="0"/>
        <w:adjustRightInd/>
        <w:spacing w:line="360" w:lineRule="auto"/>
        <w:textAlignment w:val="auto"/>
        <w:rPr>
          <w:rFonts w:hint="eastAsia" w:ascii="仿宋_GB2312" w:hAnsi="仿宋_GB2312" w:eastAsia="仿宋_GB2312" w:cs="仿宋_GB2312"/>
          <w:b/>
          <w:bCs/>
          <w:color w:val="auto"/>
          <w:spacing w:val="0"/>
          <w:sz w:val="21"/>
          <w:szCs w:val="21"/>
          <w:lang w:bidi="ar"/>
        </w:rPr>
      </w:pPr>
      <w:r>
        <w:rPr>
          <w:rFonts w:hint="eastAsia" w:ascii="仿宋_GB2312" w:hAnsi="仿宋_GB2312" w:eastAsia="仿宋_GB2312" w:cs="仿宋_GB2312"/>
          <w:b/>
          <w:bCs/>
          <w:color w:val="auto"/>
          <w:spacing w:val="0"/>
          <w:sz w:val="21"/>
          <w:szCs w:val="21"/>
          <w:lang w:bidi="ar"/>
        </w:rPr>
        <w:t>第六条  乙方的权利和义务</w:t>
      </w:r>
    </w:p>
    <w:p w14:paraId="44BD63FE">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一、根据有关法律法规、政策制定物业管理服务方案，并向</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方报备，方案中包括物业管理人员的岗位职责、工作标准等</w:t>
      </w:r>
    </w:p>
    <w:p w14:paraId="5E78B9C5">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二、在实施物业管理时，要接受</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方的监督。</w:t>
      </w:r>
    </w:p>
    <w:p w14:paraId="61854139">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三、根据物业服务范围及服务内容，与</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方商议并制定月度及年度工作计划、设施设备维保计划，并按计划执行。</w:t>
      </w:r>
    </w:p>
    <w:p w14:paraId="2EB70693">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eastAsia="zh-CN" w:bidi="ar"/>
        </w:rPr>
        <w:t>四</w:t>
      </w:r>
      <w:r>
        <w:rPr>
          <w:rFonts w:hint="eastAsia" w:ascii="仿宋_GB2312" w:hAnsi="仿宋_GB2312" w:eastAsia="仿宋_GB2312" w:cs="仿宋_GB2312"/>
          <w:color w:val="auto"/>
          <w:spacing w:val="0"/>
          <w:kern w:val="0"/>
          <w:sz w:val="21"/>
          <w:szCs w:val="21"/>
          <w:lang w:bidi="ar"/>
        </w:rPr>
        <w:t>、配合</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方做好管理区域重大来访的接待工作。</w:t>
      </w:r>
    </w:p>
    <w:p w14:paraId="6A798621">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eastAsia="zh-CN" w:bidi="ar"/>
        </w:rPr>
        <w:t>五</w:t>
      </w:r>
      <w:r>
        <w:rPr>
          <w:rFonts w:hint="eastAsia" w:ascii="仿宋_GB2312" w:hAnsi="仿宋_GB2312" w:eastAsia="仿宋_GB2312" w:cs="仿宋_GB2312"/>
          <w:color w:val="auto"/>
          <w:spacing w:val="0"/>
          <w:kern w:val="0"/>
          <w:sz w:val="21"/>
          <w:szCs w:val="21"/>
          <w:lang w:bidi="ar"/>
        </w:rPr>
        <w:t>、劳动用工必须符合国家的相关规定，按照国家相关法律规定招聘人员，</w:t>
      </w:r>
      <w:r>
        <w:rPr>
          <w:rFonts w:hint="eastAsia" w:ascii="仿宋_GB2312" w:hAnsi="仿宋_GB2312" w:eastAsia="仿宋_GB2312" w:cs="仿宋_GB2312"/>
          <w:color w:val="auto"/>
          <w:spacing w:val="0"/>
          <w:sz w:val="21"/>
          <w:szCs w:val="21"/>
        </w:rPr>
        <w:t>保证所雇员工不存在违法、犯罪等情况。</w:t>
      </w:r>
    </w:p>
    <w:p w14:paraId="7FF1D028">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eastAsia="zh-CN" w:bidi="ar"/>
        </w:rPr>
        <w:t>六</w:t>
      </w:r>
      <w:r>
        <w:rPr>
          <w:rFonts w:hint="eastAsia" w:ascii="仿宋_GB2312" w:hAnsi="仿宋_GB2312" w:eastAsia="仿宋_GB2312" w:cs="仿宋_GB2312"/>
          <w:color w:val="auto"/>
          <w:spacing w:val="0"/>
          <w:kern w:val="0"/>
          <w:sz w:val="21"/>
          <w:szCs w:val="21"/>
          <w:lang w:bidi="ar"/>
        </w:rPr>
        <w:t>、负责建立物业管理档案，并负责及时记载有关变更情况，及时向</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方提交风险预警及合理化建议，制定各类重大和突发事件的应急方案，并定期进行演练。</w:t>
      </w:r>
    </w:p>
    <w:p w14:paraId="69D55ED1">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kern w:val="0"/>
          <w:sz w:val="21"/>
          <w:szCs w:val="21"/>
          <w:lang w:eastAsia="zh-CN" w:bidi="ar"/>
        </w:rPr>
        <w:t>七</w:t>
      </w:r>
      <w:r>
        <w:rPr>
          <w:rFonts w:hint="eastAsia" w:ascii="仿宋_GB2312" w:hAnsi="仿宋_GB2312" w:eastAsia="仿宋_GB2312" w:cs="仿宋_GB2312"/>
          <w:color w:val="auto"/>
          <w:spacing w:val="0"/>
          <w:kern w:val="0"/>
          <w:sz w:val="21"/>
          <w:szCs w:val="21"/>
          <w:lang w:bidi="ar"/>
        </w:rPr>
        <w:t>、</w:t>
      </w:r>
      <w:r>
        <w:rPr>
          <w:rFonts w:hint="eastAsia" w:ascii="仿宋_GB2312" w:hAnsi="仿宋_GB2312" w:eastAsia="仿宋_GB2312" w:cs="仿宋_GB2312"/>
          <w:color w:val="auto"/>
          <w:spacing w:val="0"/>
          <w:sz w:val="21"/>
          <w:szCs w:val="21"/>
        </w:rPr>
        <w:t>建立24小时值班制度，设立服务电话，接受使用人对物业管理服务的报修、求助、建议、投诉、监督等各类信息的收集和反馈，并及时处理，有回访制度和记录。</w:t>
      </w:r>
    </w:p>
    <w:p w14:paraId="115347AC">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lang w:eastAsia="zh-CN"/>
        </w:rPr>
        <w:t>八</w:t>
      </w:r>
      <w:r>
        <w:rPr>
          <w:rFonts w:hint="eastAsia" w:ascii="仿宋_GB2312" w:hAnsi="仿宋_GB2312" w:eastAsia="仿宋_GB2312" w:cs="仿宋_GB2312"/>
          <w:color w:val="auto"/>
          <w:spacing w:val="0"/>
          <w:sz w:val="21"/>
          <w:szCs w:val="21"/>
        </w:rPr>
        <w:t>、接受</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方的委托进行服务范围以外的服务，其费用由</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方按月单独支付。</w:t>
      </w:r>
    </w:p>
    <w:p w14:paraId="1F980B6A">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lang w:eastAsia="zh-CN"/>
        </w:rPr>
        <w:t>九</w:t>
      </w:r>
      <w:r>
        <w:rPr>
          <w:rFonts w:hint="eastAsia" w:ascii="仿宋_GB2312" w:hAnsi="仿宋_GB2312" w:eastAsia="仿宋_GB2312" w:cs="仿宋_GB2312"/>
          <w:color w:val="auto"/>
          <w:spacing w:val="0"/>
          <w:sz w:val="21"/>
          <w:szCs w:val="21"/>
        </w:rPr>
        <w:t>、</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方提供12小时维修服务，接到报修后半小时赶到现场，当天工作当天完成，如无法解决应解释原因，并确定解决时间；及时修缮共用区域、公共部位及公共设施设备中破损的部分。</w:t>
      </w:r>
    </w:p>
    <w:p w14:paraId="47691666">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十、如遇因紧急维修或接通知市政需要停水、停电等情况，</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方应提前以书面方式通知</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w:t>
      </w:r>
    </w:p>
    <w:p w14:paraId="18F982A3">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十</w:t>
      </w:r>
      <w:r>
        <w:rPr>
          <w:rFonts w:hint="eastAsia" w:ascii="仿宋_GB2312" w:hAnsi="仿宋_GB2312" w:eastAsia="仿宋_GB2312" w:cs="仿宋_GB2312"/>
          <w:color w:val="auto"/>
          <w:spacing w:val="0"/>
          <w:sz w:val="21"/>
          <w:szCs w:val="21"/>
          <w:lang w:eastAsia="zh-CN"/>
        </w:rPr>
        <w:t>一</w:t>
      </w:r>
      <w:r>
        <w:rPr>
          <w:rFonts w:hint="eastAsia" w:ascii="仿宋_GB2312" w:hAnsi="仿宋_GB2312" w:eastAsia="仿宋_GB2312" w:cs="仿宋_GB2312"/>
          <w:color w:val="auto"/>
          <w:spacing w:val="0"/>
          <w:sz w:val="21"/>
          <w:szCs w:val="21"/>
        </w:rPr>
        <w:t>、</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方应制定火灾、水浸、天然气泄漏、电梯困人等应急预案，做好应急准备。如发生意外，根据应急预案进行紧急处置。</w:t>
      </w:r>
    </w:p>
    <w:p w14:paraId="02878D00">
      <w:pPr>
        <w:keepNext w:val="0"/>
        <w:keepLines w:val="0"/>
        <w:pageBreakBefore w:val="0"/>
        <w:widowControl/>
        <w:kinsoku/>
        <w:wordWrap/>
        <w:overflowPunct/>
        <w:topLinePunct w:val="0"/>
        <w:autoSpaceDE/>
        <w:autoSpaceDN/>
        <w:bidi w:val="0"/>
        <w:adjustRightInd/>
        <w:spacing w:line="360" w:lineRule="auto"/>
        <w:ind w:left="0" w:leftChars="0" w:firstLine="420" w:firstLineChars="200"/>
        <w:jc w:val="left"/>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十</w:t>
      </w:r>
      <w:r>
        <w:rPr>
          <w:rFonts w:hint="eastAsia" w:ascii="仿宋_GB2312" w:hAnsi="仿宋_GB2312" w:eastAsia="仿宋_GB2312" w:cs="仿宋_GB2312"/>
          <w:color w:val="auto"/>
          <w:spacing w:val="0"/>
          <w:sz w:val="21"/>
          <w:szCs w:val="21"/>
          <w:lang w:eastAsia="zh-CN"/>
        </w:rPr>
        <w:t>二</w:t>
      </w:r>
      <w:r>
        <w:rPr>
          <w:rFonts w:hint="eastAsia" w:ascii="仿宋_GB2312" w:hAnsi="仿宋_GB2312" w:eastAsia="仿宋_GB2312" w:cs="仿宋_GB2312"/>
          <w:color w:val="auto"/>
          <w:spacing w:val="0"/>
          <w:sz w:val="21"/>
          <w:szCs w:val="21"/>
        </w:rPr>
        <w:t>、在合同履行过程中，甲方</w:t>
      </w:r>
      <w:r>
        <w:rPr>
          <w:rFonts w:hint="eastAsia" w:ascii="仿宋_GB2312" w:hAnsi="仿宋_GB2312" w:eastAsia="仿宋_GB2312" w:cs="仿宋_GB2312"/>
          <w:color w:val="auto"/>
          <w:spacing w:val="0"/>
          <w:sz w:val="21"/>
          <w:szCs w:val="21"/>
          <w:lang w:val="en-US" w:eastAsia="zh-CN"/>
        </w:rPr>
        <w:t>人员</w:t>
      </w:r>
      <w:r>
        <w:rPr>
          <w:rFonts w:hint="eastAsia" w:ascii="仿宋_GB2312" w:hAnsi="仿宋_GB2312" w:eastAsia="仿宋_GB2312" w:cs="仿宋_GB2312"/>
          <w:color w:val="auto"/>
          <w:spacing w:val="0"/>
          <w:sz w:val="21"/>
          <w:szCs w:val="21"/>
        </w:rPr>
        <w:t>、乙方</w:t>
      </w:r>
      <w:r>
        <w:rPr>
          <w:rFonts w:hint="eastAsia" w:ascii="仿宋_GB2312" w:hAnsi="仿宋_GB2312" w:eastAsia="仿宋_GB2312" w:cs="仿宋_GB2312"/>
          <w:color w:val="auto"/>
          <w:spacing w:val="0"/>
          <w:sz w:val="21"/>
          <w:szCs w:val="21"/>
          <w:lang w:val="en-US" w:eastAsia="zh-CN"/>
        </w:rPr>
        <w:t>人员</w:t>
      </w:r>
      <w:r>
        <w:rPr>
          <w:rFonts w:hint="eastAsia" w:ascii="仿宋_GB2312" w:hAnsi="仿宋_GB2312" w:eastAsia="仿宋_GB2312" w:cs="仿宋_GB2312"/>
          <w:color w:val="auto"/>
          <w:spacing w:val="0"/>
          <w:sz w:val="21"/>
          <w:szCs w:val="21"/>
        </w:rPr>
        <w:t>及</w:t>
      </w:r>
      <w:r>
        <w:rPr>
          <w:rFonts w:hint="eastAsia" w:ascii="仿宋_GB2312" w:hAnsi="仿宋_GB2312" w:eastAsia="仿宋_GB2312" w:cs="仿宋_GB2312"/>
          <w:color w:val="auto"/>
          <w:spacing w:val="0"/>
          <w:sz w:val="21"/>
          <w:szCs w:val="21"/>
          <w:lang w:val="en-US" w:eastAsia="zh-CN"/>
        </w:rPr>
        <w:t>任</w:t>
      </w:r>
      <w:r>
        <w:rPr>
          <w:rFonts w:hint="eastAsia" w:ascii="仿宋_GB2312" w:hAnsi="仿宋_GB2312" w:eastAsia="仿宋_GB2312" w:cs="仿宋_GB2312"/>
          <w:color w:val="auto"/>
          <w:spacing w:val="0"/>
          <w:sz w:val="21"/>
          <w:szCs w:val="21"/>
        </w:rPr>
        <w:t>何第三方人身、财产损害，</w:t>
      </w:r>
      <w:r>
        <w:rPr>
          <w:rFonts w:hint="eastAsia" w:ascii="仿宋_GB2312" w:hAnsi="仿宋_GB2312" w:eastAsia="仿宋_GB2312" w:cs="仿宋_GB2312"/>
          <w:color w:val="auto"/>
          <w:spacing w:val="0"/>
          <w:sz w:val="21"/>
          <w:szCs w:val="21"/>
          <w:lang w:val="en-US" w:eastAsia="zh-CN"/>
        </w:rPr>
        <w:t>根据过错，由相关责任方承担。</w:t>
      </w:r>
    </w:p>
    <w:p w14:paraId="33B2A5BF">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sz w:val="21"/>
          <w:szCs w:val="21"/>
        </w:rPr>
      </w:pPr>
      <w:r>
        <w:rPr>
          <w:rFonts w:hint="eastAsia" w:ascii="仿宋_GB2312" w:hAnsi="仿宋_GB2312" w:eastAsia="仿宋_GB2312" w:cs="仿宋_GB2312"/>
          <w:color w:val="auto"/>
          <w:spacing w:val="0"/>
          <w:sz w:val="21"/>
          <w:szCs w:val="21"/>
        </w:rPr>
        <w:t>十</w:t>
      </w:r>
      <w:r>
        <w:rPr>
          <w:rFonts w:hint="eastAsia" w:ascii="仿宋_GB2312" w:hAnsi="仿宋_GB2312" w:eastAsia="仿宋_GB2312" w:cs="仿宋_GB2312"/>
          <w:color w:val="auto"/>
          <w:spacing w:val="0"/>
          <w:sz w:val="21"/>
          <w:szCs w:val="21"/>
          <w:lang w:eastAsia="zh-CN"/>
        </w:rPr>
        <w:t>三</w:t>
      </w:r>
      <w:r>
        <w:rPr>
          <w:rFonts w:hint="eastAsia" w:ascii="仿宋_GB2312" w:hAnsi="仿宋_GB2312" w:eastAsia="仿宋_GB2312" w:cs="仿宋_GB2312"/>
          <w:color w:val="auto"/>
          <w:spacing w:val="0"/>
          <w:sz w:val="21"/>
          <w:szCs w:val="21"/>
        </w:rPr>
        <w:t>、在本合同因任何原因解除或终止后，</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方应在</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方指定时间退出并移交物业服务全部资料、档案等，并退还</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方支付的多余费用。</w:t>
      </w:r>
    </w:p>
    <w:p w14:paraId="11E16127">
      <w:pPr>
        <w:keepNext w:val="0"/>
        <w:keepLines w:val="0"/>
        <w:pageBreakBefore w:val="0"/>
        <w:widowControl/>
        <w:kinsoku/>
        <w:wordWrap/>
        <w:overflowPunct/>
        <w:topLinePunct w:val="0"/>
        <w:autoSpaceDE/>
        <w:autoSpaceDN/>
        <w:bidi w:val="0"/>
        <w:adjustRightInd/>
        <w:spacing w:line="360" w:lineRule="auto"/>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b/>
          <w:bCs/>
          <w:color w:val="auto"/>
          <w:spacing w:val="0"/>
          <w:sz w:val="21"/>
          <w:szCs w:val="21"/>
          <w:lang w:bidi="ar"/>
        </w:rPr>
        <w:t>第七条  违约责任</w:t>
      </w:r>
    </w:p>
    <w:p w14:paraId="66C150BA">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一、本合同到期后将自动解除。</w:t>
      </w:r>
    </w:p>
    <w:p w14:paraId="40309AF5">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二、若</w:t>
      </w:r>
      <w:r>
        <w:rPr>
          <w:rFonts w:hint="eastAsia" w:ascii="仿宋_GB2312" w:hAnsi="仿宋_GB2312" w:eastAsia="仿宋_GB2312" w:cs="仿宋_GB2312"/>
          <w:color w:val="auto"/>
          <w:spacing w:val="0"/>
          <w:kern w:val="0"/>
          <w:sz w:val="21"/>
          <w:szCs w:val="21"/>
          <w:lang w:val="en-US" w:eastAsia="zh-CN" w:bidi="ar"/>
        </w:rPr>
        <w:t>乙</w:t>
      </w:r>
      <w:r>
        <w:rPr>
          <w:rFonts w:hint="eastAsia" w:ascii="仿宋_GB2312" w:hAnsi="仿宋_GB2312" w:eastAsia="仿宋_GB2312" w:cs="仿宋_GB2312"/>
          <w:color w:val="auto"/>
          <w:spacing w:val="0"/>
          <w:kern w:val="0"/>
          <w:sz w:val="21"/>
          <w:szCs w:val="21"/>
          <w:lang w:bidi="ar"/>
        </w:rPr>
        <w:t>方因破产、歇业或被吊销营业执照而不能继续为</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方提供物业管理外包服务，应提前一个月通知</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方，在</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方找到新的服务商之前，</w:t>
      </w:r>
      <w:r>
        <w:rPr>
          <w:rFonts w:hint="eastAsia" w:ascii="仿宋_GB2312" w:hAnsi="仿宋_GB2312" w:eastAsia="仿宋_GB2312" w:cs="仿宋_GB2312"/>
          <w:color w:val="auto"/>
          <w:spacing w:val="0"/>
          <w:kern w:val="0"/>
          <w:sz w:val="21"/>
          <w:szCs w:val="21"/>
          <w:lang w:val="en-US" w:eastAsia="zh-CN" w:bidi="ar"/>
        </w:rPr>
        <w:t>甲</w:t>
      </w:r>
      <w:r>
        <w:rPr>
          <w:rFonts w:hint="eastAsia" w:ascii="仿宋_GB2312" w:hAnsi="仿宋_GB2312" w:eastAsia="仿宋_GB2312" w:cs="仿宋_GB2312"/>
          <w:color w:val="auto"/>
          <w:spacing w:val="0"/>
          <w:kern w:val="0"/>
          <w:sz w:val="21"/>
          <w:szCs w:val="21"/>
          <w:lang w:bidi="ar"/>
        </w:rPr>
        <w:t>方有权要求</w:t>
      </w:r>
      <w:r>
        <w:rPr>
          <w:rFonts w:hint="eastAsia" w:ascii="仿宋_GB2312" w:hAnsi="仿宋_GB2312" w:eastAsia="仿宋_GB2312" w:cs="仿宋_GB2312"/>
          <w:color w:val="auto"/>
          <w:spacing w:val="0"/>
          <w:kern w:val="0"/>
          <w:sz w:val="21"/>
          <w:szCs w:val="21"/>
          <w:lang w:val="en-US" w:eastAsia="zh-CN" w:bidi="ar"/>
        </w:rPr>
        <w:t>乙</w:t>
      </w:r>
      <w:r>
        <w:rPr>
          <w:rFonts w:hint="eastAsia" w:ascii="仿宋_GB2312" w:hAnsi="仿宋_GB2312" w:eastAsia="仿宋_GB2312" w:cs="仿宋_GB2312"/>
          <w:color w:val="auto"/>
          <w:spacing w:val="0"/>
          <w:kern w:val="0"/>
          <w:sz w:val="21"/>
          <w:szCs w:val="21"/>
          <w:lang w:bidi="ar"/>
        </w:rPr>
        <w:t>方继续提供物业管理服务。</w:t>
      </w:r>
    </w:p>
    <w:p w14:paraId="79021158">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三、如</w:t>
      </w:r>
      <w:r>
        <w:rPr>
          <w:rFonts w:hint="eastAsia" w:ascii="仿宋_GB2312" w:hAnsi="仿宋_GB2312" w:eastAsia="仿宋_GB2312" w:cs="仿宋_GB2312"/>
          <w:color w:val="auto"/>
          <w:spacing w:val="0"/>
          <w:kern w:val="0"/>
          <w:sz w:val="21"/>
          <w:szCs w:val="21"/>
          <w:lang w:val="en-US" w:eastAsia="zh-CN" w:bidi="ar"/>
        </w:rPr>
        <w:t>乙</w:t>
      </w:r>
      <w:r>
        <w:rPr>
          <w:rFonts w:hint="eastAsia" w:ascii="仿宋_GB2312" w:hAnsi="仿宋_GB2312" w:eastAsia="仿宋_GB2312" w:cs="仿宋_GB2312"/>
          <w:color w:val="auto"/>
          <w:spacing w:val="0"/>
          <w:kern w:val="0"/>
          <w:sz w:val="21"/>
          <w:szCs w:val="21"/>
          <w:lang w:bidi="ar"/>
        </w:rPr>
        <w:t>方未按合同约定提供服务或提供服务不符合合同要求，未能达到约定的管理目标，</w:t>
      </w:r>
      <w:r>
        <w:rPr>
          <w:rFonts w:hint="eastAsia" w:ascii="仿宋_GB2312" w:hAnsi="仿宋_GB2312" w:eastAsia="仿宋_GB2312" w:cs="仿宋_GB2312"/>
          <w:color w:val="auto"/>
          <w:spacing w:val="0"/>
          <w:kern w:val="0"/>
          <w:sz w:val="21"/>
          <w:szCs w:val="21"/>
          <w:lang w:val="en-US" w:eastAsia="zh-CN" w:bidi="ar"/>
        </w:rPr>
        <w:t>乙</w:t>
      </w:r>
      <w:r>
        <w:rPr>
          <w:rFonts w:hint="eastAsia" w:ascii="仿宋_GB2312" w:hAnsi="仿宋_GB2312" w:eastAsia="仿宋_GB2312" w:cs="仿宋_GB2312"/>
          <w:color w:val="auto"/>
          <w:spacing w:val="0"/>
          <w:kern w:val="0"/>
          <w:sz w:val="21"/>
          <w:szCs w:val="21"/>
          <w:lang w:bidi="ar"/>
        </w:rPr>
        <w:t>方及时予以整改。</w:t>
      </w:r>
    </w:p>
    <w:p w14:paraId="18224A19">
      <w:pPr>
        <w:keepNext w:val="0"/>
        <w:keepLines w:val="0"/>
        <w:pageBreakBefore w:val="0"/>
        <w:widowControl/>
        <w:kinsoku/>
        <w:wordWrap/>
        <w:overflowPunct/>
        <w:topLinePunct w:val="0"/>
        <w:autoSpaceDE/>
        <w:autoSpaceDN/>
        <w:bidi w:val="0"/>
        <w:adjustRightInd/>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sz w:val="21"/>
          <w:szCs w:val="21"/>
        </w:rPr>
        <w:t>四、</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方在无故违反协议，不按本协议约定的收费标准和时间支付有关费用的，</w:t>
      </w:r>
      <w:r>
        <w:rPr>
          <w:rFonts w:hint="eastAsia" w:ascii="仿宋_GB2312" w:hAnsi="仿宋_GB2312" w:eastAsia="仿宋_GB2312" w:cs="仿宋_GB2312"/>
          <w:color w:val="auto"/>
          <w:spacing w:val="0"/>
          <w:sz w:val="21"/>
          <w:szCs w:val="21"/>
          <w:lang w:val="en-US" w:eastAsia="zh-CN"/>
        </w:rPr>
        <w:t>乙</w:t>
      </w:r>
      <w:r>
        <w:rPr>
          <w:rFonts w:hint="eastAsia" w:ascii="仿宋_GB2312" w:hAnsi="仿宋_GB2312" w:eastAsia="仿宋_GB2312" w:cs="仿宋_GB2312"/>
          <w:color w:val="auto"/>
          <w:spacing w:val="0"/>
          <w:sz w:val="21"/>
          <w:szCs w:val="21"/>
        </w:rPr>
        <w:t>方有权要求</w:t>
      </w:r>
      <w:r>
        <w:rPr>
          <w:rFonts w:hint="eastAsia" w:ascii="仿宋_GB2312" w:hAnsi="仿宋_GB2312" w:eastAsia="仿宋_GB2312" w:cs="仿宋_GB2312"/>
          <w:color w:val="auto"/>
          <w:spacing w:val="0"/>
          <w:sz w:val="21"/>
          <w:szCs w:val="21"/>
          <w:lang w:val="en-US" w:eastAsia="zh-CN"/>
        </w:rPr>
        <w:t>甲</w:t>
      </w:r>
      <w:r>
        <w:rPr>
          <w:rFonts w:hint="eastAsia" w:ascii="仿宋_GB2312" w:hAnsi="仿宋_GB2312" w:eastAsia="仿宋_GB2312" w:cs="仿宋_GB2312"/>
          <w:color w:val="auto"/>
          <w:spacing w:val="0"/>
          <w:sz w:val="21"/>
          <w:szCs w:val="21"/>
        </w:rPr>
        <w:t>方</w:t>
      </w:r>
      <w:r>
        <w:rPr>
          <w:rFonts w:hint="eastAsia" w:ascii="仿宋_GB2312" w:hAnsi="仿宋_GB2312" w:eastAsia="仿宋_GB2312" w:cs="仿宋_GB2312"/>
          <w:color w:val="auto"/>
          <w:spacing w:val="0"/>
          <w:sz w:val="21"/>
          <w:szCs w:val="21"/>
          <w:lang w:eastAsia="zh-CN"/>
        </w:rPr>
        <w:t>补缴</w:t>
      </w:r>
      <w:r>
        <w:rPr>
          <w:rFonts w:hint="eastAsia" w:ascii="仿宋_GB2312" w:hAnsi="仿宋_GB2312" w:eastAsia="仿宋_GB2312" w:cs="仿宋_GB2312"/>
          <w:color w:val="auto"/>
          <w:spacing w:val="0"/>
          <w:sz w:val="21"/>
          <w:szCs w:val="21"/>
        </w:rPr>
        <w:t>并承担当月物业服务费用【3‰】违约金。同时乙方可</w:t>
      </w:r>
      <w:r>
        <w:rPr>
          <w:rFonts w:hint="eastAsia" w:ascii="仿宋_GB2312" w:hAnsi="仿宋_GB2312" w:eastAsia="仿宋_GB2312" w:cs="仿宋_GB2312"/>
          <w:color w:val="auto"/>
          <w:spacing w:val="0"/>
          <w:sz w:val="21"/>
          <w:szCs w:val="21"/>
          <w:lang w:eastAsia="zh-CN"/>
        </w:rPr>
        <w:t>采取其他措施</w:t>
      </w:r>
      <w:r>
        <w:rPr>
          <w:rFonts w:hint="eastAsia" w:ascii="仿宋_GB2312" w:hAnsi="仿宋_GB2312" w:eastAsia="仿宋_GB2312" w:cs="仿宋_GB2312"/>
          <w:color w:val="auto"/>
          <w:spacing w:val="0"/>
          <w:sz w:val="21"/>
          <w:szCs w:val="21"/>
        </w:rPr>
        <w:t>予以催收，直至向人民法院起诉。</w:t>
      </w:r>
    </w:p>
    <w:p w14:paraId="0395452A">
      <w:pPr>
        <w:keepNext w:val="0"/>
        <w:keepLines w:val="0"/>
        <w:pageBreakBefore w:val="0"/>
        <w:widowControl/>
        <w:kinsoku/>
        <w:wordWrap/>
        <w:overflowPunct/>
        <w:topLinePunct w:val="0"/>
        <w:autoSpaceDE/>
        <w:autoSpaceDN/>
        <w:bidi w:val="0"/>
        <w:adjustRightInd/>
        <w:spacing w:line="360" w:lineRule="auto"/>
        <w:jc w:val="left"/>
        <w:textAlignment w:val="auto"/>
        <w:rPr>
          <w:rFonts w:hint="eastAsia" w:ascii="仿宋_GB2312" w:hAnsi="仿宋_GB2312" w:eastAsia="仿宋_GB2312" w:cs="仿宋_GB2312"/>
          <w:b/>
          <w:bCs/>
          <w:color w:val="auto"/>
          <w:spacing w:val="0"/>
          <w:kern w:val="0"/>
          <w:sz w:val="21"/>
          <w:szCs w:val="21"/>
          <w:lang w:bidi="ar"/>
        </w:rPr>
      </w:pPr>
      <w:r>
        <w:rPr>
          <w:rFonts w:hint="eastAsia" w:ascii="仿宋_GB2312" w:hAnsi="仿宋_GB2312" w:eastAsia="仿宋_GB2312" w:cs="仿宋_GB2312"/>
          <w:b/>
          <w:bCs/>
          <w:color w:val="auto"/>
          <w:spacing w:val="0"/>
          <w:kern w:val="0"/>
          <w:sz w:val="21"/>
          <w:szCs w:val="21"/>
          <w:lang w:bidi="ar"/>
        </w:rPr>
        <w:t>第八条  不可抗力</w:t>
      </w:r>
    </w:p>
    <w:p w14:paraId="65E11DEA">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一、由于发生不能预见、不能避免并不能克服的不可抗力情形，致使直接影响本合同的履行或不能按照本合同内容之约定履行时，遇有不可抗力的一方应当立即书面通知对方，并在发生不可抗力之日起20天内，提供不可抗力的详情及合同不能履行或部分不能履行，或需要延期履行理由的有效书面证明。</w:t>
      </w:r>
    </w:p>
    <w:p w14:paraId="63AC4F05">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二、根据不可抗力对本合同的影响程度，双方应当协商是否解除本合同或部分、全部免除履行本合同的责任，或延期履行本合同。</w:t>
      </w:r>
    </w:p>
    <w:p w14:paraId="59011FC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_GB2312" w:hAnsi="仿宋_GB2312" w:eastAsia="仿宋_GB2312" w:cs="仿宋_GB2312"/>
          <w:b/>
          <w:bCs/>
          <w:color w:val="auto"/>
          <w:spacing w:val="0"/>
          <w:kern w:val="0"/>
          <w:sz w:val="21"/>
          <w:szCs w:val="21"/>
          <w:lang w:bidi="ar"/>
        </w:rPr>
      </w:pPr>
      <w:r>
        <w:rPr>
          <w:rFonts w:hint="eastAsia" w:ascii="仿宋_GB2312" w:hAnsi="仿宋_GB2312" w:eastAsia="仿宋_GB2312" w:cs="仿宋_GB2312"/>
          <w:b/>
          <w:bCs/>
          <w:color w:val="auto"/>
          <w:spacing w:val="0"/>
          <w:kern w:val="0"/>
          <w:sz w:val="21"/>
          <w:szCs w:val="21"/>
          <w:lang w:bidi="ar"/>
        </w:rPr>
        <w:t>第九条  保密条款</w:t>
      </w:r>
    </w:p>
    <w:p w14:paraId="03393AFE">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双方同意对所有因履行本合同而了解到或接触到的对方机密资料和信息，包括书面或口头信息、其他</w:t>
      </w:r>
      <w:r>
        <w:rPr>
          <w:rFonts w:hint="eastAsia" w:ascii="仿宋_GB2312" w:hAnsi="仿宋_GB2312" w:eastAsia="仿宋_GB2312" w:cs="仿宋_GB2312"/>
          <w:color w:val="auto"/>
          <w:spacing w:val="0"/>
          <w:kern w:val="0"/>
          <w:sz w:val="21"/>
          <w:szCs w:val="21"/>
          <w:lang w:eastAsia="zh-CN" w:bidi="ar"/>
        </w:rPr>
        <w:t>方面</w:t>
      </w:r>
      <w:r>
        <w:rPr>
          <w:rFonts w:hint="eastAsia" w:ascii="仿宋_GB2312" w:hAnsi="仿宋_GB2312" w:eastAsia="仿宋_GB2312" w:cs="仿宋_GB2312"/>
          <w:color w:val="auto"/>
          <w:spacing w:val="0"/>
          <w:kern w:val="0"/>
          <w:sz w:val="21"/>
          <w:szCs w:val="21"/>
          <w:lang w:bidi="ar"/>
        </w:rPr>
        <w:t>的业务资料、客户信息等均作保密性质处理。未经对方书面同意，不得向外泄露、给予或转让该信息。本合同的各项保密条款将在本合同期满或提前终止后持续有效。</w:t>
      </w:r>
    </w:p>
    <w:p w14:paraId="6BA2518C">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auto"/>
          <w:spacing w:val="0"/>
          <w:kern w:val="0"/>
          <w:sz w:val="21"/>
          <w:szCs w:val="21"/>
          <w:lang w:bidi="ar"/>
        </w:rPr>
      </w:pPr>
      <w:r>
        <w:rPr>
          <w:rFonts w:hint="eastAsia" w:ascii="仿宋_GB2312" w:hAnsi="仿宋_GB2312" w:eastAsia="仿宋_GB2312" w:cs="仿宋_GB2312"/>
          <w:b/>
          <w:bCs/>
          <w:color w:val="auto"/>
          <w:spacing w:val="0"/>
          <w:kern w:val="0"/>
          <w:sz w:val="21"/>
          <w:szCs w:val="21"/>
          <w:lang w:bidi="ar"/>
        </w:rPr>
        <w:t>第十条  其他事项</w:t>
      </w:r>
    </w:p>
    <w:p w14:paraId="047ED62B">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一、合同期限届满，履行交接手续后，合同解除。双方如需续订合同，应在合同届满前三十日内提出，经双方协商一致后以书面形式确定。</w:t>
      </w:r>
    </w:p>
    <w:p w14:paraId="712AB6A3">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 xml:space="preserve">二、合同中所列信息为双方现行有效联系方式，若有变更则应在变更后三日内书面通知对方，同时，本合同中所列各方通讯地址作为送达催告函、解除函、仲裁文书等的地址，因载明的地址有误或未及时告知变更后的地址，导致相关文书及仲裁文书未能实际被接收的、邮寄送达的，相关文书及仲裁文书退回之日视为送达之日，可以送达的，按照原联系方式通知的视为有效送达。 </w:t>
      </w:r>
    </w:p>
    <w:p w14:paraId="03940F2C">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bidi="ar"/>
        </w:rPr>
      </w:pPr>
      <w:r>
        <w:rPr>
          <w:rFonts w:hint="eastAsia" w:ascii="仿宋_GB2312" w:hAnsi="仿宋_GB2312" w:eastAsia="仿宋_GB2312" w:cs="仿宋_GB2312"/>
          <w:color w:val="auto"/>
          <w:spacing w:val="0"/>
          <w:kern w:val="0"/>
          <w:sz w:val="21"/>
          <w:szCs w:val="21"/>
          <w:lang w:bidi="ar"/>
        </w:rPr>
        <w:t>三、本合同履行中如发生争议，可由双方协商解决，协商不成的，可诉讼至</w:t>
      </w:r>
      <w:r>
        <w:rPr>
          <w:rFonts w:hint="eastAsia" w:ascii="仿宋_GB2312" w:hAnsi="仿宋_GB2312" w:eastAsia="仿宋_GB2312" w:cs="仿宋_GB2312"/>
          <w:color w:val="auto"/>
          <w:spacing w:val="0"/>
          <w:kern w:val="0"/>
          <w:sz w:val="21"/>
          <w:szCs w:val="21"/>
          <w:lang w:val="en-US" w:eastAsia="zh-CN" w:bidi="ar"/>
        </w:rPr>
        <w:t>乙</w:t>
      </w:r>
      <w:r>
        <w:rPr>
          <w:rFonts w:hint="eastAsia" w:ascii="仿宋_GB2312" w:hAnsi="仿宋_GB2312" w:eastAsia="仿宋_GB2312" w:cs="仿宋_GB2312"/>
          <w:color w:val="auto"/>
          <w:spacing w:val="0"/>
          <w:kern w:val="0"/>
          <w:sz w:val="21"/>
          <w:szCs w:val="21"/>
          <w:lang w:bidi="ar"/>
        </w:rPr>
        <w:t>方所在地人民法院。</w:t>
      </w:r>
    </w:p>
    <w:p w14:paraId="18C9194B">
      <w:pPr>
        <w:keepNext w:val="0"/>
        <w:keepLines w:val="0"/>
        <w:pageBreakBefore w:val="0"/>
        <w:widowControl/>
        <w:numPr>
          <w:ilvl w:val="255"/>
          <w:numId w:val="0"/>
        </w:numPr>
        <w:kinsoku/>
        <w:wordWrap/>
        <w:overflowPunct/>
        <w:topLinePunct w:val="0"/>
        <w:autoSpaceDE/>
        <w:autoSpaceDN/>
        <w:bidi w:val="0"/>
        <w:adjustRightInd/>
        <w:snapToGrid w:val="0"/>
        <w:spacing w:line="360" w:lineRule="auto"/>
        <w:ind w:firstLine="420" w:firstLineChars="200"/>
        <w:jc w:val="left"/>
        <w:textAlignment w:val="auto"/>
        <w:rPr>
          <w:rFonts w:hint="eastAsia" w:ascii="仿宋_GB2312" w:hAnsi="仿宋_GB2312" w:eastAsia="仿宋_GB2312" w:cs="仿宋_GB2312"/>
          <w:color w:val="auto"/>
          <w:spacing w:val="0"/>
          <w:sz w:val="21"/>
          <w:szCs w:val="21"/>
          <w:lang w:bidi="ar"/>
        </w:rPr>
      </w:pPr>
      <w:r>
        <w:rPr>
          <w:rFonts w:hint="eastAsia" w:ascii="仿宋_GB2312" w:hAnsi="仿宋_GB2312" w:eastAsia="仿宋_GB2312" w:cs="仿宋_GB2312"/>
          <w:color w:val="auto"/>
          <w:spacing w:val="0"/>
          <w:kern w:val="0"/>
          <w:sz w:val="21"/>
          <w:szCs w:val="21"/>
          <w:lang w:val="en-US" w:eastAsia="zh-CN" w:bidi="ar"/>
        </w:rPr>
        <w:t>四</w:t>
      </w:r>
      <w:r>
        <w:rPr>
          <w:rFonts w:hint="eastAsia" w:ascii="仿宋_GB2312" w:hAnsi="仿宋_GB2312" w:eastAsia="仿宋_GB2312" w:cs="仿宋_GB2312"/>
          <w:color w:val="auto"/>
          <w:spacing w:val="0"/>
          <w:kern w:val="0"/>
          <w:sz w:val="21"/>
          <w:szCs w:val="21"/>
          <w:lang w:bidi="ar"/>
        </w:rPr>
        <w:t>、本合同壹式陆份，甲、乙双各执叁份，具有同等的法律效力。</w:t>
      </w:r>
    </w:p>
    <w:p w14:paraId="3B7BFFD3">
      <w:pPr>
        <w:keepNext w:val="0"/>
        <w:keepLines w:val="0"/>
        <w:pageBreakBefore w:val="0"/>
        <w:widowControl/>
        <w:numPr>
          <w:ilvl w:val="255"/>
          <w:numId w:val="0"/>
        </w:numPr>
        <w:kinsoku/>
        <w:wordWrap/>
        <w:overflowPunct/>
        <w:topLinePunct w:val="0"/>
        <w:autoSpaceDE/>
        <w:autoSpaceDN/>
        <w:bidi w:val="0"/>
        <w:adjustRightInd/>
        <w:snapToGrid w:val="0"/>
        <w:spacing w:line="360" w:lineRule="auto"/>
        <w:ind w:firstLine="420" w:firstLineChars="200"/>
        <w:jc w:val="left"/>
        <w:textAlignment w:val="auto"/>
        <w:rPr>
          <w:rFonts w:hint="eastAsia" w:ascii="仿宋_GB2312" w:hAnsi="仿宋_GB2312" w:eastAsia="仿宋_GB2312" w:cs="仿宋_GB2312"/>
          <w:color w:val="auto"/>
          <w:spacing w:val="0"/>
          <w:kern w:val="0"/>
          <w:sz w:val="21"/>
          <w:szCs w:val="21"/>
          <w:lang w:eastAsia="zh-CN" w:bidi="ar"/>
        </w:rPr>
      </w:pPr>
      <w:r>
        <w:rPr>
          <w:rFonts w:hint="eastAsia" w:ascii="仿宋_GB2312" w:hAnsi="仿宋_GB2312" w:eastAsia="仿宋_GB2312" w:cs="仿宋_GB2312"/>
          <w:color w:val="auto"/>
          <w:spacing w:val="0"/>
          <w:kern w:val="0"/>
          <w:sz w:val="21"/>
          <w:szCs w:val="21"/>
          <w:lang w:eastAsia="zh-CN" w:bidi="ar"/>
        </w:rPr>
        <w:t>（</w:t>
      </w:r>
      <w:r>
        <w:rPr>
          <w:rFonts w:hint="eastAsia" w:ascii="仿宋_GB2312" w:hAnsi="仿宋_GB2312" w:eastAsia="仿宋_GB2312" w:cs="仿宋_GB2312"/>
          <w:color w:val="auto"/>
          <w:spacing w:val="0"/>
          <w:kern w:val="0"/>
          <w:sz w:val="21"/>
          <w:szCs w:val="21"/>
          <w:lang w:val="en-US" w:eastAsia="zh-CN" w:bidi="ar"/>
        </w:rPr>
        <w:t>以下无正文</w:t>
      </w:r>
      <w:r>
        <w:rPr>
          <w:rFonts w:hint="eastAsia" w:ascii="仿宋_GB2312" w:hAnsi="仿宋_GB2312" w:eastAsia="仿宋_GB2312" w:cs="仿宋_GB2312"/>
          <w:color w:val="auto"/>
          <w:spacing w:val="0"/>
          <w:kern w:val="0"/>
          <w:sz w:val="21"/>
          <w:szCs w:val="21"/>
          <w:lang w:eastAsia="zh-CN" w:bidi="ar"/>
        </w:rPr>
        <w:t>）</w:t>
      </w:r>
    </w:p>
    <w:tbl>
      <w:tblPr>
        <w:tblStyle w:val="8"/>
        <w:tblW w:w="91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69"/>
        <w:gridCol w:w="4570"/>
      </w:tblGrid>
      <w:tr w14:paraId="4F252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4569" w:type="dxa"/>
            <w:vAlign w:val="center"/>
          </w:tcPr>
          <w:p w14:paraId="1D6D7F39">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auto"/>
                <w:spacing w:val="20"/>
                <w:kern w:val="0"/>
                <w:sz w:val="21"/>
                <w:szCs w:val="21"/>
                <w:vertAlign w:val="baseline"/>
                <w:lang w:bidi="ar"/>
              </w:rPr>
            </w:pPr>
            <w:r>
              <w:rPr>
                <w:rFonts w:hint="eastAsia" w:ascii="仿宋_GB2312" w:hAnsi="仿宋_GB2312" w:eastAsia="仿宋_GB2312" w:cs="仿宋_GB2312"/>
                <w:color w:val="auto"/>
                <w:spacing w:val="20"/>
                <w:kern w:val="0"/>
                <w:sz w:val="21"/>
                <w:szCs w:val="21"/>
                <w:lang w:bidi="ar"/>
              </w:rPr>
              <w:t>甲方</w:t>
            </w:r>
            <w:r>
              <w:rPr>
                <w:rFonts w:hint="eastAsia" w:ascii="仿宋_GB2312" w:hAnsi="仿宋_GB2312" w:eastAsia="仿宋_GB2312" w:cs="仿宋_GB2312"/>
                <w:color w:val="auto"/>
                <w:spacing w:val="20"/>
                <w:kern w:val="0"/>
                <w:sz w:val="21"/>
                <w:szCs w:val="21"/>
                <w:lang w:eastAsia="zh-CN" w:bidi="ar"/>
              </w:rPr>
              <w:t>（</w:t>
            </w:r>
            <w:r>
              <w:rPr>
                <w:rFonts w:hint="eastAsia" w:ascii="仿宋_GB2312" w:hAnsi="仿宋_GB2312" w:eastAsia="仿宋_GB2312" w:cs="仿宋_GB2312"/>
                <w:color w:val="auto"/>
                <w:spacing w:val="20"/>
                <w:kern w:val="0"/>
                <w:sz w:val="21"/>
                <w:szCs w:val="21"/>
                <w:lang w:bidi="ar"/>
              </w:rPr>
              <w:t>盖章）</w:t>
            </w:r>
            <w:r>
              <w:rPr>
                <w:rFonts w:hint="eastAsia" w:ascii="仿宋_GB2312" w:hAnsi="仿宋_GB2312" w:eastAsia="仿宋_GB2312" w:cs="仿宋_GB2312"/>
                <w:color w:val="auto"/>
                <w:spacing w:val="20"/>
                <w:kern w:val="0"/>
                <w:sz w:val="21"/>
                <w:szCs w:val="21"/>
                <w:lang w:eastAsia="zh-CN" w:bidi="ar"/>
              </w:rPr>
              <w:t>：</w:t>
            </w:r>
          </w:p>
        </w:tc>
        <w:tc>
          <w:tcPr>
            <w:tcW w:w="4570" w:type="dxa"/>
            <w:vAlign w:val="center"/>
          </w:tcPr>
          <w:p w14:paraId="394664C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auto"/>
                <w:spacing w:val="20"/>
                <w:kern w:val="0"/>
                <w:sz w:val="21"/>
                <w:szCs w:val="21"/>
                <w:vertAlign w:val="baseline"/>
                <w:lang w:bidi="ar"/>
              </w:rPr>
            </w:pPr>
            <w:r>
              <w:rPr>
                <w:rFonts w:hint="eastAsia" w:ascii="仿宋_GB2312" w:hAnsi="仿宋_GB2312" w:eastAsia="仿宋_GB2312" w:cs="仿宋_GB2312"/>
                <w:color w:val="auto"/>
                <w:spacing w:val="20"/>
                <w:kern w:val="0"/>
                <w:sz w:val="21"/>
                <w:szCs w:val="21"/>
                <w:lang w:val="en-US" w:eastAsia="zh-CN" w:bidi="ar"/>
              </w:rPr>
              <w:t>乙</w:t>
            </w:r>
            <w:r>
              <w:rPr>
                <w:rFonts w:hint="eastAsia" w:ascii="仿宋_GB2312" w:hAnsi="仿宋_GB2312" w:eastAsia="仿宋_GB2312" w:cs="仿宋_GB2312"/>
                <w:color w:val="auto"/>
                <w:spacing w:val="20"/>
                <w:kern w:val="0"/>
                <w:sz w:val="21"/>
                <w:szCs w:val="21"/>
                <w:lang w:bidi="ar"/>
              </w:rPr>
              <w:t>方</w:t>
            </w:r>
            <w:r>
              <w:rPr>
                <w:rFonts w:hint="eastAsia" w:ascii="仿宋_GB2312" w:hAnsi="仿宋_GB2312" w:eastAsia="仿宋_GB2312" w:cs="仿宋_GB2312"/>
                <w:color w:val="auto"/>
                <w:spacing w:val="20"/>
                <w:kern w:val="0"/>
                <w:sz w:val="21"/>
                <w:szCs w:val="21"/>
                <w:lang w:eastAsia="zh-CN" w:bidi="ar"/>
              </w:rPr>
              <w:t>（</w:t>
            </w:r>
            <w:r>
              <w:rPr>
                <w:rFonts w:hint="eastAsia" w:ascii="仿宋_GB2312" w:hAnsi="仿宋_GB2312" w:eastAsia="仿宋_GB2312" w:cs="仿宋_GB2312"/>
                <w:color w:val="auto"/>
                <w:spacing w:val="20"/>
                <w:kern w:val="0"/>
                <w:sz w:val="21"/>
                <w:szCs w:val="21"/>
                <w:lang w:bidi="ar"/>
              </w:rPr>
              <w:t>盖章）</w:t>
            </w:r>
            <w:r>
              <w:rPr>
                <w:rFonts w:hint="eastAsia" w:ascii="仿宋_GB2312" w:hAnsi="仿宋_GB2312" w:eastAsia="仿宋_GB2312" w:cs="仿宋_GB2312"/>
                <w:color w:val="auto"/>
                <w:spacing w:val="20"/>
                <w:kern w:val="0"/>
                <w:sz w:val="21"/>
                <w:szCs w:val="21"/>
                <w:lang w:eastAsia="zh-CN" w:bidi="ar"/>
              </w:rPr>
              <w:t>：</w:t>
            </w:r>
          </w:p>
        </w:tc>
      </w:tr>
      <w:tr w14:paraId="44168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7" w:hRule="atLeast"/>
        </w:trPr>
        <w:tc>
          <w:tcPr>
            <w:tcW w:w="4569" w:type="dxa"/>
            <w:vAlign w:val="center"/>
          </w:tcPr>
          <w:p w14:paraId="3E59C2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auto"/>
                <w:spacing w:val="20"/>
                <w:kern w:val="0"/>
                <w:sz w:val="21"/>
                <w:szCs w:val="21"/>
                <w:vertAlign w:val="baseline"/>
                <w:lang w:bidi="ar"/>
              </w:rPr>
            </w:pPr>
            <w:r>
              <w:rPr>
                <w:rFonts w:hint="eastAsia" w:ascii="仿宋_GB2312" w:hAnsi="仿宋_GB2312" w:eastAsia="仿宋_GB2312" w:cs="仿宋_GB2312"/>
                <w:color w:val="auto"/>
                <w:spacing w:val="20"/>
                <w:kern w:val="0"/>
                <w:sz w:val="21"/>
                <w:szCs w:val="21"/>
                <w:lang w:bidi="ar"/>
              </w:rPr>
              <w:t>法定代表人或授权委托人</w:t>
            </w:r>
            <w:r>
              <w:rPr>
                <w:rFonts w:hint="eastAsia" w:ascii="仿宋_GB2312" w:hAnsi="仿宋_GB2312" w:eastAsia="仿宋_GB2312" w:cs="仿宋_GB2312"/>
                <w:color w:val="auto"/>
                <w:spacing w:val="20"/>
                <w:kern w:val="0"/>
                <w:sz w:val="21"/>
                <w:szCs w:val="21"/>
                <w:lang w:eastAsia="zh-CN" w:bidi="ar"/>
              </w:rPr>
              <w:t>（</w:t>
            </w:r>
            <w:r>
              <w:rPr>
                <w:rFonts w:hint="eastAsia" w:ascii="仿宋_GB2312" w:hAnsi="仿宋_GB2312" w:eastAsia="仿宋_GB2312" w:cs="仿宋_GB2312"/>
                <w:color w:val="auto"/>
                <w:spacing w:val="20"/>
                <w:kern w:val="0"/>
                <w:sz w:val="21"/>
                <w:szCs w:val="21"/>
                <w:lang w:bidi="ar"/>
              </w:rPr>
              <w:t>签字）：</w:t>
            </w:r>
          </w:p>
        </w:tc>
        <w:tc>
          <w:tcPr>
            <w:tcW w:w="4570" w:type="dxa"/>
            <w:vAlign w:val="center"/>
          </w:tcPr>
          <w:p w14:paraId="3EF628D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auto"/>
                <w:spacing w:val="20"/>
                <w:kern w:val="0"/>
                <w:sz w:val="21"/>
                <w:szCs w:val="21"/>
                <w:vertAlign w:val="baseline"/>
                <w:lang w:bidi="ar"/>
              </w:rPr>
            </w:pPr>
            <w:r>
              <w:rPr>
                <w:rFonts w:hint="eastAsia" w:ascii="仿宋_GB2312" w:hAnsi="仿宋_GB2312" w:eastAsia="仿宋_GB2312" w:cs="仿宋_GB2312"/>
                <w:color w:val="auto"/>
                <w:spacing w:val="20"/>
                <w:kern w:val="0"/>
                <w:sz w:val="21"/>
                <w:szCs w:val="21"/>
                <w:lang w:bidi="ar"/>
              </w:rPr>
              <w:t>法定代表人或授权委托人</w:t>
            </w:r>
            <w:r>
              <w:rPr>
                <w:rFonts w:hint="eastAsia" w:ascii="仿宋_GB2312" w:hAnsi="仿宋_GB2312" w:eastAsia="仿宋_GB2312" w:cs="仿宋_GB2312"/>
                <w:color w:val="auto"/>
                <w:spacing w:val="20"/>
                <w:kern w:val="0"/>
                <w:sz w:val="21"/>
                <w:szCs w:val="21"/>
                <w:lang w:eastAsia="zh-CN" w:bidi="ar"/>
              </w:rPr>
              <w:t>（</w:t>
            </w:r>
            <w:r>
              <w:rPr>
                <w:rFonts w:hint="eastAsia" w:ascii="仿宋_GB2312" w:hAnsi="仿宋_GB2312" w:eastAsia="仿宋_GB2312" w:cs="仿宋_GB2312"/>
                <w:color w:val="auto"/>
                <w:spacing w:val="20"/>
                <w:kern w:val="0"/>
                <w:sz w:val="21"/>
                <w:szCs w:val="21"/>
                <w:lang w:bidi="ar"/>
              </w:rPr>
              <w:t>签字）：</w:t>
            </w:r>
          </w:p>
        </w:tc>
      </w:tr>
      <w:tr w14:paraId="2443B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6" w:hRule="atLeast"/>
        </w:trPr>
        <w:tc>
          <w:tcPr>
            <w:tcW w:w="4569" w:type="dxa"/>
            <w:vAlign w:val="center"/>
          </w:tcPr>
          <w:p w14:paraId="0A0ACE7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auto"/>
                <w:spacing w:val="20"/>
                <w:kern w:val="0"/>
                <w:sz w:val="21"/>
                <w:szCs w:val="21"/>
                <w:vertAlign w:val="baseline"/>
                <w:lang w:bidi="ar"/>
              </w:rPr>
            </w:pPr>
            <w:r>
              <w:rPr>
                <w:rFonts w:hint="eastAsia" w:ascii="仿宋_GB2312" w:hAnsi="仿宋_GB2312" w:eastAsia="仿宋_GB2312" w:cs="仿宋_GB2312"/>
                <w:color w:val="auto"/>
                <w:spacing w:val="20"/>
                <w:kern w:val="0"/>
                <w:sz w:val="21"/>
                <w:szCs w:val="21"/>
                <w:lang w:bidi="ar"/>
              </w:rPr>
              <w:t xml:space="preserve"> </w:t>
            </w:r>
            <w:r>
              <w:rPr>
                <w:rFonts w:hint="eastAsia" w:ascii="仿宋_GB2312" w:hAnsi="仿宋_GB2312" w:eastAsia="仿宋_GB2312" w:cs="仿宋_GB2312"/>
                <w:color w:val="auto"/>
                <w:spacing w:val="20"/>
                <w:kern w:val="0"/>
                <w:sz w:val="21"/>
                <w:szCs w:val="21"/>
                <w:lang w:val="en-US" w:eastAsia="zh-CN" w:bidi="ar"/>
              </w:rPr>
              <w:t xml:space="preserve">   </w:t>
            </w:r>
            <w:r>
              <w:rPr>
                <w:rFonts w:hint="eastAsia" w:ascii="仿宋_GB2312" w:hAnsi="仿宋_GB2312" w:eastAsia="仿宋_GB2312" w:cs="仿宋_GB2312"/>
                <w:color w:val="auto"/>
                <w:spacing w:val="20"/>
                <w:kern w:val="0"/>
                <w:sz w:val="21"/>
                <w:szCs w:val="21"/>
                <w:lang w:bidi="ar"/>
              </w:rPr>
              <w:t xml:space="preserve"> 年  月  日</w:t>
            </w:r>
          </w:p>
        </w:tc>
        <w:tc>
          <w:tcPr>
            <w:tcW w:w="4570" w:type="dxa"/>
            <w:vAlign w:val="center"/>
          </w:tcPr>
          <w:p w14:paraId="23F51DA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auto"/>
                <w:spacing w:val="20"/>
                <w:kern w:val="0"/>
                <w:sz w:val="21"/>
                <w:szCs w:val="21"/>
                <w:vertAlign w:val="baseline"/>
                <w:lang w:bidi="ar"/>
              </w:rPr>
            </w:pPr>
            <w:r>
              <w:rPr>
                <w:rFonts w:hint="eastAsia" w:ascii="仿宋_GB2312" w:hAnsi="仿宋_GB2312" w:eastAsia="仿宋_GB2312" w:cs="仿宋_GB2312"/>
                <w:color w:val="auto"/>
                <w:spacing w:val="20"/>
                <w:kern w:val="0"/>
                <w:sz w:val="21"/>
                <w:szCs w:val="21"/>
                <w:lang w:bidi="ar"/>
              </w:rPr>
              <w:t xml:space="preserve"> </w:t>
            </w:r>
            <w:r>
              <w:rPr>
                <w:rFonts w:hint="eastAsia" w:ascii="仿宋_GB2312" w:hAnsi="仿宋_GB2312" w:eastAsia="仿宋_GB2312" w:cs="仿宋_GB2312"/>
                <w:color w:val="auto"/>
                <w:spacing w:val="20"/>
                <w:kern w:val="0"/>
                <w:sz w:val="21"/>
                <w:szCs w:val="21"/>
                <w:lang w:val="en-US" w:eastAsia="zh-CN" w:bidi="ar"/>
              </w:rPr>
              <w:t xml:space="preserve">   </w:t>
            </w:r>
            <w:r>
              <w:rPr>
                <w:rFonts w:hint="eastAsia" w:ascii="仿宋_GB2312" w:hAnsi="仿宋_GB2312" w:eastAsia="仿宋_GB2312" w:cs="仿宋_GB2312"/>
                <w:color w:val="auto"/>
                <w:spacing w:val="20"/>
                <w:kern w:val="0"/>
                <w:sz w:val="21"/>
                <w:szCs w:val="21"/>
                <w:lang w:bidi="ar"/>
              </w:rPr>
              <w:t xml:space="preserve"> 年  月  日</w:t>
            </w:r>
          </w:p>
        </w:tc>
      </w:tr>
    </w:tbl>
    <w:p w14:paraId="5E01CF21">
      <w:pPr>
        <w:pStyle w:val="6"/>
        <w:keepNext w:val="0"/>
        <w:keepLines w:val="0"/>
        <w:pageBreakBefore w:val="0"/>
        <w:widowControl/>
        <w:kinsoku/>
        <w:wordWrap/>
        <w:overflowPunct/>
        <w:topLinePunct w:val="0"/>
        <w:autoSpaceDE/>
        <w:autoSpaceDN/>
        <w:bidi w:val="0"/>
        <w:adjustRightInd/>
        <w:spacing w:before="0" w:beforeAutospacing="0" w:after="0" w:afterAutospacing="0" w:line="360" w:lineRule="auto"/>
        <w:textAlignment w:val="auto"/>
        <w:rPr>
          <w:rFonts w:hint="eastAsia" w:ascii="仿宋_GB2312" w:hAnsi="仿宋_GB2312" w:eastAsia="仿宋_GB2312" w:cs="仿宋_GB2312"/>
          <w:color w:val="auto"/>
          <w:spacing w:val="20"/>
          <w:sz w:val="21"/>
          <w:szCs w:val="21"/>
        </w:rPr>
      </w:pPr>
    </w:p>
    <w:p w14:paraId="5B8EA5CD">
      <w:pPr>
        <w:keepNext w:val="0"/>
        <w:keepLines w:val="0"/>
        <w:pageBreakBefore w:val="0"/>
        <w:kinsoku/>
        <w:wordWrap/>
        <w:overflowPunct/>
        <w:topLinePunct w:val="0"/>
        <w:autoSpaceDE/>
        <w:autoSpaceDN/>
        <w:bidi w:val="0"/>
        <w:adjustRightInd/>
        <w:spacing w:line="360" w:lineRule="auto"/>
        <w:textAlignment w:val="auto"/>
        <w:rPr>
          <w:rFonts w:hint="eastAsia" w:ascii="仿宋_GB2312" w:hAnsi="仿宋_GB2312" w:eastAsia="仿宋_GB2312" w:cs="仿宋_GB2312"/>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6CD5D"/>
    <w:multiLevelType w:val="singleLevel"/>
    <w:tmpl w:val="E5E6CD5D"/>
    <w:lvl w:ilvl="0" w:tentative="0">
      <w:start w:val="1"/>
      <w:numFmt w:val="chineseCounting"/>
      <w:suff w:val="nothing"/>
      <w:lvlText w:val="%1、"/>
      <w:lvlJc w:val="left"/>
      <w:pPr>
        <w:ind w:left="7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643B91"/>
    <w:rsid w:val="18102676"/>
    <w:rsid w:val="2E5708D9"/>
    <w:rsid w:val="32C35EAC"/>
    <w:rsid w:val="37B75A65"/>
    <w:rsid w:val="38A12A5B"/>
    <w:rsid w:val="41B01EDD"/>
    <w:rsid w:val="4397623D"/>
    <w:rsid w:val="446D6522"/>
    <w:rsid w:val="45673BF7"/>
    <w:rsid w:val="472745EF"/>
    <w:rsid w:val="47D967CF"/>
    <w:rsid w:val="4C70240E"/>
    <w:rsid w:val="4F6239E6"/>
    <w:rsid w:val="516A1CA8"/>
    <w:rsid w:val="56A22E34"/>
    <w:rsid w:val="594A6647"/>
    <w:rsid w:val="597A19D6"/>
    <w:rsid w:val="5E792B14"/>
    <w:rsid w:val="67043337"/>
    <w:rsid w:val="68F35F86"/>
    <w:rsid w:val="6A1E4DBE"/>
    <w:rsid w:val="6F3528A9"/>
    <w:rsid w:val="7457189B"/>
    <w:rsid w:val="79F2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val="0"/>
      <w:keepLines w:val="0"/>
      <w:pageBreakBefore w:val="0"/>
      <w:widowControl w:val="0"/>
      <w:bidi w:val="0"/>
      <w:spacing w:before="0" w:after="0" w:line="360" w:lineRule="auto"/>
      <w:ind w:left="0" w:leftChars="0" w:right="0" w:rightChars="0" w:firstLine="0" w:firstLineChars="0"/>
      <w:jc w:val="left"/>
      <w:outlineLvl w:val="0"/>
    </w:pPr>
    <w:rPr>
      <w:rFonts w:ascii="宋体" w:hAnsi="宋体" w:eastAsia="黑体" w:cs="黑体"/>
      <w:bCs/>
      <w:color w:val="000000"/>
      <w:kern w:val="32"/>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tabs>
        <w:tab w:val="left" w:pos="567"/>
      </w:tabs>
      <w:spacing w:before="120" w:line="22" w:lineRule="atLeast"/>
    </w:pPr>
    <w:rPr>
      <w:rFonts w:ascii="宋体" w:hAnsi="宋体"/>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3272</Words>
  <Characters>3369</Characters>
  <Lines>0</Lines>
  <Paragraphs>0</Paragraphs>
  <TotalTime>0</TotalTime>
  <ScaleCrop>false</ScaleCrop>
  <LinksUpToDate>false</LinksUpToDate>
  <CharactersWithSpaces>3452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2026-04-28T01:21:00Z</dcterms:created>
  <dc:creator>Lenovo</dc:creator>
  <cp:lastModifiedBy>钟声</cp:lastModifiedBy>
  <dcterms:modified xsi:type="dcterms:W3CDTF">2026-06-18T04:41:24Z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eyJoZGlkIjoiOTJmM2Y3YjgzNWU3ZDc3NGZmYWVkNzQyNTc3YTk1YjQiLCJ1c2VySWQiOiI2Nzc2MzQ0MTQifQ==</vt:lpwstr>
  </property>
  <property fmtid="{D5CDD505-2E9C-101B-9397-08002B2CF9AE}" pid="4" name="ICV">
    <vt:lpwstr>41E4ABBBD346458E8DA4A289D5009D92_12</vt:lpwstr>
  </property>
</Properties>
</file>