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96E33">
      <w:pPr>
        <w:pStyle w:val="5"/>
        <w:widowControl/>
        <w:shd w:val="clear" w:color="auto" w:fill="FFFFFF"/>
        <w:spacing w:beforeAutospacing="0" w:afterAutospacing="0" w:line="360" w:lineRule="auto"/>
        <w:rPr>
          <w:rFonts w:hint="eastAsia" w:ascii="宋体" w:hAnsi="宋体" w:eastAsia="宋体" w:cs="宋体"/>
          <w:sz w:val="19"/>
          <w:szCs w:val="19"/>
          <w:shd w:val="clear" w:color="auto" w:fill="FFFFFF"/>
        </w:rPr>
      </w:pPr>
      <w:r>
        <w:rPr>
          <w:rFonts w:hint="eastAsia" w:ascii="宋体" w:hAnsi="宋体" w:eastAsia="宋体" w:cs="宋体"/>
          <w:sz w:val="19"/>
          <w:szCs w:val="19"/>
          <w:shd w:val="clear" w:color="auto" w:fill="FFFFFF"/>
        </w:rPr>
        <w:t>（合同签订时采购人有权根据供应商提供的响应文件中内容及承诺对合同内容进行补充和完善）</w:t>
      </w:r>
    </w:p>
    <w:p w14:paraId="110ACFEB">
      <w:pPr>
        <w:snapToGrid w:val="0"/>
        <w:spacing w:line="360" w:lineRule="auto"/>
        <w:jc w:val="center"/>
        <w:rPr>
          <w:rStyle w:val="8"/>
          <w:rFonts w:hint="default"/>
          <w:color w:val="auto"/>
          <w:sz w:val="44"/>
          <w:szCs w:val="44"/>
          <w:highlight w:val="none"/>
          <w:lang w:eastAsia="zh-CN"/>
        </w:rPr>
      </w:pPr>
    </w:p>
    <w:p w14:paraId="280002FC">
      <w:pPr>
        <w:snapToGrid w:val="0"/>
        <w:spacing w:line="360" w:lineRule="auto"/>
        <w:jc w:val="center"/>
        <w:rPr>
          <w:rStyle w:val="8"/>
          <w:rFonts w:hint="default"/>
          <w:color w:val="auto"/>
          <w:sz w:val="44"/>
          <w:szCs w:val="44"/>
          <w:highlight w:val="none"/>
          <w:lang w:eastAsia="zh-CN"/>
        </w:rPr>
      </w:pPr>
    </w:p>
    <w:p w14:paraId="596D7A07">
      <w:pPr>
        <w:snapToGrid w:val="0"/>
        <w:spacing w:line="360" w:lineRule="auto"/>
        <w:jc w:val="center"/>
        <w:rPr>
          <w:rStyle w:val="8"/>
          <w:rFonts w:hint="eastAsia"/>
          <w:color w:val="auto"/>
          <w:sz w:val="44"/>
          <w:szCs w:val="44"/>
          <w:highlight w:val="none"/>
          <w:lang w:eastAsia="zh-CN"/>
        </w:rPr>
      </w:pPr>
      <w:bookmarkStart w:id="0" w:name="_Toc9148"/>
      <w:r>
        <w:rPr>
          <w:rStyle w:val="8"/>
          <w:rFonts w:hint="eastAsia"/>
          <w:color w:val="auto"/>
          <w:sz w:val="44"/>
          <w:szCs w:val="44"/>
          <w:highlight w:val="none"/>
          <w:lang w:eastAsia="zh-CN"/>
        </w:rPr>
        <w:t>陕西中医药大</w:t>
      </w:r>
      <w:bookmarkStart w:id="2" w:name="_GoBack"/>
      <w:bookmarkEnd w:id="2"/>
      <w:r>
        <w:rPr>
          <w:rStyle w:val="8"/>
          <w:rFonts w:hint="eastAsia"/>
          <w:color w:val="auto"/>
          <w:sz w:val="44"/>
          <w:szCs w:val="44"/>
          <w:highlight w:val="none"/>
          <w:lang w:eastAsia="zh-CN"/>
        </w:rPr>
        <w:t>学附属医院</w:t>
      </w:r>
    </w:p>
    <w:bookmarkEnd w:id="0"/>
    <w:p w14:paraId="439CB8A9">
      <w:pPr>
        <w:snapToGrid w:val="0"/>
        <w:spacing w:line="360" w:lineRule="auto"/>
        <w:jc w:val="center"/>
        <w:rPr>
          <w:rStyle w:val="8"/>
          <w:rFonts w:hint="eastAsia"/>
          <w:color w:val="auto"/>
          <w:sz w:val="44"/>
          <w:szCs w:val="44"/>
          <w:highlight w:val="none"/>
          <w:lang w:eastAsia="zh-CN"/>
        </w:rPr>
      </w:pPr>
      <w:bookmarkStart w:id="1" w:name="_Toc30162"/>
      <w:r>
        <w:rPr>
          <w:rStyle w:val="8"/>
          <w:rFonts w:hint="eastAsia"/>
          <w:color w:val="auto"/>
          <w:sz w:val="44"/>
          <w:szCs w:val="44"/>
          <w:highlight w:val="none"/>
          <w:lang w:eastAsia="zh-CN"/>
        </w:rPr>
        <w:t>2026年中秋节职工慰问品采购项目</w:t>
      </w:r>
    </w:p>
    <w:bookmarkEnd w:id="1"/>
    <w:p w14:paraId="5CEB4FF9">
      <w:pPr>
        <w:snapToGrid w:val="0"/>
        <w:spacing w:line="360" w:lineRule="auto"/>
        <w:jc w:val="center"/>
        <w:rPr>
          <w:rStyle w:val="8"/>
          <w:rFonts w:hint="eastAsia"/>
          <w:color w:val="auto"/>
          <w:sz w:val="44"/>
          <w:szCs w:val="44"/>
          <w:highlight w:val="none"/>
          <w:lang w:eastAsia="zh-CN"/>
        </w:rPr>
      </w:pPr>
    </w:p>
    <w:p w14:paraId="5FB3D229">
      <w:pPr>
        <w:pStyle w:val="2"/>
        <w:spacing w:after="0"/>
        <w:jc w:val="center"/>
        <w:rPr>
          <w:rFonts w:hint="eastAsia" w:ascii="宋体" w:hAnsi="宋体" w:cs="宋体"/>
          <w:b/>
          <w:bCs/>
          <w:sz w:val="32"/>
          <w:szCs w:val="32"/>
          <w:highlight w:val="none"/>
        </w:rPr>
      </w:pPr>
    </w:p>
    <w:p w14:paraId="05128468">
      <w:pPr>
        <w:pStyle w:val="2"/>
        <w:spacing w:after="0"/>
        <w:jc w:val="center"/>
        <w:rPr>
          <w:rFonts w:hint="eastAsia" w:ascii="宋体" w:hAnsi="宋体" w:cs="宋体"/>
          <w:b/>
          <w:bCs/>
          <w:sz w:val="32"/>
          <w:szCs w:val="32"/>
          <w:highlight w:val="none"/>
        </w:rPr>
      </w:pPr>
      <w:r>
        <w:rPr>
          <w:rFonts w:hint="eastAsia" w:ascii="宋体" w:hAnsi="宋体" w:cs="宋体"/>
          <w:b/>
          <w:bCs/>
          <w:sz w:val="32"/>
          <w:szCs w:val="32"/>
          <w:highlight w:val="none"/>
        </w:rPr>
        <w:t>【第</w:t>
      </w:r>
      <w:r>
        <w:rPr>
          <w:rFonts w:hint="eastAsia" w:ascii="宋体" w:hAnsi="宋体" w:cs="宋体"/>
          <w:b/>
          <w:bCs/>
          <w:sz w:val="32"/>
          <w:szCs w:val="32"/>
          <w:highlight w:val="none"/>
          <w:u w:val="single"/>
        </w:rPr>
        <w:t xml:space="preserve">    </w:t>
      </w:r>
      <w:r>
        <w:rPr>
          <w:rFonts w:hint="eastAsia" w:ascii="宋体" w:hAnsi="宋体" w:cs="宋体"/>
          <w:b/>
          <w:bCs/>
          <w:sz w:val="32"/>
          <w:szCs w:val="32"/>
          <w:highlight w:val="none"/>
          <w:u w:val="none"/>
          <w:lang w:eastAsia="zh-CN"/>
        </w:rPr>
        <w:t>包</w:t>
      </w:r>
      <w:r>
        <w:rPr>
          <w:rFonts w:hint="eastAsia" w:ascii="宋体" w:hAnsi="宋体" w:cs="宋体"/>
          <w:b/>
          <w:bCs/>
          <w:sz w:val="32"/>
          <w:szCs w:val="32"/>
          <w:highlight w:val="none"/>
        </w:rPr>
        <w:t>：</w:t>
      </w:r>
      <w:r>
        <w:rPr>
          <w:rFonts w:hint="eastAsia" w:ascii="宋体" w:hAnsi="宋体" w:cs="宋体"/>
          <w:b/>
          <w:bCs/>
          <w:sz w:val="32"/>
          <w:szCs w:val="32"/>
          <w:highlight w:val="none"/>
          <w:u w:val="single"/>
        </w:rPr>
        <w:t xml:space="preserve">   </w:t>
      </w:r>
      <w:r>
        <w:rPr>
          <w:rFonts w:hint="eastAsia" w:ascii="宋体" w:hAnsi="宋体" w:cs="宋体"/>
          <w:b/>
          <w:bCs/>
          <w:sz w:val="32"/>
          <w:szCs w:val="32"/>
          <w:highlight w:val="none"/>
          <w:u w:val="single"/>
          <w:lang w:val="en-US" w:eastAsia="zh-CN"/>
        </w:rPr>
        <w:t xml:space="preserve"> </w:t>
      </w:r>
      <w:r>
        <w:rPr>
          <w:rFonts w:hint="eastAsia" w:ascii="宋体" w:hAnsi="宋体" w:cs="宋体"/>
          <w:b/>
          <w:bCs/>
          <w:sz w:val="32"/>
          <w:szCs w:val="32"/>
          <w:highlight w:val="none"/>
          <w:u w:val="single"/>
        </w:rPr>
        <w:t xml:space="preserve">        </w:t>
      </w:r>
      <w:r>
        <w:rPr>
          <w:rFonts w:hint="eastAsia" w:ascii="宋体" w:hAnsi="宋体" w:cs="宋体"/>
          <w:b/>
          <w:bCs/>
          <w:sz w:val="32"/>
          <w:szCs w:val="32"/>
          <w:highlight w:val="none"/>
        </w:rPr>
        <w:t>】</w:t>
      </w:r>
    </w:p>
    <w:p w14:paraId="6128D2F8">
      <w:pPr>
        <w:rPr>
          <w:rFonts w:hint="eastAsia"/>
          <w:highlight w:val="none"/>
        </w:rPr>
      </w:pPr>
    </w:p>
    <w:p w14:paraId="58B40E24">
      <w:pPr>
        <w:spacing w:line="360" w:lineRule="auto"/>
        <w:jc w:val="center"/>
        <w:rPr>
          <w:rFonts w:hint="eastAsia" w:ascii="宋体" w:hAnsi="宋体" w:cs="宋体"/>
          <w:b/>
          <w:bCs/>
          <w:sz w:val="48"/>
          <w:szCs w:val="48"/>
          <w:highlight w:val="none"/>
        </w:rPr>
      </w:pPr>
    </w:p>
    <w:p w14:paraId="1D97EF66">
      <w:pPr>
        <w:spacing w:line="360" w:lineRule="auto"/>
        <w:jc w:val="center"/>
        <w:rPr>
          <w:rFonts w:hint="eastAsia" w:ascii="宋体" w:hAnsi="宋体" w:cs="宋体"/>
          <w:b/>
          <w:bCs/>
          <w:sz w:val="84"/>
          <w:szCs w:val="84"/>
          <w:highlight w:val="none"/>
        </w:rPr>
      </w:pPr>
      <w:r>
        <w:rPr>
          <w:rFonts w:hint="eastAsia" w:ascii="宋体" w:hAnsi="宋体" w:cs="宋体"/>
          <w:b/>
          <w:bCs/>
          <w:sz w:val="48"/>
          <w:szCs w:val="48"/>
          <w:highlight w:val="none"/>
        </w:rPr>
        <w:t>供货合同</w:t>
      </w:r>
    </w:p>
    <w:p w14:paraId="43F4A482">
      <w:pPr>
        <w:spacing w:line="360" w:lineRule="auto"/>
        <w:ind w:firstLine="2570" w:firstLineChars="800"/>
        <w:rPr>
          <w:rFonts w:hint="eastAsia" w:ascii="宋体" w:hAnsi="宋体" w:cs="宋体"/>
          <w:b/>
          <w:bCs/>
          <w:sz w:val="32"/>
          <w:szCs w:val="32"/>
          <w:highlight w:val="none"/>
        </w:rPr>
      </w:pPr>
    </w:p>
    <w:p w14:paraId="167A03E6">
      <w:pPr>
        <w:spacing w:line="360" w:lineRule="auto"/>
        <w:ind w:left="0" w:leftChars="0" w:firstLine="2997" w:firstLineChars="725"/>
        <w:jc w:val="center"/>
        <w:rPr>
          <w:rFonts w:hint="eastAsia" w:ascii="宋体" w:hAnsi="宋体" w:cs="宋体"/>
          <w:b/>
          <w:bCs/>
          <w:spacing w:val="26"/>
          <w:sz w:val="36"/>
          <w:szCs w:val="36"/>
          <w:highlight w:val="none"/>
        </w:rPr>
      </w:pPr>
    </w:p>
    <w:p w14:paraId="1F79B41A">
      <w:pPr>
        <w:spacing w:line="360" w:lineRule="auto"/>
        <w:ind w:left="0" w:leftChars="0" w:firstLine="2329" w:firstLineChars="725"/>
        <w:rPr>
          <w:rFonts w:hint="eastAsia" w:ascii="宋体" w:hAnsi="宋体" w:cs="宋体"/>
          <w:b/>
          <w:sz w:val="32"/>
          <w:szCs w:val="32"/>
          <w:highlight w:val="none"/>
        </w:rPr>
      </w:pPr>
    </w:p>
    <w:p w14:paraId="4437154A">
      <w:pPr>
        <w:spacing w:line="360" w:lineRule="auto"/>
        <w:ind w:left="0" w:leftChars="0" w:firstLine="2329" w:firstLineChars="725"/>
        <w:rPr>
          <w:rFonts w:hint="eastAsia" w:ascii="宋体" w:hAnsi="宋体" w:cs="宋体"/>
          <w:b/>
          <w:sz w:val="32"/>
          <w:szCs w:val="32"/>
          <w:highlight w:val="none"/>
        </w:rPr>
      </w:pPr>
    </w:p>
    <w:p w14:paraId="5CB53410">
      <w:pPr>
        <w:pStyle w:val="2"/>
        <w:ind w:left="0" w:leftChars="0" w:firstLine="1377" w:firstLineChars="725"/>
        <w:rPr>
          <w:rFonts w:hint="eastAsia"/>
          <w:highlight w:val="none"/>
        </w:rPr>
      </w:pPr>
    </w:p>
    <w:p w14:paraId="2A5042D7">
      <w:pPr>
        <w:spacing w:line="360" w:lineRule="auto"/>
        <w:ind w:left="0" w:leftChars="0" w:firstLine="2183" w:firstLineChars="725"/>
        <w:rPr>
          <w:rFonts w:ascii="宋体" w:hAnsi="宋体" w:cs="宋体"/>
          <w:b/>
          <w:bCs/>
          <w:strike/>
          <w:sz w:val="30"/>
          <w:szCs w:val="30"/>
          <w:highlight w:val="none"/>
          <w:u w:val="single"/>
        </w:rPr>
      </w:pPr>
      <w:r>
        <w:rPr>
          <w:rFonts w:hint="eastAsia" w:ascii="宋体" w:hAnsi="宋体" w:cs="宋体"/>
          <w:b/>
          <w:bCs/>
          <w:sz w:val="30"/>
          <w:szCs w:val="30"/>
          <w:highlight w:val="none"/>
        </w:rPr>
        <w:t>甲方：</w:t>
      </w:r>
      <w:r>
        <w:rPr>
          <w:rFonts w:hint="eastAsia" w:ascii="宋体" w:hAnsi="宋体" w:cs="宋体"/>
          <w:b/>
          <w:bCs/>
          <w:sz w:val="30"/>
          <w:szCs w:val="30"/>
          <w:highlight w:val="none"/>
          <w:u w:val="single"/>
        </w:rPr>
        <w:t xml:space="preserve">           </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u w:val="single"/>
        </w:rPr>
        <w:t xml:space="preserve">  </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u w:val="single"/>
        </w:rPr>
        <w:t xml:space="preserve">   </w:t>
      </w:r>
    </w:p>
    <w:p w14:paraId="7CDD3114">
      <w:pPr>
        <w:spacing w:line="360" w:lineRule="auto"/>
        <w:ind w:left="0" w:leftChars="0" w:firstLine="2183" w:firstLineChars="725"/>
        <w:rPr>
          <w:rFonts w:hint="eastAsia" w:ascii="宋体" w:hAnsi="宋体" w:cs="宋体"/>
          <w:b/>
          <w:bCs/>
          <w:sz w:val="30"/>
          <w:szCs w:val="30"/>
          <w:highlight w:val="none"/>
          <w:u w:val="single"/>
        </w:rPr>
      </w:pPr>
      <w:r>
        <w:rPr>
          <w:rFonts w:hint="eastAsia" w:ascii="宋体" w:hAnsi="宋体" w:cs="宋体"/>
          <w:b/>
          <w:bCs/>
          <w:sz w:val="30"/>
          <w:szCs w:val="30"/>
          <w:highlight w:val="none"/>
        </w:rPr>
        <w:t>乙方：</w:t>
      </w:r>
      <w:r>
        <w:rPr>
          <w:rFonts w:hint="eastAsia" w:ascii="宋体" w:hAnsi="宋体" w:cs="宋体"/>
          <w:b/>
          <w:bCs/>
          <w:sz w:val="30"/>
          <w:szCs w:val="30"/>
          <w:highlight w:val="none"/>
          <w:u w:val="single"/>
        </w:rPr>
        <w:t xml:space="preserve">           </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u w:val="single"/>
        </w:rPr>
        <w:t xml:space="preserve"> </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u w:val="single"/>
        </w:rPr>
        <w:t xml:space="preserve">    </w:t>
      </w:r>
    </w:p>
    <w:p w14:paraId="6647FDA9">
      <w:pPr>
        <w:spacing w:line="360" w:lineRule="auto"/>
        <w:ind w:left="0" w:leftChars="0" w:firstLine="2105" w:firstLineChars="596"/>
        <w:jc w:val="both"/>
        <w:rPr>
          <w:rFonts w:hint="eastAsia" w:ascii="宋体" w:hAnsi="宋体" w:cs="宋体"/>
          <w:b/>
          <w:bCs/>
          <w:spacing w:val="26"/>
          <w:sz w:val="30"/>
          <w:szCs w:val="30"/>
          <w:highlight w:val="none"/>
        </w:rPr>
      </w:pPr>
      <w:r>
        <w:rPr>
          <w:rFonts w:hint="eastAsia" w:ascii="宋体" w:hAnsi="宋体" w:cs="宋体"/>
          <w:b/>
          <w:bCs/>
          <w:spacing w:val="26"/>
          <w:sz w:val="30"/>
          <w:szCs w:val="30"/>
          <w:highlight w:val="none"/>
        </w:rPr>
        <w:t>二〇二</w:t>
      </w:r>
      <w:r>
        <w:rPr>
          <w:rFonts w:hint="eastAsia" w:ascii="宋体" w:hAnsi="宋体" w:cs="宋体"/>
          <w:b/>
          <w:bCs/>
          <w:spacing w:val="26"/>
          <w:sz w:val="30"/>
          <w:szCs w:val="30"/>
          <w:highlight w:val="none"/>
          <w:lang w:eastAsia="zh-CN"/>
        </w:rPr>
        <w:t>六</w:t>
      </w:r>
      <w:r>
        <w:rPr>
          <w:rFonts w:hint="eastAsia" w:ascii="宋体" w:hAnsi="宋体" w:cs="宋体"/>
          <w:b/>
          <w:bCs/>
          <w:spacing w:val="26"/>
          <w:sz w:val="30"/>
          <w:szCs w:val="30"/>
          <w:highlight w:val="none"/>
        </w:rPr>
        <w:t>年</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u w:val="single"/>
          <w:lang w:val="en-US" w:eastAsia="zh-CN"/>
        </w:rPr>
        <w:t xml:space="preserve">   </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月</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u w:val="single"/>
          <w:lang w:val="en-US" w:eastAsia="zh-CN"/>
        </w:rPr>
        <w:t xml:space="preserve">   </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日</w:t>
      </w:r>
    </w:p>
    <w:p w14:paraId="3B360C5C">
      <w:pPr>
        <w:ind w:firstLine="361" w:firstLineChars="150"/>
        <w:jc w:val="center"/>
        <w:rPr>
          <w:rFonts w:hint="eastAsia" w:ascii="宋体"/>
          <w:b/>
          <w:sz w:val="24"/>
          <w:highlight w:val="none"/>
        </w:rPr>
      </w:pPr>
    </w:p>
    <w:p w14:paraId="15771458">
      <w:pPr>
        <w:widowControl/>
        <w:adjustRightInd w:val="0"/>
        <w:snapToGrid w:val="0"/>
        <w:spacing w:line="360" w:lineRule="auto"/>
        <w:rPr>
          <w:rFonts w:hint="eastAsia" w:ascii="宋体" w:hAnsi="宋体" w:cs="宋体"/>
          <w:b/>
          <w:bCs/>
          <w:sz w:val="24"/>
          <w:szCs w:val="24"/>
          <w:highlight w:val="none"/>
        </w:rPr>
      </w:pPr>
    </w:p>
    <w:p w14:paraId="49087ACB">
      <w:pPr>
        <w:widowControl/>
        <w:adjustRightInd w:val="0"/>
        <w:snapToGrid w:val="0"/>
        <w:spacing w:line="360" w:lineRule="auto"/>
        <w:rPr>
          <w:rFonts w:hint="eastAsia" w:ascii="宋体" w:hAnsi="宋体" w:cs="宋体"/>
          <w:b/>
          <w:bCs/>
          <w:sz w:val="24"/>
          <w:szCs w:val="24"/>
          <w:highlight w:val="none"/>
        </w:rPr>
      </w:pPr>
    </w:p>
    <w:p w14:paraId="38BF7C1D">
      <w:pPr>
        <w:keepNext w:val="0"/>
        <w:keepLines w:val="0"/>
        <w:pageBreakBefore w:val="0"/>
        <w:widowControl w:val="0"/>
        <w:kinsoku/>
        <w:wordWrap w:val="0"/>
        <w:overflowPunct/>
        <w:topLinePunct w:val="0"/>
        <w:autoSpaceDE/>
        <w:autoSpaceDN/>
        <w:bidi w:val="0"/>
        <w:adjustRightInd w:val="0"/>
        <w:snapToGrid w:val="0"/>
        <w:spacing w:line="360" w:lineRule="auto"/>
        <w:ind w:firstLine="440" w:firstLineChars="200"/>
        <w:jc w:val="left"/>
        <w:textAlignment w:val="auto"/>
        <w:rPr>
          <w:rFonts w:hint="eastAsia" w:ascii="宋体" w:hAnsi="宋体" w:eastAsia="宋体" w:cs="宋体"/>
          <w:color w:val="000000"/>
          <w:sz w:val="24"/>
          <w:szCs w:val="24"/>
          <w:highlight w:val="none"/>
        </w:rPr>
      </w:pPr>
      <w:r>
        <w:rPr>
          <w:highlight w:val="none"/>
        </w:rPr>
        <w:br w:type="page"/>
      </w:r>
      <w:r>
        <w:rPr>
          <w:rFonts w:hint="eastAsia" w:ascii="宋体" w:hAnsi="宋体" w:eastAsia="宋体" w:cs="宋体"/>
          <w:color w:val="000000"/>
          <w:sz w:val="24"/>
          <w:szCs w:val="24"/>
          <w:highlight w:val="none"/>
        </w:rPr>
        <w:t>根据《中华人民共和国民法典》等有关法律法规规定，</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(以下简称：“甲方”)，确定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(以下简称：“乙方”)为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的成交供应商。甲乙双方同意签署</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项目合同(以下简称：“合同”)。</w:t>
      </w:r>
    </w:p>
    <w:p w14:paraId="23DE754E">
      <w:pPr>
        <w:keepNext w:val="0"/>
        <w:keepLines w:val="0"/>
        <w:pageBreakBefore w:val="0"/>
        <w:widowControl w:val="0"/>
        <w:kinsoku/>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一、合同标的及数量</w:t>
      </w:r>
    </w:p>
    <w:tbl>
      <w:tblPr>
        <w:tblStyle w:val="6"/>
        <w:tblW w:w="8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183"/>
        <w:gridCol w:w="1122"/>
        <w:gridCol w:w="1096"/>
        <w:gridCol w:w="1279"/>
        <w:gridCol w:w="1073"/>
        <w:gridCol w:w="1006"/>
        <w:gridCol w:w="1161"/>
      </w:tblGrid>
      <w:tr w14:paraId="49AD3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656" w:type="dxa"/>
            <w:tcBorders>
              <w:top w:val="single" w:color="auto" w:sz="4" w:space="0"/>
              <w:left w:val="single" w:color="auto" w:sz="4" w:space="0"/>
              <w:bottom w:val="single" w:color="auto" w:sz="4" w:space="0"/>
              <w:right w:val="single" w:color="auto" w:sz="4" w:space="0"/>
            </w:tcBorders>
            <w:noWrap w:val="0"/>
            <w:vAlign w:val="center"/>
          </w:tcPr>
          <w:p w14:paraId="41A2835D">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01FE3C3">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货物</w:t>
            </w:r>
          </w:p>
          <w:p w14:paraId="1B481BAB">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名称</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52D8AA40">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品牌</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5A771B0C">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规格</w:t>
            </w:r>
          </w:p>
        </w:tc>
        <w:tc>
          <w:tcPr>
            <w:tcW w:w="1279" w:type="dxa"/>
            <w:tcBorders>
              <w:top w:val="single" w:color="auto" w:sz="4" w:space="0"/>
              <w:left w:val="single" w:color="auto" w:sz="4" w:space="0"/>
              <w:bottom w:val="single" w:color="auto" w:sz="4" w:space="0"/>
              <w:right w:val="single" w:color="auto" w:sz="4" w:space="0"/>
            </w:tcBorders>
            <w:noWrap w:val="0"/>
            <w:vAlign w:val="center"/>
          </w:tcPr>
          <w:p w14:paraId="25CF588F">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单价</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5ADCCF6A">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制造商</w:t>
            </w:r>
          </w:p>
          <w:p w14:paraId="600DBB65">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及产地</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354BC95B">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数量</w:t>
            </w:r>
          </w:p>
        </w:tc>
        <w:tc>
          <w:tcPr>
            <w:tcW w:w="1161" w:type="dxa"/>
            <w:tcBorders>
              <w:top w:val="single" w:color="auto" w:sz="4" w:space="0"/>
              <w:left w:val="single" w:color="auto" w:sz="4" w:space="0"/>
              <w:bottom w:val="single" w:color="auto" w:sz="4" w:space="0"/>
              <w:right w:val="single" w:color="auto" w:sz="4" w:space="0"/>
            </w:tcBorders>
            <w:noWrap w:val="0"/>
            <w:vAlign w:val="center"/>
          </w:tcPr>
          <w:p w14:paraId="70E70C2B">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备注</w:t>
            </w:r>
          </w:p>
        </w:tc>
      </w:tr>
      <w:tr w14:paraId="20C5C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56" w:type="dxa"/>
            <w:tcBorders>
              <w:top w:val="single" w:color="auto" w:sz="4" w:space="0"/>
              <w:left w:val="single" w:color="auto" w:sz="4" w:space="0"/>
              <w:bottom w:val="single" w:color="auto" w:sz="4" w:space="0"/>
              <w:right w:val="single" w:color="auto" w:sz="4" w:space="0"/>
            </w:tcBorders>
            <w:noWrap w:val="0"/>
            <w:vAlign w:val="center"/>
          </w:tcPr>
          <w:p w14:paraId="7B3C9BF9">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76E66C70">
            <w:pPr>
              <w:keepNext w:val="0"/>
              <w:keepLines w:val="0"/>
              <w:pageBreakBefore w:val="0"/>
              <w:widowControl w:val="0"/>
              <w:kinsoku/>
              <w:overflowPunct/>
              <w:topLinePunct w:val="0"/>
              <w:autoSpaceDE/>
              <w:autoSpaceDN/>
              <w:bidi w:val="0"/>
              <w:adjustRightInd w:val="0"/>
              <w:snapToGrid w:val="0"/>
              <w:spacing w:line="360" w:lineRule="auto"/>
              <w:textAlignment w:val="auto"/>
              <w:rPr>
                <w:rFonts w:hint="eastAsia" w:ascii="宋体" w:hAnsi="宋体" w:eastAsia="宋体" w:cs="宋体"/>
                <w:color w:val="000000"/>
                <w:sz w:val="24"/>
                <w:szCs w:val="24"/>
                <w:highlight w:val="none"/>
              </w:rPr>
            </w:pPr>
          </w:p>
        </w:tc>
        <w:tc>
          <w:tcPr>
            <w:tcW w:w="1122" w:type="dxa"/>
            <w:tcBorders>
              <w:top w:val="single" w:color="auto" w:sz="4" w:space="0"/>
              <w:left w:val="single" w:color="auto" w:sz="4" w:space="0"/>
              <w:bottom w:val="single" w:color="auto" w:sz="4" w:space="0"/>
              <w:right w:val="single" w:color="auto" w:sz="4" w:space="0"/>
            </w:tcBorders>
            <w:noWrap w:val="0"/>
            <w:vAlign w:val="center"/>
          </w:tcPr>
          <w:p w14:paraId="24B955EB">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p>
        </w:tc>
        <w:tc>
          <w:tcPr>
            <w:tcW w:w="1096" w:type="dxa"/>
            <w:tcBorders>
              <w:top w:val="single" w:color="auto" w:sz="4" w:space="0"/>
              <w:left w:val="single" w:color="auto" w:sz="4" w:space="0"/>
              <w:bottom w:val="single" w:color="auto" w:sz="4" w:space="0"/>
              <w:right w:val="single" w:color="auto" w:sz="4" w:space="0"/>
            </w:tcBorders>
            <w:noWrap w:val="0"/>
            <w:vAlign w:val="center"/>
          </w:tcPr>
          <w:p w14:paraId="0992A4D9">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p>
        </w:tc>
        <w:tc>
          <w:tcPr>
            <w:tcW w:w="1279" w:type="dxa"/>
            <w:tcBorders>
              <w:top w:val="single" w:color="auto" w:sz="4" w:space="0"/>
              <w:left w:val="single" w:color="auto" w:sz="4" w:space="0"/>
              <w:bottom w:val="single" w:color="auto" w:sz="4" w:space="0"/>
              <w:right w:val="single" w:color="auto" w:sz="4" w:space="0"/>
            </w:tcBorders>
            <w:noWrap w:val="0"/>
            <w:vAlign w:val="center"/>
          </w:tcPr>
          <w:p w14:paraId="3692B73A">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4ECA8AD2">
            <w:pPr>
              <w:keepNext w:val="0"/>
              <w:keepLines w:val="0"/>
              <w:pageBreakBefore w:val="0"/>
              <w:widowControl w:val="0"/>
              <w:kinsoku/>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sz w:val="24"/>
                <w:szCs w:val="24"/>
                <w:highlight w:val="none"/>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14:paraId="0D324602">
            <w:pPr>
              <w:keepNext w:val="0"/>
              <w:keepLines w:val="0"/>
              <w:pageBreakBefore w:val="0"/>
              <w:widowControl w:val="0"/>
              <w:kinsoku/>
              <w:overflowPunct/>
              <w:topLinePunct w:val="0"/>
              <w:autoSpaceDE/>
              <w:autoSpaceDN/>
              <w:bidi w:val="0"/>
              <w:adjustRightInd w:val="0"/>
              <w:snapToGrid w:val="0"/>
              <w:spacing w:line="360" w:lineRule="auto"/>
              <w:textAlignment w:val="auto"/>
              <w:rPr>
                <w:rFonts w:hint="eastAsia" w:ascii="宋体" w:hAnsi="宋体" w:eastAsia="宋体" w:cs="宋体"/>
                <w:color w:val="000000"/>
                <w:sz w:val="24"/>
                <w:szCs w:val="24"/>
                <w:highlight w:val="none"/>
              </w:rPr>
            </w:pPr>
          </w:p>
        </w:tc>
        <w:tc>
          <w:tcPr>
            <w:tcW w:w="1161" w:type="dxa"/>
            <w:tcBorders>
              <w:top w:val="single" w:color="auto" w:sz="4" w:space="0"/>
              <w:left w:val="single" w:color="auto" w:sz="4" w:space="0"/>
              <w:bottom w:val="single" w:color="auto" w:sz="4" w:space="0"/>
              <w:right w:val="single" w:color="auto" w:sz="4" w:space="0"/>
            </w:tcBorders>
            <w:noWrap w:val="0"/>
            <w:vAlign w:val="center"/>
          </w:tcPr>
          <w:p w14:paraId="493ECB7B">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p>
        </w:tc>
      </w:tr>
      <w:tr w14:paraId="3F84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4057" w:type="dxa"/>
            <w:gridSpan w:val="4"/>
            <w:tcBorders>
              <w:top w:val="single" w:color="auto" w:sz="4" w:space="0"/>
              <w:left w:val="single" w:color="auto" w:sz="4" w:space="0"/>
              <w:bottom w:val="single" w:color="auto" w:sz="4" w:space="0"/>
              <w:right w:val="single" w:color="auto" w:sz="4" w:space="0"/>
            </w:tcBorders>
            <w:noWrap w:val="0"/>
            <w:vAlign w:val="center"/>
          </w:tcPr>
          <w:p w14:paraId="5622B8CC">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w:t>
            </w:r>
          </w:p>
        </w:tc>
        <w:tc>
          <w:tcPr>
            <w:tcW w:w="4519" w:type="dxa"/>
            <w:gridSpan w:val="4"/>
            <w:tcBorders>
              <w:top w:val="single" w:color="auto" w:sz="4" w:space="0"/>
              <w:left w:val="single" w:color="auto" w:sz="4" w:space="0"/>
              <w:bottom w:val="single" w:color="auto" w:sz="4" w:space="0"/>
              <w:right w:val="single" w:color="auto" w:sz="4" w:space="0"/>
            </w:tcBorders>
            <w:noWrap w:val="0"/>
            <w:vAlign w:val="center"/>
          </w:tcPr>
          <w:p w14:paraId="6A776C71">
            <w:pPr>
              <w:keepNext w:val="0"/>
              <w:keepLines w:val="0"/>
              <w:pageBreakBefore w:val="0"/>
              <w:widowControl w:val="0"/>
              <w:kinsoku/>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4"/>
                <w:szCs w:val="24"/>
                <w:highlight w:val="none"/>
              </w:rPr>
            </w:pPr>
          </w:p>
        </w:tc>
      </w:tr>
    </w:tbl>
    <w:p w14:paraId="5FF0F723">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合同总金额及付款方式</w:t>
      </w:r>
    </w:p>
    <w:p w14:paraId="0D203B60">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1.合同总金额为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人民币(￥</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元)。包括但不限于</w:t>
      </w:r>
      <w:r>
        <w:rPr>
          <w:rFonts w:hint="eastAsia" w:ascii="宋体" w:hAnsi="宋体" w:eastAsia="宋体" w:cs="宋体"/>
          <w:sz w:val="24"/>
          <w:szCs w:val="24"/>
          <w:highlight w:val="none"/>
          <w:lang w:eastAsia="zh-CN"/>
        </w:rPr>
        <w:t>产品</w:t>
      </w:r>
      <w:r>
        <w:rPr>
          <w:rFonts w:hint="eastAsia" w:ascii="宋体" w:hAnsi="宋体" w:cs="宋体"/>
          <w:sz w:val="24"/>
          <w:szCs w:val="24"/>
          <w:highlight w:val="none"/>
        </w:rPr>
        <w:t>费、人工费、配送费、运输装卸、利润、专用工具使用费等</w:t>
      </w:r>
      <w:r>
        <w:rPr>
          <w:rFonts w:hint="eastAsia" w:ascii="宋体" w:hAnsi="宋体" w:eastAsia="宋体" w:cs="宋体"/>
          <w:color w:val="000000"/>
          <w:sz w:val="24"/>
          <w:szCs w:val="24"/>
          <w:highlight w:val="none"/>
        </w:rPr>
        <w:t>和合同中规定乙方应承担的其他义务的费用均已由乙方计入本合同总金额中。货物单价一次包死，不受市场价变化的影响，不受实际数量变化的影响。</w:t>
      </w:r>
    </w:p>
    <w:p w14:paraId="3ED8F98E">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2.付款方式：合同生效后，具体结算时以实际采购货物数量为准，结合成交单价一次性向</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rPr>
        <w:t>据实结算，付款前，</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rPr>
        <w:t>应提供满足</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要求的发票，达到付款条件起</w:t>
      </w:r>
      <w:r>
        <w:rPr>
          <w:rFonts w:hint="eastAsia" w:ascii="宋体" w:hAnsi="宋体" w:eastAsia="宋体" w:cs="宋体"/>
          <w:color w:val="000000"/>
          <w:sz w:val="24"/>
          <w:szCs w:val="24"/>
          <w:highlight w:val="none"/>
          <w:lang w:val="en-US" w:eastAsia="zh-CN"/>
        </w:rPr>
        <w:t>40</w:t>
      </w:r>
      <w:r>
        <w:rPr>
          <w:rFonts w:hint="eastAsia" w:ascii="宋体" w:hAnsi="宋体" w:eastAsia="宋体" w:cs="宋体"/>
          <w:color w:val="000000"/>
          <w:sz w:val="24"/>
          <w:szCs w:val="24"/>
          <w:highlight w:val="none"/>
          <w:lang w:eastAsia="zh-CN"/>
        </w:rPr>
        <w:t>个工作日</w:t>
      </w:r>
      <w:r>
        <w:rPr>
          <w:rFonts w:hint="eastAsia" w:ascii="宋体" w:hAnsi="宋体" w:eastAsia="宋体" w:cs="宋体"/>
          <w:color w:val="000000"/>
          <w:sz w:val="24"/>
          <w:szCs w:val="24"/>
          <w:highlight w:val="none"/>
        </w:rPr>
        <w:t>，支付合同总金额的 100.00%。</w:t>
      </w:r>
    </w:p>
    <w:p w14:paraId="07156E63">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3.乙方指定以下账户为唯一收款账户（与发票账户信息一致）：</w:t>
      </w:r>
    </w:p>
    <w:p w14:paraId="1B35008E">
      <w:pPr>
        <w:keepNext w:val="0"/>
        <w:keepLines w:val="0"/>
        <w:pageBreakBefore w:val="0"/>
        <w:widowControl w:val="0"/>
        <w:kinsoku/>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账户名称：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11ED90D5">
      <w:pPr>
        <w:keepNext w:val="0"/>
        <w:keepLines w:val="0"/>
        <w:pageBreakBefore w:val="0"/>
        <w:widowControl w:val="0"/>
        <w:kinsoku/>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w:t>
      </w:r>
    </w:p>
    <w:p w14:paraId="6E086CBB">
      <w:pPr>
        <w:keepNext w:val="0"/>
        <w:keepLines w:val="0"/>
        <w:pageBreakBefore w:val="0"/>
        <w:widowControl w:val="0"/>
        <w:kinsoku/>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银行账号：</w:t>
      </w:r>
      <w:r>
        <w:rPr>
          <w:rFonts w:hint="eastAsia" w:ascii="宋体" w:hAnsi="宋体" w:eastAsia="宋体" w:cs="宋体"/>
          <w:color w:val="000000"/>
          <w:sz w:val="24"/>
          <w:szCs w:val="24"/>
          <w:highlight w:val="none"/>
          <w:u w:val="single"/>
        </w:rPr>
        <w:t xml:space="preserve">               </w:t>
      </w:r>
    </w:p>
    <w:p w14:paraId="2154FD8D">
      <w:pPr>
        <w:keepNext w:val="0"/>
        <w:keepLines w:val="0"/>
        <w:pageBreakBefore w:val="0"/>
        <w:widowControl w:val="0"/>
        <w:kinsoku/>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二、质量要求</w:t>
      </w:r>
    </w:p>
    <w:p w14:paraId="0D4189AC">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1.质量保证期需遵循国家或行业标准规定计算。乙方应保证所供货物是全新的、未使用过的，并完全符合或高于合同要求的质量、规格和技术性能的要求。</w:t>
      </w:r>
    </w:p>
    <w:p w14:paraId="0EE15C6C">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2.在货物最终交付验收后不少于合同规定或乙方承诺的质量保证期内，本保证保持有效。</w:t>
      </w:r>
    </w:p>
    <w:p w14:paraId="10B93D6F">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2F3E2D4E">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4.在质量保证期内所发现的缺陷，甲方应尽快以书面形式通知乙方。</w:t>
      </w:r>
    </w:p>
    <w:p w14:paraId="0384D9E1">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5.售后服务响应时间（质保期内）不得超出24小时，乙方制定解决方案，1个工作日内派人带现场处理。其他售后要求：包装如有破损需发放现场及时更换。</w:t>
      </w:r>
    </w:p>
    <w:p w14:paraId="11368B7B">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6.在质量保证期内，如果货物的质量或规格与合同不符，或证实货物是有缺陷的，包括潜在的缺陷或使用不符合要求的材料等，甲方可以根据本合同规定以书面形式向乙方提出补救措施或索赔。</w:t>
      </w:r>
    </w:p>
    <w:p w14:paraId="5BB5EC10">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7.乙方在约定的时间内未能弥补缺陷，甲方可采取必要的补救措施，但其风险和费用将由乙方承担，甲方根据合同规定对乙方行使的其他权利不受影响。</w:t>
      </w:r>
    </w:p>
    <w:p w14:paraId="4183709C">
      <w:pPr>
        <w:keepNext w:val="0"/>
        <w:keepLines w:val="0"/>
        <w:pageBreakBefore w:val="0"/>
        <w:widowControl w:val="0"/>
        <w:kinsoku/>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三、交货</w:t>
      </w:r>
    </w:p>
    <w:p w14:paraId="5975758E">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1.交货时间：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日前将所供商品运到</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指定的发放点，</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r>
        <w:rPr>
          <w:rFonts w:hint="eastAsia" w:ascii="宋体" w:hAnsi="宋体" w:eastAsia="宋体" w:cs="宋体"/>
          <w:color w:val="000000"/>
          <w:sz w:val="24"/>
          <w:szCs w:val="24"/>
          <w:highlight w:val="none"/>
          <w:lang w:eastAsia="zh-CN"/>
        </w:rPr>
        <w:t>至</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日（每天早8时至晚6时，中午不休）2天为货物发放时间。</w:t>
      </w:r>
    </w:p>
    <w:p w14:paraId="3C1FD74D">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2．交货地点：甲方指定地点。</w:t>
      </w:r>
    </w:p>
    <w:p w14:paraId="0EAE467E">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3.甲方收货联系人：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41A1C373">
      <w:pPr>
        <w:keepNext w:val="0"/>
        <w:keepLines w:val="0"/>
        <w:pageBreakBefore w:val="0"/>
        <w:widowControl w:val="0"/>
        <w:kinsoku/>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乙方送货联系人：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2E6208F7">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4.交货时，如发现破损、变质、潮湿等质量问题由乙方负责包退包换，由此产生的一切食品安全责任由乙方负责。</w:t>
      </w:r>
    </w:p>
    <w:p w14:paraId="3E81852E">
      <w:pPr>
        <w:keepNext w:val="0"/>
        <w:keepLines w:val="0"/>
        <w:pageBreakBefore w:val="0"/>
        <w:widowControl w:val="0"/>
        <w:kinsoku/>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四、验收标准</w:t>
      </w:r>
    </w:p>
    <w:p w14:paraId="35F61F3F">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1．甲方按国家相关质量标准以及招投标时乙方向甲方提供的样品标准验收，货物质量品质、重量应等于或高于样品的质量品质、重量标准。</w:t>
      </w:r>
    </w:p>
    <w:p w14:paraId="56D4B65C">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甲方验收合格的结果仅视为货物在外观、数量、型号、规格上符合约定的证明，检验合格文件的签署不使甲方丧失因质量问题而向乙方索赔和求偿的权利，同时不免除乙方对于货物质量缺陷或瑕疵负有的相应责任。</w:t>
      </w:r>
    </w:p>
    <w:p w14:paraId="089BE496">
      <w:pPr>
        <w:keepNext w:val="0"/>
        <w:keepLines w:val="0"/>
        <w:pageBreakBefore w:val="0"/>
        <w:widowControl w:val="0"/>
        <w:kinsoku/>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五、误期赔偿费约定</w:t>
      </w:r>
    </w:p>
    <w:p w14:paraId="2BE164D5">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如果乙方没有按照合同规定的时间交货和提供服务，甲方有权从货款中扣除误期赔偿费而不影响合同项下的其他补救方法。赔偿费按每日加收合同金额的0.5%计收，直至交货或提供服务为止。但误期赔偿费的最高限额不超过合同价的15%。</w:t>
      </w:r>
    </w:p>
    <w:p w14:paraId="2A7CC3F9">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质保期内，乙方所提交的货物出现质量问题的，乙方承诺在收到甲方通知后7天进行响应，乙方无条件为甲方退换；如乙方出现逾期响应或怠于退换的，视为违约，每次须承担合同金额15%的违约金，违约金不足以弥补甲方损失的，乙方须承担全部赔偿责任。全部赔偿责任的范围包括但不限于直接损失、赔偿金、违约金、诉讼费用、仲裁费、鉴定费、保全费、保全担保费、律师费等 。</w:t>
      </w:r>
    </w:p>
    <w:p w14:paraId="3A79AC76">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3.乙方所供货物造成他人损害的，乙方应承担全部责任。</w:t>
      </w:r>
    </w:p>
    <w:p w14:paraId="7165B2EE">
      <w:pPr>
        <w:keepNext w:val="0"/>
        <w:keepLines w:val="0"/>
        <w:pageBreakBefore w:val="0"/>
        <w:widowControl w:val="0"/>
        <w:kinsoku/>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六、不可抗力</w:t>
      </w:r>
    </w:p>
    <w:p w14:paraId="05D16CDF">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由于不能预见、不能避免和不能克服的客观的自然原因或社会原因，致使本合同不能履行或者不能完全履行时，遇到上述不可抗力事件的一方，在不可抗力事件发生后，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9C4B4EA">
      <w:pPr>
        <w:keepNext w:val="0"/>
        <w:keepLines w:val="0"/>
        <w:pageBreakBefore w:val="0"/>
        <w:widowControl w:val="0"/>
        <w:kinsoku/>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七、其他</w:t>
      </w:r>
    </w:p>
    <w:p w14:paraId="4DB0556B">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1.合同履行期限：自合同生效之日起至合同全部权利义务履行完毕之日止。</w:t>
      </w:r>
    </w:p>
    <w:p w14:paraId="18D122F6">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2.合同纠纷的解决方式：</w:t>
      </w:r>
    </w:p>
    <w:p w14:paraId="23FFD6E5">
      <w:pPr>
        <w:keepNext w:val="0"/>
        <w:keepLines w:val="0"/>
        <w:pageBreakBefore w:val="0"/>
        <w:widowControl w:val="0"/>
        <w:kinsoku/>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首先通过双方协商解决，协商解决不成，向甲方所在地人民法院提起诉讼。</w:t>
      </w:r>
    </w:p>
    <w:p w14:paraId="2906955F">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3.合同生效</w:t>
      </w:r>
    </w:p>
    <w:p w14:paraId="0092DCAB">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本合同一式叁份，甲方执贰份、乙方执壹份。在甲、乙双方签字并盖章后生效。</w:t>
      </w:r>
    </w:p>
    <w:tbl>
      <w:tblPr>
        <w:tblStyle w:val="6"/>
        <w:tblW w:w="8539" w:type="dxa"/>
        <w:jc w:val="center"/>
        <w:tblLayout w:type="autofit"/>
        <w:tblCellMar>
          <w:top w:w="0" w:type="dxa"/>
          <w:left w:w="108" w:type="dxa"/>
          <w:bottom w:w="0" w:type="dxa"/>
          <w:right w:w="108" w:type="dxa"/>
        </w:tblCellMar>
      </w:tblPr>
      <w:tblGrid>
        <w:gridCol w:w="4351"/>
        <w:gridCol w:w="4188"/>
      </w:tblGrid>
      <w:tr w14:paraId="5ADBA47F">
        <w:tblPrEx>
          <w:tblCellMar>
            <w:top w:w="0" w:type="dxa"/>
            <w:left w:w="108" w:type="dxa"/>
            <w:bottom w:w="0" w:type="dxa"/>
            <w:right w:w="108" w:type="dxa"/>
          </w:tblCellMar>
        </w:tblPrEx>
        <w:trPr>
          <w:trHeight w:val="546" w:hRule="atLeast"/>
          <w:jc w:val="center"/>
        </w:trPr>
        <w:tc>
          <w:tcPr>
            <w:tcW w:w="4351" w:type="dxa"/>
            <w:tcBorders>
              <w:top w:val="nil"/>
              <w:left w:val="nil"/>
              <w:bottom w:val="nil"/>
              <w:right w:val="nil"/>
            </w:tcBorders>
            <w:noWrap w:val="0"/>
            <w:vAlign w:val="top"/>
          </w:tcPr>
          <w:p w14:paraId="483AC1E3">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r>
              <w:rPr>
                <w:rFonts w:hint="eastAsia" w:ascii="宋体" w:hAnsi="宋体" w:eastAsia="宋体" w:cs="宋体"/>
                <w:color w:val="000000"/>
                <w:sz w:val="24"/>
                <w:szCs w:val="24"/>
                <w:highlight w:val="none"/>
              </w:rPr>
              <w:t>需方（甲方）：</w:t>
            </w:r>
          </w:p>
        </w:tc>
        <w:tc>
          <w:tcPr>
            <w:tcW w:w="4188" w:type="dxa"/>
            <w:tcBorders>
              <w:top w:val="nil"/>
              <w:left w:val="nil"/>
              <w:bottom w:val="nil"/>
              <w:right w:val="nil"/>
            </w:tcBorders>
            <w:noWrap w:val="0"/>
            <w:vAlign w:val="top"/>
          </w:tcPr>
          <w:p w14:paraId="02D34910">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供方（乙方）：</w:t>
            </w:r>
          </w:p>
        </w:tc>
      </w:tr>
      <w:tr w14:paraId="45F20702">
        <w:tblPrEx>
          <w:tblCellMar>
            <w:top w:w="0" w:type="dxa"/>
            <w:left w:w="108" w:type="dxa"/>
            <w:bottom w:w="0" w:type="dxa"/>
            <w:right w:w="108" w:type="dxa"/>
          </w:tblCellMar>
        </w:tblPrEx>
        <w:trPr>
          <w:trHeight w:val="546" w:hRule="atLeast"/>
          <w:jc w:val="center"/>
        </w:trPr>
        <w:tc>
          <w:tcPr>
            <w:tcW w:w="4351" w:type="dxa"/>
            <w:tcBorders>
              <w:top w:val="nil"/>
              <w:left w:val="nil"/>
              <w:bottom w:val="nil"/>
              <w:right w:val="nil"/>
            </w:tcBorders>
            <w:noWrap w:val="0"/>
            <w:vAlign w:val="top"/>
          </w:tcPr>
          <w:p w14:paraId="0F8D2716">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188" w:type="dxa"/>
            <w:tcBorders>
              <w:top w:val="nil"/>
              <w:left w:val="nil"/>
              <w:bottom w:val="nil"/>
              <w:right w:val="nil"/>
            </w:tcBorders>
            <w:noWrap w:val="0"/>
            <w:vAlign w:val="top"/>
          </w:tcPr>
          <w:p w14:paraId="51ED2667">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14:paraId="792AE909">
        <w:tblPrEx>
          <w:tblCellMar>
            <w:top w:w="0" w:type="dxa"/>
            <w:left w:w="108" w:type="dxa"/>
            <w:bottom w:w="0" w:type="dxa"/>
            <w:right w:w="108" w:type="dxa"/>
          </w:tblCellMar>
        </w:tblPrEx>
        <w:trPr>
          <w:trHeight w:val="546" w:hRule="atLeast"/>
          <w:jc w:val="center"/>
        </w:trPr>
        <w:tc>
          <w:tcPr>
            <w:tcW w:w="4351" w:type="dxa"/>
            <w:tcBorders>
              <w:top w:val="nil"/>
              <w:left w:val="nil"/>
              <w:bottom w:val="nil"/>
              <w:right w:val="nil"/>
            </w:tcBorders>
            <w:noWrap w:val="0"/>
            <w:vAlign w:val="top"/>
          </w:tcPr>
          <w:p w14:paraId="19B9F372">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授权代表：</w:t>
            </w:r>
          </w:p>
        </w:tc>
        <w:tc>
          <w:tcPr>
            <w:tcW w:w="4188" w:type="dxa"/>
            <w:tcBorders>
              <w:top w:val="nil"/>
              <w:left w:val="nil"/>
              <w:bottom w:val="nil"/>
              <w:right w:val="nil"/>
            </w:tcBorders>
            <w:noWrap w:val="0"/>
            <w:vAlign w:val="top"/>
          </w:tcPr>
          <w:p w14:paraId="0753B61C">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授权代表：</w:t>
            </w:r>
          </w:p>
        </w:tc>
      </w:tr>
      <w:tr w14:paraId="051DB9EC">
        <w:tblPrEx>
          <w:tblCellMar>
            <w:top w:w="0" w:type="dxa"/>
            <w:left w:w="108" w:type="dxa"/>
            <w:bottom w:w="0" w:type="dxa"/>
            <w:right w:w="108" w:type="dxa"/>
          </w:tblCellMar>
        </w:tblPrEx>
        <w:trPr>
          <w:trHeight w:val="546" w:hRule="atLeast"/>
          <w:jc w:val="center"/>
        </w:trPr>
        <w:tc>
          <w:tcPr>
            <w:tcW w:w="4351" w:type="dxa"/>
            <w:tcBorders>
              <w:top w:val="nil"/>
              <w:left w:val="nil"/>
              <w:bottom w:val="nil"/>
              <w:right w:val="nil"/>
            </w:tcBorders>
            <w:noWrap w:val="0"/>
            <w:vAlign w:val="top"/>
          </w:tcPr>
          <w:p w14:paraId="4B3A1745">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188" w:type="dxa"/>
            <w:tcBorders>
              <w:top w:val="nil"/>
              <w:left w:val="nil"/>
              <w:bottom w:val="nil"/>
              <w:right w:val="nil"/>
            </w:tcBorders>
            <w:noWrap w:val="0"/>
            <w:vAlign w:val="top"/>
          </w:tcPr>
          <w:p w14:paraId="0F60F68D">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14:paraId="75790D10">
        <w:tblPrEx>
          <w:tblCellMar>
            <w:top w:w="0" w:type="dxa"/>
            <w:left w:w="108" w:type="dxa"/>
            <w:bottom w:w="0" w:type="dxa"/>
            <w:right w:w="108" w:type="dxa"/>
          </w:tblCellMar>
        </w:tblPrEx>
        <w:trPr>
          <w:trHeight w:val="546" w:hRule="atLeast"/>
          <w:jc w:val="center"/>
        </w:trPr>
        <w:tc>
          <w:tcPr>
            <w:tcW w:w="4351" w:type="dxa"/>
            <w:tcBorders>
              <w:top w:val="nil"/>
              <w:left w:val="nil"/>
              <w:bottom w:val="nil"/>
              <w:right w:val="nil"/>
            </w:tcBorders>
            <w:noWrap w:val="0"/>
            <w:vAlign w:val="top"/>
          </w:tcPr>
          <w:p w14:paraId="53E63AE6">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4188" w:type="dxa"/>
            <w:tcBorders>
              <w:top w:val="nil"/>
              <w:left w:val="nil"/>
              <w:bottom w:val="nil"/>
              <w:right w:val="nil"/>
            </w:tcBorders>
            <w:noWrap w:val="0"/>
            <w:vAlign w:val="top"/>
          </w:tcPr>
          <w:p w14:paraId="68B3A5D1">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14:paraId="0D48D150">
        <w:tblPrEx>
          <w:tblCellMar>
            <w:top w:w="0" w:type="dxa"/>
            <w:left w:w="108" w:type="dxa"/>
            <w:bottom w:w="0" w:type="dxa"/>
            <w:right w:w="108" w:type="dxa"/>
          </w:tblCellMar>
        </w:tblPrEx>
        <w:trPr>
          <w:trHeight w:val="546" w:hRule="atLeast"/>
          <w:jc w:val="center"/>
        </w:trPr>
        <w:tc>
          <w:tcPr>
            <w:tcW w:w="4351" w:type="dxa"/>
            <w:tcBorders>
              <w:top w:val="nil"/>
              <w:left w:val="nil"/>
              <w:bottom w:val="nil"/>
              <w:right w:val="nil"/>
            </w:tcBorders>
            <w:noWrap w:val="0"/>
            <w:vAlign w:val="top"/>
          </w:tcPr>
          <w:p w14:paraId="14ACE5FE">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帐号：</w:t>
            </w:r>
          </w:p>
        </w:tc>
        <w:tc>
          <w:tcPr>
            <w:tcW w:w="4188" w:type="dxa"/>
            <w:tcBorders>
              <w:top w:val="nil"/>
              <w:left w:val="nil"/>
              <w:bottom w:val="nil"/>
              <w:right w:val="nil"/>
            </w:tcBorders>
            <w:noWrap w:val="0"/>
            <w:vAlign w:val="top"/>
          </w:tcPr>
          <w:p w14:paraId="7D20C328">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帐号：</w:t>
            </w:r>
          </w:p>
        </w:tc>
      </w:tr>
      <w:tr w14:paraId="4FA2E254">
        <w:tblPrEx>
          <w:tblCellMar>
            <w:top w:w="0" w:type="dxa"/>
            <w:left w:w="108" w:type="dxa"/>
            <w:bottom w:w="0" w:type="dxa"/>
            <w:right w:w="108" w:type="dxa"/>
          </w:tblCellMar>
        </w:tblPrEx>
        <w:trPr>
          <w:trHeight w:val="546" w:hRule="atLeast"/>
          <w:jc w:val="center"/>
        </w:trPr>
        <w:tc>
          <w:tcPr>
            <w:tcW w:w="4351" w:type="dxa"/>
            <w:tcBorders>
              <w:top w:val="nil"/>
              <w:left w:val="nil"/>
              <w:bottom w:val="nil"/>
              <w:right w:val="nil"/>
            </w:tcBorders>
            <w:noWrap w:val="0"/>
            <w:vAlign w:val="top"/>
          </w:tcPr>
          <w:p w14:paraId="23FA370F">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统一社会信用代码：</w:t>
            </w:r>
          </w:p>
        </w:tc>
        <w:tc>
          <w:tcPr>
            <w:tcW w:w="4188" w:type="dxa"/>
            <w:tcBorders>
              <w:top w:val="nil"/>
              <w:left w:val="nil"/>
              <w:bottom w:val="nil"/>
              <w:right w:val="nil"/>
            </w:tcBorders>
            <w:noWrap w:val="0"/>
            <w:vAlign w:val="top"/>
          </w:tcPr>
          <w:p w14:paraId="01A894BD">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p>
        </w:tc>
      </w:tr>
      <w:tr w14:paraId="67B0509E">
        <w:tblPrEx>
          <w:tblCellMar>
            <w:top w:w="0" w:type="dxa"/>
            <w:left w:w="108" w:type="dxa"/>
            <w:bottom w:w="0" w:type="dxa"/>
            <w:right w:w="108" w:type="dxa"/>
          </w:tblCellMar>
        </w:tblPrEx>
        <w:trPr>
          <w:trHeight w:val="546" w:hRule="atLeast"/>
          <w:jc w:val="center"/>
        </w:trPr>
        <w:tc>
          <w:tcPr>
            <w:tcW w:w="4351" w:type="dxa"/>
            <w:tcBorders>
              <w:top w:val="nil"/>
              <w:left w:val="nil"/>
              <w:bottom w:val="nil"/>
              <w:right w:val="nil"/>
            </w:tcBorders>
            <w:noWrap w:val="0"/>
            <w:vAlign w:val="top"/>
          </w:tcPr>
          <w:p w14:paraId="231C9DA8">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188" w:type="dxa"/>
            <w:tcBorders>
              <w:top w:val="nil"/>
              <w:left w:val="nil"/>
              <w:bottom w:val="nil"/>
              <w:right w:val="nil"/>
            </w:tcBorders>
            <w:noWrap w:val="0"/>
            <w:vAlign w:val="top"/>
          </w:tcPr>
          <w:p w14:paraId="1EEFEA73">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bl>
    <w:p w14:paraId="333FCDF8">
      <w:pPr>
        <w:snapToGrid w:val="0"/>
        <w:spacing w:line="360" w:lineRule="auto"/>
        <w:jc w:val="center"/>
        <w:rPr>
          <w:rStyle w:val="8"/>
          <w:rFonts w:hint="eastAsia"/>
          <w:color w:val="auto"/>
          <w:sz w:val="44"/>
          <w:szCs w:val="44"/>
          <w:highlight w:val="none"/>
          <w:lang w:eastAsia="zh-CN"/>
        </w:rPr>
      </w:pPr>
    </w:p>
    <w:sectPr>
      <w:headerReference r:id="rId3" w:type="default"/>
      <w:footerReference r:id="rId4" w:type="default"/>
      <w:pgSz w:w="11900" w:h="16840"/>
      <w:pgMar w:top="1440" w:right="1800" w:bottom="1440" w:left="1800" w:header="992" w:footer="99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Fallback">
    <w:altName w:val="宋体"/>
    <w:panose1 w:val="00000000000000000000"/>
    <w:charset w:val="86"/>
    <w:family w:val="swiss"/>
    <w:pitch w:val="default"/>
    <w:sig w:usb0="00000000" w:usb1="00000000" w:usb2="00000016" w:usb3="00000000" w:csb0="203F01FF" w:csb1="D7FF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4DE27">
    <w:pPr>
      <w:pStyle w:val="3"/>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92E6A1">
                          <w:pPr>
                            <w:pStyle w:val="3"/>
                            <w:rPr>
                              <w:rFonts w:hint="eastAsia"/>
                            </w:rPr>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892E6A1">
                    <w:pPr>
                      <w:pStyle w:val="3"/>
                      <w:rPr>
                        <w:rFonts w:hint="eastAsia"/>
                      </w:rPr>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4E7C5">
    <w:pPr>
      <w:pStyle w:val="4"/>
      <w:pBdr>
        <w:bottom w:val="none" w:color="auto" w:sz="0" w:space="0"/>
      </w:pBdr>
      <w:rPr>
        <w:rFonts w:hint="eastAsia" w:ascii="黑体" w:eastAsia="黑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622B5F"/>
    <w:rsid w:val="77622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99"/>
    <w:pPr>
      <w:tabs>
        <w:tab w:val="center" w:pos="4153"/>
        <w:tab w:val="right" w:pos="8306"/>
      </w:tabs>
      <w:adjustRightInd w:val="0"/>
      <w:spacing w:line="240" w:lineRule="atLeast"/>
      <w:textAlignment w:val="baseline"/>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5">
    <w:name w:val="Normal (Web)"/>
    <w:basedOn w:val="1"/>
    <w:qFormat/>
    <w:uiPriority w:val="0"/>
    <w:pPr>
      <w:spacing w:beforeAutospacing="1" w:afterAutospacing="1"/>
    </w:pPr>
    <w:rPr>
      <w:rFonts w:cs="Times New Roman"/>
      <w:sz w:val="24"/>
    </w:rPr>
  </w:style>
  <w:style w:type="character" w:customStyle="1" w:styleId="8">
    <w:name w:val="标题 1 字符"/>
    <w:link w:val="9"/>
    <w:qFormat/>
    <w:uiPriority w:val="0"/>
    <w:rPr>
      <w:rFonts w:hint="eastAsia" w:ascii="宋体" w:hAnsi="宋体"/>
      <w:b/>
      <w:bCs/>
      <w:kern w:val="44"/>
      <w:sz w:val="48"/>
      <w:szCs w:val="48"/>
    </w:rPr>
  </w:style>
  <w:style w:type="paragraph" w:customStyle="1" w:styleId="9">
    <w:name w:val="标题 11"/>
    <w:basedOn w:val="1"/>
    <w:link w:val="8"/>
    <w:qFormat/>
    <w:uiPriority w:val="0"/>
    <w:pPr>
      <w:spacing w:beforeAutospacing="1" w:afterAutospacing="1"/>
      <w:jc w:val="left"/>
      <w:outlineLvl w:val="0"/>
    </w:pPr>
    <w:rPr>
      <w:rFonts w:hint="eastAsia" w:ascii="宋体" w:hAnsi="宋体"/>
      <w:b/>
      <w:bCs/>
      <w:kern w:val="44"/>
      <w:sz w:val="48"/>
      <w:szCs w:val="4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2026-09-03T05:18:00Z</dcterms:created>
  <dc:creator>开瑞</dc:creator>
  <cp:lastModifiedBy>开瑞</cp:lastModifiedBy>
  <dcterms:modified xsi:type="dcterms:W3CDTF">2026-09-03T05:24:18Z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42CBF83D587B4BBF947D2157E664BEAA_11</vt:lpwstr>
  </property>
  <property fmtid="{D5CDD505-2E9C-101B-9397-08002B2CF9AE}" pid="4" name="KSOTemplateDocerSaveRecord">
    <vt:lpwstr>eyJoZGlkIjoiNDdhNzc0MmNiNWM2N2E0MGJkOTgwYWE5YzYzYjE5YmYiLCJ1c2VySWQiOiIzODU0NDc2MTYifQ==</vt:lpwstr>
  </property>
</Properties>
</file>