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版本号：ZJZC2026060401-01.1B220260714001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中心及欧亚经济论坛网站运营维护服务(三次)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ZJZC2026060401-01.1B2</w:t>
      </w:r>
      <w:r>
        <w:br/>
      </w:r>
      <w:r>
        <w:br/>
      </w:r>
      <w:r>
        <w:br/>
      </w:r>
    </w:p>
    <w:p>
      <w:pPr>
        <w:pStyle w:val="null3"/>
        <w:jc w:val="center"/>
        <w:outlineLvl w:val="2"/>
      </w:pPr>
      <w:r>
        <w:rPr>
          <w:rFonts w:ascii="仿宋_GB2312" w:hAnsi="仿宋_GB2312" w:cs="仿宋_GB2312" w:eastAsia="仿宋_GB2312"/>
          <w:sz w:val="28"/>
          <w:b/>
        </w:rPr>
        <w:t>西安市博览事务中心</w:t>
      </w:r>
    </w:p>
    <w:p>
      <w:pPr>
        <w:pStyle w:val="null3"/>
        <w:jc w:val="center"/>
        <w:outlineLvl w:val="2"/>
      </w:pPr>
      <w:r>
        <w:rPr>
          <w:rFonts w:ascii="仿宋_GB2312" w:hAnsi="仿宋_GB2312" w:cs="仿宋_GB2312" w:eastAsia="仿宋_GB2312"/>
          <w:sz w:val="28"/>
          <w:b/>
        </w:rPr>
        <w:t>中坚华阳建设项目管理有限公司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中坚华阳建设项目管理有限公司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西安市博览事务中心</w:t>
      </w:r>
      <w:r>
        <w:rPr>
          <w:rFonts w:ascii="仿宋_GB2312" w:hAnsi="仿宋_GB2312" w:cs="仿宋_GB2312" w:eastAsia="仿宋_GB2312"/>
        </w:rPr>
        <w:t>委托，拟对</w:t>
      </w:r>
      <w:r>
        <w:rPr>
          <w:rFonts w:ascii="仿宋_GB2312" w:hAnsi="仿宋_GB2312" w:cs="仿宋_GB2312" w:eastAsia="仿宋_GB2312"/>
        </w:rPr>
        <w:t>中心及欧亚经济论坛网站运营维护服务(三次)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ZJZC2026060401-01.1B2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中心及欧亚经济论坛网站运营维护服务(三次)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博览事务中心已构建形成“两站四号”融媒体宣传平台，是对外推介、品牌传播的核心阵地。为进一步建好用好中心网站和论坛网站媒体平台，更好发挥网站平台功能作用，拟通过购买服务方式，聘请专业机构承担中心及论坛网站整体运营维护工作，持续优化平台功能，筑牢意识形态阵地，打造规范文明的网络传播窗口，助力西安会展博览事业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采购包1（中心及欧亚经济论坛网站运营维护服务）：属于专门面向中小企业采购。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1、供应商主体：供应商为具有独立承担民事责任能力的法人、其他组织或自然人（提供合格有效的法人或者其他组织的营业执照、事业单位法人证等证明文件或自然人的身份证明）。</w:t>
      </w:r>
    </w:p>
    <w:p>
      <w:pPr>
        <w:pStyle w:val="null3"/>
      </w:pPr>
      <w:r>
        <w:rPr>
          <w:rFonts w:ascii="仿宋_GB2312" w:hAnsi="仿宋_GB2312" w:cs="仿宋_GB2312" w:eastAsia="仿宋_GB2312"/>
        </w:rPr>
        <w:t>2、财务状况报告：提供2024年度或2025年度经审计的财务会计报告（成立时间至提交响应文件截止时间不足一年的可提供成立后任意时段的资产负债表）； 或其递交响应文件截止之日前三个月内基本开户银行出具的资信证明（附《基本存款账户信息》或《银行开户许可证》复印件）； （以上两种形式的资料提供任何一种即可）。</w:t>
      </w:r>
    </w:p>
    <w:p>
      <w:pPr>
        <w:pStyle w:val="null3"/>
      </w:pPr>
      <w:r>
        <w:rPr>
          <w:rFonts w:ascii="仿宋_GB2312" w:hAnsi="仿宋_GB2312" w:cs="仿宋_GB2312" w:eastAsia="仿宋_GB2312"/>
        </w:rPr>
        <w:t>3、税收缴纳证明：提供磋商截止时间前半年内任意一个月的纳税证明或完税证明，依法免税的单位应提供相关证明材料。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4、社会保障资金缴纳证明：提供磋商截止时间前半年内任意一个月的社会保障资金缴存单据或社保机构开具的社会保险参保缴费情况证明，依法不需要缴纳社会保障资金的单位应提供相关证明材料。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5、书面声明：提供参加本次政府采购活动前三年内在经营活动中没有重大违法记录的书面声明。</w:t>
      </w:r>
    </w:p>
    <w:p>
      <w:pPr>
        <w:pStyle w:val="null3"/>
      </w:pPr>
      <w:r>
        <w:rPr>
          <w:rFonts w:ascii="仿宋_GB2312" w:hAnsi="仿宋_GB2312" w:cs="仿宋_GB2312" w:eastAsia="仿宋_GB2312"/>
        </w:rPr>
        <w:t>6、承诺函：提供具有履行合同所必须的设备和专业技术能力的承诺函。</w:t>
      </w:r>
    </w:p>
    <w:p>
      <w:pPr>
        <w:pStyle w:val="null3"/>
      </w:pPr>
      <w:r>
        <w:rPr>
          <w:rFonts w:ascii="仿宋_GB2312" w:hAnsi="仿宋_GB2312" w:cs="仿宋_GB2312" w:eastAsia="仿宋_GB2312"/>
        </w:rPr>
        <w:t>7、法定代表人授权书（或法定代表人证明书）：法定代表人授权委托书（附法定代表人身份证复印件及被授权人身份证复印件）；法定代表人直接参加磋商只须提供法定代表人身份证明书（附法定代表人身份证复印件）。</w:t>
      </w:r>
    </w:p>
    <w:p>
      <w:pPr>
        <w:pStyle w:val="null3"/>
      </w:pPr>
      <w:r>
        <w:rPr>
          <w:rFonts w:ascii="仿宋_GB2312" w:hAnsi="仿宋_GB2312" w:cs="仿宋_GB2312" w:eastAsia="仿宋_GB2312"/>
        </w:rPr>
        <w:t>8、非联合体磋商：本项目不接受联合体磋商。</w:t>
      </w:r>
    </w:p>
    <w:p>
      <w:pPr>
        <w:pStyle w:val="null3"/>
      </w:pPr>
      <w:r>
        <w:rPr>
          <w:rFonts w:ascii="仿宋_GB2312" w:hAnsi="仿宋_GB2312" w:cs="仿宋_GB2312" w:eastAsia="仿宋_GB2312"/>
        </w:rPr>
        <w:t>9、信誉要求：供应商未被“信用中国”网站列入失信被执行人、重大税收违法失信主体名单，未被“中国政府采购网”网站列入政府采购严重违法失信行为记录名单。（以采购人或采购代理机构开标当天查询结果为准）。</w:t>
      </w:r>
    </w:p>
    <w:p>
      <w:pPr>
        <w:pStyle w:val="null3"/>
      </w:pPr>
      <w:r>
        <w:rPr>
          <w:rFonts w:ascii="仿宋_GB2312" w:hAnsi="仿宋_GB2312" w:cs="仿宋_GB2312" w:eastAsia="仿宋_GB2312"/>
        </w:rPr>
        <w:t>10、企业资质：供应商须具备互联网新闻信息服务许可证。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西安市博览事务中心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西安市未央区凤城八路109号市政府1号楼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029-67097140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中坚华阳建设项目管理有限公司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西安市雁塔区高新路2号西部国际广场B座28楼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于晓风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15787880042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代理服务费收费标准：1、成交代理服务费金额：由成交供应商一次性支付人民币陆仟元整（¥6000.00元）。 2、代理服务费缴纳账户信息： 开户名称：中坚华阳建设项目管理有限公司 银行：陕西秦农农村商业银行股份有限公司新城支行 账 号：2701131601201000034855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西安市博览事务中心</w:t>
      </w:r>
      <w:r>
        <w:rPr>
          <w:rFonts w:ascii="仿宋_GB2312" w:hAnsi="仿宋_GB2312" w:cs="仿宋_GB2312" w:eastAsia="仿宋_GB2312"/>
        </w:rPr>
        <w:t>和</w:t>
      </w:r>
      <w:r>
        <w:rPr>
          <w:rFonts w:ascii="仿宋_GB2312" w:hAnsi="仿宋_GB2312" w:cs="仿宋_GB2312" w:eastAsia="仿宋_GB2312"/>
        </w:rPr>
        <w:t>中坚华阳建设项目管理有限公司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西安市博览事务中心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中坚华阳建设项目管理有限公司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西安市博览事务中心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中坚华阳建设项目管理有限公司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中坚华阳建设项目管理有限公司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中坚华阳建设项目管理有限公司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中坚华阳建设项目管理有限公司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联系人：于晓风</w:t>
      </w:r>
    </w:p>
    <w:p>
      <w:pPr>
        <w:pStyle w:val="null3"/>
      </w:pPr>
      <w:r>
        <w:rPr>
          <w:rFonts w:ascii="仿宋_GB2312" w:hAnsi="仿宋_GB2312" w:cs="仿宋_GB2312" w:eastAsia="仿宋_GB2312"/>
        </w:rPr>
        <w:t>联系电话：15787880042</w:t>
      </w:r>
    </w:p>
    <w:p>
      <w:pPr>
        <w:pStyle w:val="null3"/>
      </w:pPr>
      <w:r>
        <w:rPr>
          <w:rFonts w:ascii="仿宋_GB2312" w:hAnsi="仿宋_GB2312" w:cs="仿宋_GB2312" w:eastAsia="仿宋_GB2312"/>
        </w:rPr>
        <w:t>地址：西安市雁塔区高新路2号西部国际广场B座28楼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博览事务中心已构建形成“两站四号”融媒体宣传平台，是对外推介、品牌传播的核心阵地。为进一步建好用好中心网站和论坛网站媒体平台，更好发挥网站平台功能作用，拟通过购买服务方式，聘请专业机构承担中心及论坛网站整体运营维护工作，持续优化平台功能，筑牢意识形态阵地，打造规范文明的网络传播窗口，助力西安会展博览事业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w:t>
      </w:r>
    </w:p>
    <w:p>
      <w:pPr>
        <w:pStyle w:val="null3"/>
      </w:pPr>
      <w:r>
        <w:rPr>
          <w:rFonts w:ascii="仿宋_GB2312" w:hAnsi="仿宋_GB2312" w:cs="仿宋_GB2312" w:eastAsia="仿宋_GB2312"/>
        </w:rPr>
        <w:t>采购包最高限价（元）: 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西安市博览事务中心及欧亚经济论坛网站运营维护服务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标的名称：西安市博览事务中心及欧亚经济论坛网站运营维护服务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w:t>
            </w:r>
            <w:r>
              <w:rPr>
                <w:rFonts w:ascii="仿宋_GB2312" w:hAnsi="仿宋_GB2312" w:cs="仿宋_GB2312" w:eastAsia="仿宋_GB2312"/>
                <w:sz w:val="21"/>
                <w:b/>
              </w:rPr>
              <w:t>、服务内容</w:t>
            </w:r>
          </w:p>
          <w:p>
            <w:pPr>
              <w:pStyle w:val="null3"/>
              <w:ind w:firstLine="422"/>
              <w:jc w:val="both"/>
            </w:pPr>
            <w:r>
              <w:rPr>
                <w:rFonts w:ascii="仿宋_GB2312" w:hAnsi="仿宋_GB2312" w:cs="仿宋_GB2312" w:eastAsia="仿宋_GB2312"/>
                <w:sz w:val="21"/>
                <w:b/>
              </w:rPr>
              <w:t>1.做好中心网站、论坛网站平台优化升级及运营维护。</w:t>
            </w:r>
            <w:r>
              <w:rPr>
                <w:rFonts w:ascii="仿宋_GB2312" w:hAnsi="仿宋_GB2312" w:cs="仿宋_GB2312" w:eastAsia="仿宋_GB2312"/>
                <w:sz w:val="21"/>
              </w:rPr>
              <w:t>根据政府网站建设标准，做好中心网站及论坛完整的页面优化、视觉设计、运营维护等</w:t>
            </w:r>
            <w:r>
              <w:rPr>
                <w:rFonts w:ascii="仿宋_GB2312" w:hAnsi="仿宋_GB2312" w:cs="仿宋_GB2312" w:eastAsia="仿宋_GB2312"/>
                <w:sz w:val="21"/>
              </w:rPr>
              <w:t>;做好栏目信息内容的采集、编制和发布;做好后台管理、系统维护、错敏纠正等工作。</w:t>
            </w:r>
          </w:p>
          <w:p>
            <w:pPr>
              <w:pStyle w:val="null3"/>
              <w:ind w:firstLine="422"/>
              <w:jc w:val="both"/>
            </w:pPr>
            <w:r>
              <w:rPr>
                <w:rFonts w:ascii="仿宋_GB2312" w:hAnsi="仿宋_GB2312" w:cs="仿宋_GB2312" w:eastAsia="仿宋_GB2312"/>
                <w:sz w:val="21"/>
                <w:b/>
              </w:rPr>
              <w:t>2.做好中心网站、论坛网站信息采集推送。</w:t>
            </w:r>
            <w:r>
              <w:rPr>
                <w:rFonts w:ascii="仿宋_GB2312" w:hAnsi="仿宋_GB2312" w:cs="仿宋_GB2312" w:eastAsia="仿宋_GB2312"/>
                <w:sz w:val="21"/>
              </w:rPr>
              <w:t>以欧亚经济论坛智库会议、设计周、外出推介及中心年度重点工作等，以及</w:t>
            </w:r>
            <w:r>
              <w:rPr>
                <w:rFonts w:ascii="仿宋_GB2312" w:hAnsi="仿宋_GB2312" w:cs="仿宋_GB2312" w:eastAsia="仿宋_GB2312"/>
                <w:sz w:val="21"/>
              </w:rPr>
              <w:t>“一带一路”建设动态、国内外会展资讯为重点，做好中心网站、论坛网站栏目信息内容的采集、编制和发布等工作。</w:t>
            </w:r>
          </w:p>
          <w:p>
            <w:pPr>
              <w:pStyle w:val="null3"/>
              <w:ind w:firstLine="422"/>
              <w:jc w:val="both"/>
            </w:pPr>
            <w:r>
              <w:rPr>
                <w:rFonts w:ascii="仿宋_GB2312" w:hAnsi="仿宋_GB2312" w:cs="仿宋_GB2312" w:eastAsia="仿宋_GB2312"/>
                <w:sz w:val="21"/>
                <w:b/>
              </w:rPr>
              <w:t>3.协助做好中心网站、论坛网站网络安全责任制落实。</w:t>
            </w:r>
            <w:r>
              <w:rPr>
                <w:rFonts w:ascii="仿宋_GB2312" w:hAnsi="仿宋_GB2312" w:cs="仿宋_GB2312" w:eastAsia="仿宋_GB2312"/>
                <w:sz w:val="21"/>
              </w:rPr>
              <w:t>围绕落实网络意识形态责任制，协助做好</w:t>
            </w:r>
            <w:r>
              <w:rPr>
                <w:rFonts w:ascii="仿宋_GB2312" w:hAnsi="仿宋_GB2312" w:cs="仿宋_GB2312" w:eastAsia="仿宋_GB2312"/>
                <w:sz w:val="21"/>
              </w:rPr>
              <w:t>2个网站的网络安全监管、网络负面信息检测处置、备案审查、安全审查、网络防范、等级保护（配合）等工作。</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服务要求</w:t>
            </w:r>
          </w:p>
          <w:tbl>
            <w:tblPr>
              <w:tblInd w:type="dxa" w:w="135"/>
              <w:tblBorders>
                <w:top w:val="none" w:color="000000" w:sz="4"/>
                <w:left w:val="none" w:color="000000" w:sz="4"/>
                <w:bottom w:val="none" w:color="000000" w:sz="4"/>
                <w:right w:val="none" w:color="000000" w:sz="4"/>
                <w:insideH w:val="none"/>
                <w:insideV w:val="none"/>
              </w:tblBorders>
            </w:tblPr>
            <w:tblGrid>
              <w:gridCol w:w="222"/>
              <w:gridCol w:w="341"/>
              <w:gridCol w:w="872"/>
              <w:gridCol w:w="764"/>
              <w:gridCol w:w="336"/>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项目名称</w:t>
                  </w:r>
                </w:p>
              </w:tc>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服务内容</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服务规格</w:t>
                  </w:r>
                </w:p>
              </w:tc>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网站页面优化</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合理规划网站推送内容，使网站表现形式及宣传内容达到推广最佳效果。</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全年优化次数不少于</w:t>
                  </w:r>
                  <w:r>
                    <w:rPr>
                      <w:rFonts w:ascii="仿宋_GB2312" w:hAnsi="仿宋_GB2312" w:cs="仿宋_GB2312" w:eastAsia="仿宋_GB2312"/>
                      <w:sz w:val="21"/>
                    </w:rPr>
                    <w:t>2次；优化覆盖率100%。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视觉设计</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对推送信息进行图文编辑、文案修饰、配图包装，增强推文的视觉感染力。</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同稿件发布数量一致，视觉优化覆盖率不低于</w:t>
                  </w:r>
                  <w:r>
                    <w:rPr>
                      <w:rFonts w:ascii="仿宋_GB2312" w:hAnsi="仿宋_GB2312" w:cs="仿宋_GB2312" w:eastAsia="仿宋_GB2312"/>
                      <w:sz w:val="21"/>
                    </w:rPr>
                    <w:t>100%。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运营维护</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包括但不限于网站的内容建设、用户管理及日常数据统计等。</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全年进行；运维全年覆盖率</w:t>
                  </w:r>
                  <w:r>
                    <w:rPr>
                      <w:rFonts w:ascii="仿宋_GB2312" w:hAnsi="仿宋_GB2312" w:cs="仿宋_GB2312" w:eastAsia="仿宋_GB2312"/>
                      <w:sz w:val="21"/>
                    </w:rPr>
                    <w:t>100%。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栏目信息内容的采集、编制和发布</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根据网站的宣传特点、中心工作实际和新闻传播特点进行信息的采集、编制和发布，使其具备较高的新闻性和传播价值。</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全年采集、编制、发布稿件不少于</w:t>
                  </w:r>
                  <w:r>
                    <w:rPr>
                      <w:rFonts w:ascii="仿宋_GB2312" w:hAnsi="仿宋_GB2312" w:cs="仿宋_GB2312" w:eastAsia="仿宋_GB2312"/>
                      <w:sz w:val="21"/>
                    </w:rPr>
                    <w:t>800篇；重点活动稿件随时发布，不限数量。</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后台管理</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妥善保管账号、密码等各类资料，保障数据存储与传输过程中的安全加密。</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全年进行；后台管理范围</w:t>
                  </w:r>
                  <w:r>
                    <w:rPr>
                      <w:rFonts w:ascii="仿宋_GB2312" w:hAnsi="仿宋_GB2312" w:cs="仿宋_GB2312" w:eastAsia="仿宋_GB2312"/>
                      <w:sz w:val="21"/>
                    </w:rPr>
                    <w:t>100%。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错敏纠正</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通过</w:t>
                  </w:r>
                  <w:r>
                    <w:rPr>
                      <w:rFonts w:ascii="仿宋_GB2312" w:hAnsi="仿宋_GB2312" w:cs="仿宋_GB2312" w:eastAsia="仿宋_GB2312"/>
                      <w:sz w:val="21"/>
                    </w:rPr>
                    <w:t>人工及</w:t>
                  </w:r>
                  <w:r>
                    <w:rPr>
                      <w:rFonts w:ascii="仿宋_GB2312" w:hAnsi="仿宋_GB2312" w:cs="仿宋_GB2312" w:eastAsia="仿宋_GB2312"/>
                      <w:sz w:val="21"/>
                    </w:rPr>
                    <w:t>技术手段纠正内容中的错误和敏感词，</w:t>
                  </w:r>
                  <w:r>
                    <w:rPr>
                      <w:rFonts w:ascii="仿宋_GB2312" w:hAnsi="仿宋_GB2312" w:cs="仿宋_GB2312" w:eastAsia="仿宋_GB2312"/>
                      <w:sz w:val="21"/>
                    </w:rPr>
                    <w:t>确保信息的准确性和合规性。</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原创稿件全部进行错敏词纠正，纠错范围</w:t>
                  </w:r>
                  <w:r>
                    <w:rPr>
                      <w:rFonts w:ascii="仿宋_GB2312" w:hAnsi="仿宋_GB2312" w:cs="仿宋_GB2312" w:eastAsia="仿宋_GB2312"/>
                      <w:sz w:val="21"/>
                    </w:rPr>
                    <w:t>100%。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数据日常分析</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对网站的数据进行日常分析和重点分析总结。</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单月总结共</w:t>
                  </w:r>
                  <w:r>
                    <w:rPr>
                      <w:rFonts w:ascii="仿宋_GB2312" w:hAnsi="仿宋_GB2312" w:cs="仿宋_GB2312" w:eastAsia="仿宋_GB2312"/>
                      <w:sz w:val="21"/>
                    </w:rPr>
                    <w:t>12次；全年总结1次。重点稿件单篇阅读量不低于4000。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网络安全</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加强</w:t>
                  </w:r>
                  <w:r>
                    <w:rPr>
                      <w:rFonts w:ascii="仿宋_GB2312" w:hAnsi="仿宋_GB2312" w:cs="仿宋_GB2312" w:eastAsia="仿宋_GB2312"/>
                      <w:sz w:val="21"/>
                    </w:rPr>
                    <w:t>2个网站的网络安全监管、网络负面信息检测处置、备案审查、等级保护、安全审查、网络防范等工作。</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全年进行；网站安全率达到</w:t>
                  </w:r>
                  <w:r>
                    <w:rPr>
                      <w:rFonts w:ascii="仿宋_GB2312" w:hAnsi="仿宋_GB2312" w:cs="仿宋_GB2312" w:eastAsia="仿宋_GB2312"/>
                      <w:sz w:val="21"/>
                    </w:rPr>
                    <w:t>100%。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项目</w:t>
                  </w:r>
                  <w:r>
                    <w:rPr>
                      <w:rFonts w:ascii="仿宋_GB2312" w:hAnsi="仿宋_GB2312" w:cs="仿宋_GB2312" w:eastAsia="仿宋_GB2312"/>
                      <w:sz w:val="21"/>
                    </w:rPr>
                    <w:t>具体执行中，</w:t>
                  </w:r>
                  <w:r>
                    <w:rPr>
                      <w:rFonts w:ascii="仿宋_GB2312" w:hAnsi="仿宋_GB2312" w:cs="仿宋_GB2312" w:eastAsia="仿宋_GB2312"/>
                      <w:sz w:val="21"/>
                    </w:rPr>
                    <w:t>要求成交供应商：一是严格</w:t>
                  </w:r>
                  <w:r>
                    <w:rPr>
                      <w:rFonts w:ascii="仿宋_GB2312" w:hAnsi="仿宋_GB2312" w:cs="仿宋_GB2312" w:eastAsia="仿宋_GB2312"/>
                      <w:sz w:val="21"/>
                    </w:rPr>
                    <w:t>遵守关于广告、合同、知识产权等有关法律法规，确保发布信息的来源正规、官方；保证在缔结和履行合同过程中获知的无法从公开渠道获取的内部保密文件和资料，不以任何方式向第三人披露和不正当使用。</w:t>
                  </w:r>
                  <w:r>
                    <w:rPr>
                      <w:rFonts w:ascii="仿宋_GB2312" w:hAnsi="仿宋_GB2312" w:cs="仿宋_GB2312" w:eastAsia="仿宋_GB2312"/>
                      <w:sz w:val="21"/>
                    </w:rPr>
                    <w:t>二是协助中心严格执行</w:t>
                  </w:r>
                  <w:r>
                    <w:rPr>
                      <w:rFonts w:ascii="仿宋_GB2312" w:hAnsi="仿宋_GB2312" w:cs="仿宋_GB2312" w:eastAsia="仿宋_GB2312"/>
                      <w:sz w:val="21"/>
                    </w:rPr>
                    <w:t>“三审三校”制度，形成环环相扣、层层递进的立体编审模式，确保推送内容的准确性和流程合规性。</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按项目服务要求配置人员，确保项目顺利实施。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按项目服务要求配置，确保项目顺利实施。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采购服务内容全部完成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按竞争性磋商文件、响应文件等服务指标进行逐项验收，各项指标均应符合验收标准及要求。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其他，项目完成后采购人验收合格，达到付款条件起10个工作日内，支付合同总金额的40.0%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中标后，须向采购代理机构提供纸质版响应文件2套，且提供的响应文件必须与在陕西省政府采购综合管理平台的项目电子化交易系统中递交的电子响应文件内容一致，纸质版响应文件必须装订成册签字盖章。 2、如磋商文件中融资相关内容与新政策要求有出入，按照最新要求执行。3、分公司（分支机构）参与磋商：须提供总公司正式授权文件，未经授权的分公司不得参与磋商，不得使用总公司资质、业绩；已获授权的分公司，可使用总公司的资质、业绩。4. 总公司参与磋商：可使用其分公司（分支机构）的业绩；在法律法规及资质证书允许范围内，可使用分公司资质。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提供2024年度或2025年度经审计的财务会计报告（成立时间至提交响应文件截止时间不足一年的可提供成立后任意时段的资产负债表）； 或其递交响应文件截止之日前三个月内基本开户银行出具的资信证明（附《基本存款账户信息》或《银行开户许可证》复印件）； （以上两种形式的资料提供任何一种即可）。供应商需在项目电子化交易系统中按要求上传相应证明文件并进行电子签章。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w:t>
            </w:r>
          </w:p>
        </w:tc>
        <w:tc>
          <w:tcPr>
            <w:tcW w:type="dxa" w:w="3322"/>
          </w:tcPr>
          <w:p>
            <w:pPr>
              <w:pStyle w:val="null3"/>
            </w:pPr>
            <w:r>
              <w:rPr>
                <w:rFonts w:ascii="仿宋_GB2312" w:hAnsi="仿宋_GB2312" w:cs="仿宋_GB2312" w:eastAsia="仿宋_GB2312"/>
              </w:rPr>
              <w:t>供应商为具有独立承担民事责任能力的法人、其他组织或自然人（提供合格有效的法人或者其他组织的营业执照、事业单位法人证等证明文件或自然人的身份证明）。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提供2024年度或2025年度经审计的财务会计报告（成立时间至提交响应文件截止时间不足一年的可提供成立后任意时段的资产负债表）； 或其递交响应文件截止之日前三个月内基本开户银行出具的资信证明（附《基本存款账户信息》或《银行开户许可证》复印件）； （以上两种形式的资料提供任何一种即可）。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提供磋商截止时间前半年内任意一个月的社会保障资金缴存单据或社保机构开具的社会保险参保缴费情况证明，依法不需要缴纳社会保障资金的单位应提供相关证明材料。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提供具有履行合同所必须的设备和专业技术能力的承诺函。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法定代表人授权书（或法定代表人证明书）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法定代表人授权委托书（附法定代表人身份证复印件及被授权人身份证复印件）；法定代表人直接参加磋商只须提供法定代表人身份证明书（附法定代表人身份证复印件）。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供应商未被“信用中国”网站列入失信被执行人、重大税收违法失信主体名单，未被“中国政府采购网”网站列入政府采购严重违法失信行为记录名单。（以采购人或采购代理机构开标当天查询结果为准）。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供应商须具备互联网新闻信息服务许可证。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磋商响应文件签字盖章符合磋商文件要求</w:t>
            </w:r>
          </w:p>
        </w:tc>
        <w:tc>
          <w:tcPr>
            <w:tcW w:type="dxa" w:w="1661"/>
          </w:tcPr>
          <w:p>
            <w:pPr>
              <w:pStyle w:val="null3"/>
            </w:pPr>
            <w:r>
              <w:rPr>
                <w:rFonts w:ascii="仿宋_GB2312" w:hAnsi="仿宋_GB2312" w:cs="仿宋_GB2312" w:eastAsia="仿宋_GB2312"/>
              </w:rPr>
              <w:t>中小企业声明函 报价表 服务内容偏离表.docx 响应文件封面 分项报价表.docx 供应商应提交的相关资格证明材料.docx 残疾人福利性单位声明函 拒绝政府采购领域商业贿赂承诺书.docx 标的清单 商务要求响应偏离表.docx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符合磋商文件中要求的磋商有效期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商务要求响应偏离表.docx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中小企业声明函 报价表 服务内容偏离表.docx 响应文件封面 分项报价表.docx 供应商应提交的相关资格证明材料.docx 残疾人福利性单位声明函 拒绝政府采购领域商业贿赂承诺书.docx 标的清单 商务要求响应偏离表.docx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一、评审内容 供应商对本项目运维服务内容理解透彻，对项目中的重点、难点分析准确。内容至少包含：①项目运维服务目标；②服务重点；③服务难点。 二、评审标准（满分9分） 每项内容全面、合理、逻辑清晰、阐述条理清晰且描述详细得3分，满分9分；各项每有一处内容存在缺陷扣0.5分，扣完为止，未提供或提供的内容与本项目不符计0分。 （备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供应商针对本项目制定服务方案：内容至少包含：①网站页面优化方案；②视觉设计方案；③运营维护方案；④网站内容制作及发布方案；⑤后台管理方案；⑥网络安全方案。 二、评审标准（满分30分） 每项内容全面、合理、逻辑清晰、阐述条理清晰且描述详细得5分，满分30分；各项每有一处内容存在缺陷扣0.5分，扣完为止，未提供或提供的内容与本项目不符计0分。 （备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网站内容安全应急预案</w:t>
            </w:r>
          </w:p>
        </w:tc>
        <w:tc>
          <w:tcPr>
            <w:tcW w:type="dxa" w:w="2492"/>
          </w:tcPr>
          <w:p>
            <w:pPr>
              <w:pStyle w:val="null3"/>
            </w:pPr>
            <w:r>
              <w:rPr>
                <w:rFonts w:ascii="仿宋_GB2312" w:hAnsi="仿宋_GB2312" w:cs="仿宋_GB2312" w:eastAsia="仿宋_GB2312"/>
              </w:rPr>
              <w:t>一、评审内容 供应商针对本项目提供网站内容安全应急预案，内容至少包含：①不良信息应急处置预案；②账号权限失控应急预案；③系统数据故障预案；④网络攻击防护应急预案；⑤错敏内容整改应急预案。 二、评审标准（满分15分） 每项内容全面、合理、逻辑清晰、阐述条理清晰且描述详细得3分，满分15分；各项每有一处内容存在缺陷扣0.5分，扣完为止，未提供或提供的内容与本项目不符计0分。 （备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内控管理制度</w:t>
            </w:r>
          </w:p>
        </w:tc>
        <w:tc>
          <w:tcPr>
            <w:tcW w:type="dxa" w:w="2492"/>
          </w:tcPr>
          <w:p>
            <w:pPr>
              <w:pStyle w:val="null3"/>
            </w:pPr>
            <w:r>
              <w:rPr>
                <w:rFonts w:ascii="仿宋_GB2312" w:hAnsi="仿宋_GB2312" w:cs="仿宋_GB2312" w:eastAsia="仿宋_GB2312"/>
              </w:rPr>
              <w:t>一、评审内容 针对本项目制定的内控管理制度，内容至少包含：①保密合规制度；②三审三校编审制度。 二、评审标准（满分8分） 每项内容全面、合理、逻辑清晰、阐述条理清晰且描述详细得4分，满分8分；各项每有一处内容存在缺陷扣0.5分，扣完为止，未提供或提供的内容与本项目不符计0分。 （备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项目负责人具有项目工作经验，要求具备高级职称，提供其职称证书、身份证、学历证书与供应商劳动关系证明等，满足得4分，否则不得分。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为本项目配备的项目成员构成合理、分工明确，对项目实施过程中涉及的相关工作经验丰富且能力强，满足项目需求，得6分； 为本项目配备的项目成员构成合理、有分工，人员工作经验不足，得3分；为本项目配备的项目成员构成不够合理、分工不明确，人员工作无明确经验，得1分。 不提供得0分。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针对本项目提供服务保障以及服务措施： 1）服务保障方案内容完整，结构清晰，科学合理，可操作性强，能完全满足项目需求得8分； 2）服务保障方案无重大缺项，有一定合理性和可操作性，基本满足项目需求得5分； 3）服务保障方案缺项较多，未能准确描述方案内容，得2分；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提供2023年1月1日至今供应商承接的网站运维项目业绩，（以合同签订日期为准），每提供1个得2.5分，最高得10分。 备注：响应文件中提供合同复印件加盖公章。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详见附件：商务要求响应偏离表.docx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