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C7EECA">
      <w:pPr>
        <w:rPr>
          <w:rFonts w:hint="eastAsia" w:ascii="宋体" w:hAnsi="宋体" w:eastAsia="宋体" w:cs="宋体"/>
          <w:b/>
          <w:bCs/>
          <w:sz w:val="22"/>
          <w:szCs w:val="28"/>
        </w:rPr>
      </w:pPr>
      <w:r>
        <w:rPr>
          <w:rFonts w:hint="eastAsia" w:ascii="宋体" w:hAnsi="宋体" w:eastAsia="宋体" w:cs="宋体"/>
          <w:sz w:val="22"/>
          <w:szCs w:val="28"/>
        </w:rPr>
        <mc:AlternateContent>
          <mc:Choice Requires="wps">
            <w:drawing>
              <wp:anchor distT="0" distB="0" distL="114300" distR="114300" simplePos="0" relativeHeight="251659264" behindDoc="0" locked="0" layoutInCell="1" allowOverlap="1">
                <wp:simplePos x="0" y="0"/>
                <wp:positionH relativeFrom="column">
                  <wp:posOffset>4506595</wp:posOffset>
                </wp:positionH>
                <wp:positionV relativeFrom="paragraph">
                  <wp:posOffset>191770</wp:posOffset>
                </wp:positionV>
                <wp:extent cx="866775" cy="238125"/>
                <wp:effectExtent l="6350" t="6350" r="22225" b="22225"/>
                <wp:wrapNone/>
                <wp:docPr id="1" name="矩形 1"/>
                <wp:cNvGraphicFramePr/>
                <a:graphic xmlns:a="http://schemas.openxmlformats.org/drawingml/2006/main">
                  <a:graphicData uri="http://schemas.microsoft.com/office/word/2010/wordprocessingShape">
                    <wps:wsp>
                      <wps:cNvSpPr/>
                      <wps:spPr>
                        <a:xfrm>
                          <a:off x="5744845" y="1106170"/>
                          <a:ext cx="866775" cy="238125"/>
                        </a:xfrm>
                        <a:prstGeom prst="rect">
                          <a:avLst/>
                        </a:prstGeom>
                        <a:noFill/>
                        <a:ln w="12700" cap="flat" cmpd="sng" algn="ctr">
                          <a:solidFill>
                            <a:srgbClr val="41719C">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4.85pt;margin-top:15.1pt;height:18.75pt;width:68.25pt;z-index:251659264;v-text-anchor:middle;mso-width-relative:page;mso-height-relative:page;" filled="f" stroked="t" coordsize="21600,21600" o:gfxdata="UEsDBAoAAAAAAIdO4kAAAAAAAAAAAAAAAAAEAAAAZHJzL1BLAwQUAAAACACHTuJAHu95gdgAAAAJ&#10;AQAADwAAAGRycy9kb3ducmV2LnhtbE2PwU7DMAyG70i8Q2Qkbixph9pRmu6AhASnQUHaNW1MW2ic&#10;0mTd4OkxJ7jZ8qf//1xuT24UC85h8KQhWSkQSK23A3UaXl/urzYgQjRkzegJNXxhgG11flaawvoj&#10;PeNSx05wCIXCaOhjnAopQ9ujM2HlJyS+vfnZmcjr3Ek7myOHu1GmSmXSmYG4oTcT3vXYftQHxyXN&#10;/uF7+ayTx90+fU+fJpL9bq315UWibkFEPMU/GH71WR0qdmr8gWwQo4Zc3eSMalirFAQDm+uMh0ZD&#10;lucgq1L+/6D6AVBLAwQUAAAACACHTuJA6mbepYsCAAAFBQAADgAAAGRycy9lMm9Eb2MueG1srVRL&#10;bhsxDN0X6B0E7ZuZcf2LETswbKQoEDQB0qJrWaPxCNCvkvxJL1Ogux4ixyl6jT5pJp+mXWRRL2RS&#10;pB7JR3LOzo9akb3wQVozp9VJSYkw3NbSbOf008eLN1NKQmSmZsoaMae3ItDzxetXZwc3EwPbWlUL&#10;TwBiwuzg5rSN0c2KIvBWaBZOrBMGxsZ6zSJUvy1qzw5A16oYlOW4OFhfO2+5CAG3685Ie0T/EkDb&#10;NJKLteU7LUzsUL1QLKKk0EoX6CJn2zSCx6umCSISNaeoNOYTQSBv0lkszths65lrJe9TYC9J4VlN&#10;mkmDoA9QaxYZ2Xn5F5SW3Ntgm3jCrS66QjIjqKIqn3Fz0zInci2gOrgH0sP/g+Uf9teeyBqTQIlh&#10;Gg3/9e3Hz7vvpErcHFyYweXGXfteCxBTocfG6/SPEshxTkeT4XA6HFFyC6SqHFeTnltxjITDYToe&#10;TyawczgM3k6rwSjhF49Azof4TlhNkjCnHq3LjLL9ZYid671LimvshVQK92ymDDkg6mBSoqucYSYb&#10;zAJE7VBXMFtKmNpi2Hn0GTJYJev0PL0OfrtZKU/2DCMyrCbV6apzalktuttRiV+fbu+eU/8DJyW3&#10;ZqHtnmRTesJmWkYsjJIaJCSgeyRlklXkIe1LTHR3BCdpY+tbNMfbbmqD4xcSQS5ZiNfMY0xRLhY5&#10;XuFolAUHtpcoaa3/+q/75I/pgZWSA8Ye/HzZMS8oUe8N5uq0Gg7TnmRlOJoMoPinls1Ti9nplQVt&#10;mB1kl8XkH9W92HirP2PflykqTMxwxO460Sur2K0jvhhcLJfZDbvhWLw0N44n8MSTsctdtI3Mo/DI&#10;DvqQFGxH7ki/yWn9nurZ6/Hrtfg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Hu95gdgAAAAJAQAA&#10;DwAAAAAAAAABACAAAAAiAAAAZHJzL2Rvd25yZXYueG1sUEsBAhQAFAAAAAgAh07iQOpm3qWLAgAA&#10;BQUAAA4AAAAAAAAAAQAgAAAAJwEAAGRycy9lMm9Eb2MueG1sUEsFBgAAAAAGAAYAWQEAACQGAAAA&#10;AA==&#10;">
                <v:fill on="f" focussize="0,0"/>
                <v:stroke weight="1pt" color="#2D5171" miterlimit="8" joinstyle="miter"/>
                <v:imagedata o:title=""/>
                <o:lock v:ext="edit" aspectratio="f"/>
              </v:rect>
            </w:pict>
          </mc:Fallback>
        </mc:AlternateContent>
      </w:r>
      <w:r>
        <w:rPr>
          <w:rFonts w:hint="eastAsia" w:ascii="宋体" w:hAnsi="宋体" w:eastAsia="宋体" w:cs="宋体"/>
          <w:b/>
          <w:bCs/>
          <w:sz w:val="22"/>
          <w:szCs w:val="28"/>
        </w:rPr>
        <w:t>政府采购项目</w:t>
      </w:r>
    </w:p>
    <w:p w14:paraId="60905A45">
      <w:pPr>
        <w:jc w:val="right"/>
        <w:rPr>
          <w:rFonts w:hint="eastAsia" w:ascii="宋体" w:hAnsi="宋体" w:eastAsia="宋体" w:cs="宋体"/>
          <w:b/>
          <w:bCs/>
          <w:sz w:val="22"/>
          <w:szCs w:val="28"/>
        </w:rPr>
      </w:pPr>
      <w:r>
        <w:rPr>
          <w:rFonts w:hint="eastAsia" w:ascii="宋体" w:hAnsi="宋体" w:eastAsia="宋体" w:cs="宋体"/>
          <w:b/>
          <w:bCs/>
          <w:sz w:val="22"/>
          <w:szCs w:val="28"/>
        </w:rPr>
        <w:t>竞争性磋商</w:t>
      </w:r>
    </w:p>
    <w:p w14:paraId="32B4B1E9">
      <w:pPr>
        <w:jc w:val="right"/>
        <w:rPr>
          <w:rFonts w:hint="eastAsia" w:ascii="宋体" w:hAnsi="宋体" w:eastAsia="宋体" w:cs="宋体"/>
          <w:b/>
          <w:bCs/>
        </w:rPr>
      </w:pPr>
    </w:p>
    <w:p w14:paraId="32A27821">
      <w:pPr>
        <w:jc w:val="center"/>
        <w:rPr>
          <w:rFonts w:hint="eastAsia" w:ascii="宋体" w:hAnsi="宋体" w:eastAsia="宋体" w:cs="宋体"/>
          <w:b/>
          <w:bCs/>
        </w:rPr>
      </w:pPr>
    </w:p>
    <w:p w14:paraId="4852DF60">
      <w:pPr>
        <w:jc w:val="center"/>
        <w:rPr>
          <w:rFonts w:hint="eastAsia" w:ascii="宋体" w:hAnsi="宋体" w:eastAsia="宋体" w:cs="宋体"/>
          <w:b/>
          <w:bCs/>
        </w:rPr>
      </w:pPr>
    </w:p>
    <w:p w14:paraId="52F01E89">
      <w:pPr>
        <w:pStyle w:val="3"/>
        <w:jc w:val="center"/>
        <w:rPr>
          <w:rFonts w:hint="eastAsia" w:ascii="宋体" w:hAnsi="宋体" w:eastAsia="宋体" w:cs="宋体"/>
        </w:rPr>
      </w:pPr>
    </w:p>
    <w:p w14:paraId="27833ABC">
      <w:pPr>
        <w:pStyle w:val="3"/>
        <w:jc w:val="center"/>
        <w:rPr>
          <w:rFonts w:hint="eastAsia" w:ascii="宋体" w:hAnsi="宋体" w:eastAsia="宋体" w:cs="宋体"/>
          <w:bCs/>
          <w:sz w:val="44"/>
          <w:szCs w:val="44"/>
          <w:lang w:val="en-US" w:eastAsia="zh-CN"/>
        </w:rPr>
      </w:pPr>
      <w:r>
        <w:rPr>
          <w:rFonts w:hint="eastAsia" w:ascii="宋体" w:hAnsi="宋体" w:eastAsia="宋体" w:cs="宋体"/>
          <w:bCs/>
          <w:sz w:val="44"/>
          <w:szCs w:val="44"/>
        </w:rPr>
        <w:t>西安市博览事务</w:t>
      </w:r>
      <w:r>
        <w:rPr>
          <w:rFonts w:hint="eastAsia" w:ascii="宋体" w:hAnsi="宋体" w:eastAsia="宋体" w:cs="宋体"/>
          <w:bCs/>
          <w:sz w:val="44"/>
          <w:szCs w:val="44"/>
          <w:lang w:val="en-US" w:eastAsia="zh-CN"/>
        </w:rPr>
        <w:t>中心</w:t>
      </w:r>
    </w:p>
    <w:p w14:paraId="6F60C7D1">
      <w:pPr>
        <w:pStyle w:val="3"/>
        <w:jc w:val="center"/>
        <w:rPr>
          <w:rFonts w:hint="eastAsia" w:ascii="宋体" w:hAnsi="宋体" w:eastAsia="宋体" w:cs="宋体"/>
          <w:bCs/>
          <w:sz w:val="44"/>
          <w:szCs w:val="44"/>
          <w:lang w:val="en-US" w:eastAsia="zh-CN"/>
        </w:rPr>
      </w:pPr>
      <w:r>
        <w:rPr>
          <w:rFonts w:hint="eastAsia" w:ascii="宋体" w:hAnsi="宋体" w:eastAsia="宋体" w:cs="宋体"/>
          <w:bCs/>
          <w:sz w:val="44"/>
          <w:szCs w:val="44"/>
          <w:lang w:eastAsia="zh-CN"/>
        </w:rPr>
        <w:t>中心及欧亚经济论坛网站运营维护服务</w:t>
      </w:r>
      <w:r>
        <w:rPr>
          <w:rFonts w:hint="eastAsia" w:hAnsi="宋体" w:cs="宋体"/>
          <w:bCs/>
          <w:sz w:val="44"/>
          <w:szCs w:val="44"/>
          <w:lang w:eastAsia="zh-CN"/>
        </w:rPr>
        <w:t>（</w:t>
      </w:r>
      <w:r>
        <w:rPr>
          <w:rFonts w:hint="eastAsia" w:hAnsi="宋体" w:cs="宋体"/>
          <w:bCs/>
          <w:sz w:val="44"/>
          <w:szCs w:val="44"/>
          <w:lang w:val="en-US" w:eastAsia="zh-CN"/>
        </w:rPr>
        <w:t>三次</w:t>
      </w:r>
      <w:r>
        <w:rPr>
          <w:rFonts w:hint="eastAsia" w:hAnsi="宋体" w:cs="宋体"/>
          <w:bCs/>
          <w:sz w:val="44"/>
          <w:szCs w:val="44"/>
          <w:lang w:eastAsia="zh-CN"/>
        </w:rPr>
        <w:t>）</w:t>
      </w:r>
    </w:p>
    <w:p w14:paraId="5D3D1A7D">
      <w:pPr>
        <w:pStyle w:val="3"/>
        <w:jc w:val="center"/>
        <w:rPr>
          <w:rFonts w:hint="eastAsia" w:ascii="宋体" w:hAnsi="宋体" w:eastAsia="宋体" w:cs="宋体"/>
          <w:sz w:val="36"/>
          <w:szCs w:val="36"/>
        </w:rPr>
      </w:pPr>
      <w:r>
        <w:rPr>
          <w:rFonts w:hint="eastAsia" w:ascii="宋体" w:hAnsi="宋体" w:eastAsia="宋体" w:cs="宋体"/>
          <w:sz w:val="36"/>
          <w:szCs w:val="36"/>
        </w:rPr>
        <w:t>服务合同</w:t>
      </w:r>
    </w:p>
    <w:p w14:paraId="6689B512">
      <w:pPr>
        <w:pStyle w:val="4"/>
        <w:jc w:val="center"/>
        <w:rPr>
          <w:rFonts w:hint="eastAsia" w:ascii="宋体" w:hAnsi="宋体" w:eastAsia="宋体" w:cs="宋体"/>
          <w:b w:val="0"/>
          <w:bCs/>
        </w:rPr>
      </w:pPr>
      <w:r>
        <w:rPr>
          <w:rFonts w:hint="eastAsia" w:ascii="宋体" w:hAnsi="宋体" w:eastAsia="宋体" w:cs="宋体"/>
          <w:b w:val="0"/>
          <w:bCs/>
        </w:rPr>
        <w:t>（编号：</w:t>
      </w:r>
      <w:r>
        <w:rPr>
          <w:rFonts w:hint="eastAsia" w:ascii="宋体" w:hAnsi="宋体" w:eastAsia="宋体" w:cs="宋体"/>
          <w:b w:val="0"/>
          <w:bCs/>
          <w:lang w:val="en-US" w:eastAsia="zh-CN"/>
        </w:rPr>
        <w:t xml:space="preserve">     </w:t>
      </w:r>
      <w:r>
        <w:rPr>
          <w:rFonts w:hint="eastAsia" w:ascii="宋体" w:hAnsi="宋体" w:eastAsia="宋体" w:cs="宋体"/>
          <w:b w:val="0"/>
          <w:bCs/>
        </w:rPr>
        <w:t>）</w:t>
      </w:r>
    </w:p>
    <w:p w14:paraId="0B5159B6">
      <w:pPr>
        <w:jc w:val="center"/>
        <w:rPr>
          <w:rFonts w:hint="eastAsia" w:ascii="宋体" w:hAnsi="宋体" w:eastAsia="宋体" w:cs="宋体"/>
          <w:b/>
          <w:bCs/>
        </w:rPr>
      </w:pPr>
    </w:p>
    <w:p w14:paraId="7C1951C4">
      <w:pPr>
        <w:rPr>
          <w:rFonts w:hint="eastAsia" w:ascii="宋体" w:hAnsi="宋体" w:eastAsia="宋体" w:cs="宋体"/>
          <w:b/>
          <w:bCs/>
        </w:rPr>
      </w:pPr>
    </w:p>
    <w:p w14:paraId="658C2845">
      <w:pPr>
        <w:jc w:val="center"/>
        <w:rPr>
          <w:rFonts w:hint="eastAsia" w:ascii="宋体" w:hAnsi="宋体" w:eastAsia="宋体" w:cs="宋体"/>
          <w:b/>
          <w:bCs/>
        </w:rPr>
      </w:pPr>
    </w:p>
    <w:p w14:paraId="29DE4CFC">
      <w:pPr>
        <w:jc w:val="center"/>
        <w:rPr>
          <w:rFonts w:hint="eastAsia" w:ascii="宋体" w:hAnsi="宋体" w:eastAsia="宋体" w:cs="宋体"/>
          <w:sz w:val="28"/>
          <w:szCs w:val="36"/>
        </w:rPr>
      </w:pPr>
    </w:p>
    <w:p w14:paraId="785AFCD9">
      <w:pPr>
        <w:spacing w:line="360" w:lineRule="auto"/>
        <w:ind w:left="1" w:firstLine="1960" w:firstLineChars="700"/>
        <w:rPr>
          <w:rFonts w:hint="eastAsia" w:ascii="宋体" w:hAnsi="宋体" w:eastAsia="宋体" w:cs="宋体"/>
          <w:sz w:val="28"/>
        </w:rPr>
      </w:pPr>
      <w:r>
        <w:rPr>
          <w:rFonts w:hint="eastAsia" w:ascii="宋体" w:hAnsi="宋体" w:eastAsia="宋体" w:cs="宋体"/>
          <w:sz w:val="28"/>
          <w:szCs w:val="36"/>
        </w:rPr>
        <w:t>甲方：</w:t>
      </w:r>
    </w:p>
    <w:p w14:paraId="2585E1F2">
      <w:pPr>
        <w:spacing w:line="360" w:lineRule="auto"/>
        <w:ind w:left="1" w:firstLine="1960" w:firstLineChars="700"/>
        <w:rPr>
          <w:rFonts w:hint="eastAsia" w:ascii="宋体" w:hAnsi="宋体" w:eastAsia="宋体" w:cs="宋体"/>
          <w:sz w:val="28"/>
        </w:rPr>
      </w:pPr>
      <w:r>
        <w:rPr>
          <w:rFonts w:hint="eastAsia" w:ascii="宋体" w:hAnsi="宋体" w:eastAsia="宋体" w:cs="宋体"/>
          <w:sz w:val="28"/>
        </w:rPr>
        <w:t>乙方：</w:t>
      </w:r>
    </w:p>
    <w:p w14:paraId="4B59F873">
      <w:pPr>
        <w:pStyle w:val="4"/>
        <w:jc w:val="center"/>
        <w:rPr>
          <w:rFonts w:hint="eastAsia" w:ascii="宋体" w:hAnsi="宋体" w:eastAsia="宋体" w:cs="宋体"/>
          <w:b w:val="0"/>
          <w:bCs/>
        </w:rPr>
      </w:pPr>
    </w:p>
    <w:p w14:paraId="4ABCB971">
      <w:pPr>
        <w:pStyle w:val="4"/>
        <w:jc w:val="center"/>
        <w:rPr>
          <w:rFonts w:hint="eastAsia" w:ascii="宋体" w:hAnsi="宋体" w:eastAsia="宋体" w:cs="宋体"/>
          <w:b w:val="0"/>
          <w:bCs/>
        </w:rPr>
      </w:pPr>
      <w:r>
        <w:rPr>
          <w:rFonts w:hint="eastAsia" w:ascii="宋体" w:hAnsi="宋体" w:eastAsia="宋体" w:cs="宋体"/>
          <w:b w:val="0"/>
          <w:bCs/>
        </w:rPr>
        <w:t>年</w:t>
      </w:r>
      <w:r>
        <w:rPr>
          <w:rFonts w:hint="eastAsia" w:ascii="宋体" w:hAnsi="宋体" w:eastAsia="宋体" w:cs="宋体"/>
          <w:b w:val="0"/>
          <w:bCs/>
          <w:lang w:val="en-US" w:eastAsia="zh-CN"/>
        </w:rPr>
        <w:t xml:space="preserve">    </w:t>
      </w:r>
      <w:r>
        <w:rPr>
          <w:rFonts w:hint="eastAsia" w:ascii="宋体" w:hAnsi="宋体" w:eastAsia="宋体" w:cs="宋体"/>
          <w:b w:val="0"/>
          <w:bCs/>
        </w:rPr>
        <w:t>月</w:t>
      </w:r>
    </w:p>
    <w:p w14:paraId="6AE3B728">
      <w:pPr>
        <w:pStyle w:val="4"/>
        <w:jc w:val="center"/>
        <w:rPr>
          <w:rFonts w:hint="eastAsia" w:ascii="宋体" w:hAnsi="宋体" w:eastAsia="宋体" w:cs="宋体"/>
          <w:b w:val="0"/>
          <w:bCs/>
        </w:rPr>
        <w:sectPr>
          <w:pgSz w:w="11906" w:h="16838"/>
          <w:pgMar w:top="1610" w:right="1800" w:bottom="1440" w:left="1800" w:header="851" w:footer="992" w:gutter="0"/>
          <w:pgNumType w:start="1"/>
          <w:cols w:space="720" w:num="1"/>
          <w:docGrid w:type="lines" w:linePitch="312" w:charSpace="0"/>
        </w:sectPr>
      </w:pPr>
      <w:r>
        <w:rPr>
          <w:rFonts w:hint="eastAsia" w:ascii="宋体" w:hAnsi="宋体" w:eastAsia="宋体" w:cs="宋体"/>
          <w:b w:val="0"/>
          <w:bCs/>
        </w:rPr>
        <w:t>中国 西安</w:t>
      </w:r>
    </w:p>
    <w:p w14:paraId="462A2EB3">
      <w:pPr>
        <w:jc w:val="center"/>
        <w:rPr>
          <w:rFonts w:hint="eastAsia" w:ascii="宋体" w:hAnsi="宋体" w:eastAsia="宋体" w:cs="宋体"/>
          <w:sz w:val="28"/>
          <w:szCs w:val="28"/>
        </w:rPr>
      </w:pPr>
      <w:r>
        <w:rPr>
          <w:rFonts w:hint="eastAsia" w:ascii="宋体" w:hAnsi="宋体" w:eastAsia="宋体" w:cs="宋体"/>
          <w:b/>
          <w:bCs/>
          <w:sz w:val="36"/>
          <w:szCs w:val="36"/>
        </w:rPr>
        <w:t>服务合同</w:t>
      </w:r>
    </w:p>
    <w:p w14:paraId="7A6475A6">
      <w:pPr>
        <w:rPr>
          <w:rFonts w:hint="eastAsia" w:ascii="宋体" w:hAnsi="宋体" w:eastAsia="宋体" w:cs="宋体"/>
          <w:sz w:val="28"/>
          <w:szCs w:val="28"/>
          <w:u w:val="single"/>
          <w:lang w:val="en-US" w:eastAsia="zh-CN"/>
        </w:rPr>
      </w:pPr>
      <w:r>
        <w:rPr>
          <w:rFonts w:hint="eastAsia" w:ascii="宋体" w:hAnsi="宋体" w:eastAsia="宋体" w:cs="宋体"/>
          <w:sz w:val="28"/>
          <w:szCs w:val="28"/>
        </w:rPr>
        <w:t>甲方∶</w:t>
      </w:r>
      <w:r>
        <w:rPr>
          <w:rFonts w:hint="eastAsia" w:ascii="宋体" w:hAnsi="宋体" w:eastAsia="宋体" w:cs="宋体"/>
          <w:sz w:val="28"/>
          <w:szCs w:val="28"/>
          <w:u w:val="single"/>
          <w:lang w:val="en-US" w:eastAsia="zh-CN"/>
        </w:rPr>
        <w:t xml:space="preserve">                 </w:t>
      </w:r>
    </w:p>
    <w:p w14:paraId="3FBC2376">
      <w:pPr>
        <w:rPr>
          <w:rFonts w:hint="eastAsia" w:ascii="宋体" w:hAnsi="宋体" w:eastAsia="宋体" w:cs="宋体"/>
          <w:sz w:val="28"/>
          <w:szCs w:val="28"/>
        </w:rPr>
      </w:pPr>
      <w:r>
        <w:rPr>
          <w:rFonts w:hint="eastAsia" w:ascii="宋体" w:hAnsi="宋体" w:eastAsia="宋体" w:cs="宋体"/>
          <w:sz w:val="28"/>
          <w:szCs w:val="28"/>
        </w:rPr>
        <w:t>乙方∶</w:t>
      </w:r>
      <w:r>
        <w:rPr>
          <w:rFonts w:hint="eastAsia" w:ascii="宋体" w:hAnsi="宋体" w:eastAsia="宋体" w:cs="宋体"/>
          <w:sz w:val="28"/>
          <w:szCs w:val="28"/>
          <w:u w:val="single"/>
          <w:lang w:val="en-US" w:eastAsia="zh-CN"/>
        </w:rPr>
        <w:t xml:space="preserve">                 </w:t>
      </w:r>
    </w:p>
    <w:p w14:paraId="3010A727">
      <w:pPr>
        <w:ind w:firstLine="560" w:firstLineChars="200"/>
        <w:rPr>
          <w:rFonts w:hint="eastAsia" w:ascii="宋体" w:hAnsi="宋体" w:eastAsia="宋体" w:cs="宋体"/>
          <w:sz w:val="28"/>
          <w:szCs w:val="28"/>
        </w:rPr>
      </w:pPr>
      <w:r>
        <w:rPr>
          <w:rFonts w:hint="eastAsia" w:ascii="宋体" w:hAnsi="宋体" w:eastAsia="宋体" w:cs="宋体"/>
          <w:sz w:val="28"/>
          <w:szCs w:val="28"/>
        </w:rPr>
        <w:t>就甲方所需服务，在西安市财政局的监督管理下，按照政府采购程序组织竞争性磋商，确定乙方为</w:t>
      </w:r>
      <w:r>
        <w:rPr>
          <w:rFonts w:hint="eastAsia" w:ascii="宋体" w:hAnsi="宋体" w:eastAsia="宋体" w:cs="宋体"/>
          <w:sz w:val="28"/>
          <w:szCs w:val="28"/>
          <w:lang w:eastAsia="zh-CN"/>
        </w:rPr>
        <w:t>中心及欧亚经济论坛网站运营维护服务</w:t>
      </w:r>
      <w:r>
        <w:rPr>
          <w:rFonts w:hint="eastAsia" w:hAnsi="宋体" w:cs="宋体"/>
          <w:sz w:val="28"/>
          <w:szCs w:val="28"/>
          <w:lang w:eastAsia="zh-CN"/>
        </w:rPr>
        <w:t>（</w:t>
      </w:r>
      <w:r>
        <w:rPr>
          <w:rFonts w:hint="eastAsia" w:hAnsi="宋体" w:cs="宋体"/>
          <w:sz w:val="28"/>
          <w:szCs w:val="28"/>
          <w:lang w:val="en-US" w:eastAsia="zh-CN"/>
        </w:rPr>
        <w:t>三次</w:t>
      </w:r>
      <w:r>
        <w:rPr>
          <w:rFonts w:hint="eastAsia" w:hAnsi="宋体" w:cs="宋体"/>
          <w:sz w:val="28"/>
          <w:szCs w:val="28"/>
          <w:lang w:eastAsia="zh-CN"/>
        </w:rPr>
        <w:t>）</w:t>
      </w:r>
      <w:r>
        <w:rPr>
          <w:rFonts w:hint="eastAsia" w:ascii="宋体" w:hAnsi="宋体" w:eastAsia="宋体" w:cs="宋体"/>
          <w:sz w:val="28"/>
          <w:szCs w:val="28"/>
        </w:rPr>
        <w:t>（项目编号:</w:t>
      </w:r>
      <w:r>
        <w:rPr>
          <w:rFonts w:hint="eastAsia" w:ascii="宋体" w:hAnsi="宋体" w:eastAsia="宋体" w:cs="宋体"/>
          <w:sz w:val="28"/>
          <w:szCs w:val="28"/>
          <w:lang w:val="en-US" w:eastAsia="zh-CN"/>
        </w:rPr>
        <w:t>ZJZC2026060401-01</w:t>
      </w:r>
      <w:r>
        <w:rPr>
          <w:rFonts w:hint="eastAsia" w:hAnsi="宋体" w:cs="宋体"/>
          <w:sz w:val="28"/>
          <w:szCs w:val="28"/>
          <w:lang w:val="en-US" w:eastAsia="zh-CN"/>
        </w:rPr>
        <w:t>.1B2</w:t>
      </w:r>
      <w:r>
        <w:rPr>
          <w:rFonts w:hint="eastAsia" w:ascii="宋体" w:hAnsi="宋体" w:eastAsia="宋体" w:cs="宋体"/>
          <w:sz w:val="28"/>
          <w:szCs w:val="28"/>
        </w:rPr>
        <w:t>)成交供应商。</w:t>
      </w:r>
    </w:p>
    <w:p w14:paraId="2D3A526F">
      <w:pPr>
        <w:ind w:firstLine="560" w:firstLineChars="200"/>
        <w:rPr>
          <w:rFonts w:hint="eastAsia" w:ascii="宋体" w:hAnsi="宋体" w:eastAsia="宋体" w:cs="宋体"/>
        </w:rPr>
      </w:pPr>
      <w:r>
        <w:rPr>
          <w:rFonts w:hint="eastAsia" w:ascii="宋体" w:hAnsi="宋体" w:eastAsia="宋体" w:cs="宋体"/>
          <w:sz w:val="28"/>
          <w:szCs w:val="28"/>
        </w:rPr>
        <w:t>依据《中华人民共和国政府采购法》《中华人民共和国民法典》以及竞争性磋商文件，成交通知书，经甲、乙双方协商，达成如下合同条款。</w:t>
      </w:r>
      <w:bookmarkStart w:id="2" w:name="_GoBack"/>
      <w:bookmarkEnd w:id="2"/>
    </w:p>
    <w:p w14:paraId="01FB7849">
      <w:pPr>
        <w:numPr>
          <w:ilvl w:val="0"/>
          <w:numId w:val="0"/>
        </w:numPr>
        <w:rPr>
          <w:rFonts w:hint="eastAsia" w:ascii="宋体" w:hAnsi="宋体" w:eastAsia="宋体" w:cs="宋体"/>
          <w:b/>
          <w:bCs/>
          <w:sz w:val="32"/>
          <w:szCs w:val="32"/>
          <w:highlight w:val="none"/>
        </w:rPr>
      </w:pPr>
      <w:r>
        <w:rPr>
          <w:rFonts w:hint="eastAsia" w:ascii="宋体" w:hAnsi="宋体" w:eastAsia="宋体" w:cs="宋体"/>
          <w:b/>
          <w:bCs/>
          <w:sz w:val="32"/>
          <w:szCs w:val="32"/>
          <w:highlight w:val="none"/>
          <w:lang w:val="en-US" w:eastAsia="zh-CN"/>
        </w:rPr>
        <w:t>一、</w:t>
      </w:r>
      <w:r>
        <w:rPr>
          <w:rFonts w:hint="eastAsia" w:ascii="宋体" w:hAnsi="宋体" w:eastAsia="宋体" w:cs="宋体"/>
          <w:b/>
          <w:bCs/>
          <w:sz w:val="32"/>
          <w:szCs w:val="32"/>
          <w:highlight w:val="none"/>
        </w:rPr>
        <w:t>服务内容</w:t>
      </w:r>
      <w:r>
        <w:rPr>
          <w:rFonts w:hint="eastAsia" w:ascii="宋体" w:hAnsi="宋体" w:eastAsia="宋体" w:cs="宋体"/>
          <w:b/>
          <w:bCs/>
          <w:sz w:val="32"/>
          <w:szCs w:val="32"/>
          <w:highlight w:val="none"/>
          <w:lang w:val="en-US" w:eastAsia="zh-CN"/>
        </w:rPr>
        <w:t>及要求</w:t>
      </w:r>
    </w:p>
    <w:p w14:paraId="10CAB477">
      <w:pPr>
        <w:pStyle w:val="11"/>
        <w:spacing w:line="580" w:lineRule="exact"/>
        <w:ind w:firstLine="643"/>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一</w:t>
      </w:r>
      <w:r>
        <w:rPr>
          <w:rFonts w:hint="eastAsia" w:ascii="宋体" w:hAnsi="宋体" w:eastAsia="宋体" w:cs="宋体"/>
          <w:b/>
          <w:bCs/>
          <w:sz w:val="28"/>
          <w:szCs w:val="28"/>
          <w:lang w:eastAsia="zh-CN"/>
        </w:rPr>
        <w:t>）</w:t>
      </w:r>
      <w:r>
        <w:rPr>
          <w:rFonts w:hint="eastAsia" w:ascii="宋体" w:hAnsi="宋体" w:eastAsia="宋体" w:cs="宋体"/>
          <w:b/>
          <w:bCs/>
          <w:sz w:val="28"/>
          <w:szCs w:val="28"/>
        </w:rPr>
        <w:t>服务内容</w:t>
      </w:r>
    </w:p>
    <w:p w14:paraId="485E390D">
      <w:pPr>
        <w:spacing w:line="576" w:lineRule="exact"/>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1.做好中心网站、论坛网站平台优化升级及运营维护</w:t>
      </w:r>
      <w:r>
        <w:rPr>
          <w:rFonts w:hint="eastAsia" w:ascii="宋体" w:hAnsi="宋体" w:eastAsia="宋体" w:cs="宋体"/>
          <w:sz w:val="28"/>
          <w:szCs w:val="28"/>
          <w:lang w:val="en-US" w:eastAsia="zh-CN"/>
        </w:rPr>
        <w:t>。根据政府网站建设标准，做好中心网站及论坛完整的页面优化、视觉设计、运营维护等;做好栏目信息内容的采集、编制和发布;做好后台管理、系统维护、错敏纠正等工作。</w:t>
      </w:r>
    </w:p>
    <w:p w14:paraId="40CFA4ED">
      <w:pPr>
        <w:spacing w:line="576" w:lineRule="exact"/>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2.做好中心网站、论坛网站信息采集推送</w:t>
      </w:r>
      <w:r>
        <w:rPr>
          <w:rFonts w:hint="eastAsia" w:ascii="宋体" w:hAnsi="宋体" w:eastAsia="宋体" w:cs="宋体"/>
          <w:sz w:val="28"/>
          <w:szCs w:val="28"/>
          <w:lang w:val="en-US" w:eastAsia="zh-CN"/>
        </w:rPr>
        <w:t>。以欧亚经济论坛智库会议、设计周、外出推介及中心年度重点工作等，以及“一带一路”建设动态、国内外会展资讯为重点，做好中心网站、论坛网站栏目信息内容的采集、编制和发布等工作。</w:t>
      </w:r>
    </w:p>
    <w:p w14:paraId="698AEBEA">
      <w:pPr>
        <w:spacing w:line="576" w:lineRule="exact"/>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3.协助做好中心网站、论坛网站网络安全责任制落实</w:t>
      </w:r>
      <w:r>
        <w:rPr>
          <w:rFonts w:hint="eastAsia" w:ascii="宋体" w:hAnsi="宋体" w:eastAsia="宋体" w:cs="宋体"/>
          <w:sz w:val="28"/>
          <w:szCs w:val="28"/>
          <w:lang w:val="en-US" w:eastAsia="zh-CN"/>
        </w:rPr>
        <w:t>。围绕落实网络意识形态责任制，协助做好2个网站的网络安全监管、网络负面信息检测处置、备案审查、安全审查、网络防范、等级保护（配合）等工作。</w:t>
      </w:r>
    </w:p>
    <w:p w14:paraId="579ED703">
      <w:pPr>
        <w:pStyle w:val="11"/>
        <w:numPr>
          <w:ilvl w:val="0"/>
          <w:numId w:val="0"/>
        </w:numPr>
        <w:spacing w:line="580" w:lineRule="exact"/>
        <w:ind w:left="420" w:leftChars="0" w:firstLine="281" w:firstLineChars="100"/>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（二）</w:t>
      </w:r>
      <w:r>
        <w:rPr>
          <w:rFonts w:hint="eastAsia" w:ascii="宋体" w:hAnsi="宋体" w:eastAsia="宋体" w:cs="宋体"/>
          <w:b/>
          <w:bCs/>
          <w:sz w:val="28"/>
          <w:szCs w:val="28"/>
        </w:rPr>
        <w:t>服务要求</w:t>
      </w:r>
    </w:p>
    <w:tbl>
      <w:tblPr>
        <w:tblStyle w:val="9"/>
        <w:tblpPr w:leftFromText="180" w:rightFromText="180" w:vertAnchor="text" w:horzAnchor="page" w:tblpX="1659" w:tblpY="168"/>
        <w:tblOverlap w:val="never"/>
        <w:tblW w:w="8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1190"/>
        <w:gridCol w:w="3017"/>
        <w:gridCol w:w="2225"/>
        <w:gridCol w:w="1585"/>
      </w:tblGrid>
      <w:tr w14:paraId="24261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71" w:type="dxa"/>
            <w:noWrap w:val="0"/>
            <w:vAlign w:val="center"/>
          </w:tcPr>
          <w:p w14:paraId="346C7A6B">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序号</w:t>
            </w:r>
          </w:p>
        </w:tc>
        <w:tc>
          <w:tcPr>
            <w:tcW w:w="1190" w:type="dxa"/>
            <w:noWrap w:val="0"/>
            <w:vAlign w:val="center"/>
          </w:tcPr>
          <w:p w14:paraId="57AC91D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项目名称</w:t>
            </w:r>
          </w:p>
        </w:tc>
        <w:tc>
          <w:tcPr>
            <w:tcW w:w="3017" w:type="dxa"/>
            <w:noWrap w:val="0"/>
            <w:vAlign w:val="center"/>
          </w:tcPr>
          <w:p w14:paraId="599A627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服务内容</w:t>
            </w:r>
          </w:p>
        </w:tc>
        <w:tc>
          <w:tcPr>
            <w:tcW w:w="2225" w:type="dxa"/>
            <w:noWrap w:val="0"/>
            <w:vAlign w:val="center"/>
          </w:tcPr>
          <w:p w14:paraId="2FA3F7B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服务规格</w:t>
            </w:r>
          </w:p>
        </w:tc>
        <w:tc>
          <w:tcPr>
            <w:tcW w:w="1585" w:type="dxa"/>
            <w:noWrap w:val="0"/>
            <w:vAlign w:val="center"/>
          </w:tcPr>
          <w:p w14:paraId="7685CA94">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备注</w:t>
            </w:r>
          </w:p>
        </w:tc>
      </w:tr>
      <w:tr w14:paraId="67216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771" w:type="dxa"/>
            <w:noWrap w:val="0"/>
            <w:vAlign w:val="center"/>
          </w:tcPr>
          <w:p w14:paraId="3C8F760A">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1</w:t>
            </w:r>
          </w:p>
        </w:tc>
        <w:tc>
          <w:tcPr>
            <w:tcW w:w="1190" w:type="dxa"/>
            <w:noWrap w:val="0"/>
            <w:vAlign w:val="center"/>
          </w:tcPr>
          <w:p w14:paraId="0F95C552">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网站页面优化</w:t>
            </w:r>
          </w:p>
        </w:tc>
        <w:tc>
          <w:tcPr>
            <w:tcW w:w="3017" w:type="dxa"/>
            <w:noWrap w:val="0"/>
            <w:vAlign w:val="center"/>
          </w:tcPr>
          <w:p w14:paraId="34D0EB51">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合理规划网站推送内容，使网站表现形式及宣传内容达到推广最佳效果。</w:t>
            </w:r>
          </w:p>
        </w:tc>
        <w:tc>
          <w:tcPr>
            <w:tcW w:w="2225" w:type="dxa"/>
            <w:noWrap w:val="0"/>
            <w:vAlign w:val="center"/>
          </w:tcPr>
          <w:p w14:paraId="472C43A4">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全年优化次数不少于2次；优化覆盖率100%。</w:t>
            </w:r>
          </w:p>
        </w:tc>
        <w:tc>
          <w:tcPr>
            <w:tcW w:w="1585" w:type="dxa"/>
            <w:noWrap w:val="0"/>
            <w:vAlign w:val="center"/>
          </w:tcPr>
          <w:p w14:paraId="67D5764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4"/>
                <w:szCs w:val="24"/>
                <w:lang w:val="en-US" w:eastAsia="zh-CN"/>
              </w:rPr>
            </w:pPr>
          </w:p>
        </w:tc>
      </w:tr>
      <w:tr w14:paraId="3EC4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771" w:type="dxa"/>
            <w:noWrap w:val="0"/>
            <w:vAlign w:val="center"/>
          </w:tcPr>
          <w:p w14:paraId="0A64DE78">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2</w:t>
            </w:r>
          </w:p>
        </w:tc>
        <w:tc>
          <w:tcPr>
            <w:tcW w:w="1190" w:type="dxa"/>
            <w:noWrap w:val="0"/>
            <w:vAlign w:val="center"/>
          </w:tcPr>
          <w:p w14:paraId="3EF35626">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视觉设计</w:t>
            </w:r>
          </w:p>
        </w:tc>
        <w:tc>
          <w:tcPr>
            <w:tcW w:w="3017" w:type="dxa"/>
            <w:noWrap w:val="0"/>
            <w:vAlign w:val="center"/>
          </w:tcPr>
          <w:p w14:paraId="2AF6F872">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color w:val="000000"/>
                <w:sz w:val="24"/>
                <w:szCs w:val="24"/>
                <w:vertAlign w:val="baseline"/>
                <w:lang w:val="en-US" w:eastAsia="zh-CN"/>
              </w:rPr>
            </w:pPr>
            <w:r>
              <w:rPr>
                <w:rFonts w:hint="eastAsia" w:ascii="宋体" w:hAnsi="宋体" w:eastAsia="宋体" w:cs="宋体"/>
                <w:i w:val="0"/>
                <w:color w:val="000000"/>
                <w:kern w:val="0"/>
                <w:sz w:val="24"/>
                <w:szCs w:val="24"/>
                <w:u w:val="none"/>
                <w:lang w:val="en-US" w:eastAsia="zh-CN" w:bidi="ar"/>
              </w:rPr>
              <w:t>对推送信息进行图文编辑、文案修饰、配图包装，增强推文的视觉感染力。</w:t>
            </w:r>
          </w:p>
        </w:tc>
        <w:tc>
          <w:tcPr>
            <w:tcW w:w="2225" w:type="dxa"/>
            <w:noWrap w:val="0"/>
            <w:vAlign w:val="center"/>
          </w:tcPr>
          <w:p w14:paraId="4B6CE35E">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sz w:val="24"/>
                <w:szCs w:val="24"/>
                <w:lang w:val="en-US" w:eastAsia="zh-CN"/>
              </w:rPr>
              <w:t>同稿件发布数量一致，视觉优化覆盖率不低于100%。</w:t>
            </w:r>
          </w:p>
        </w:tc>
        <w:tc>
          <w:tcPr>
            <w:tcW w:w="1585" w:type="dxa"/>
            <w:noWrap w:val="0"/>
            <w:vAlign w:val="center"/>
          </w:tcPr>
          <w:p w14:paraId="56F045C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14:paraId="7BAC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771" w:type="dxa"/>
            <w:noWrap w:val="0"/>
            <w:vAlign w:val="center"/>
          </w:tcPr>
          <w:p w14:paraId="168E04D0">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3</w:t>
            </w:r>
          </w:p>
        </w:tc>
        <w:tc>
          <w:tcPr>
            <w:tcW w:w="1190" w:type="dxa"/>
            <w:noWrap w:val="0"/>
            <w:vAlign w:val="center"/>
          </w:tcPr>
          <w:p w14:paraId="542C20B7">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运营维护</w:t>
            </w:r>
          </w:p>
        </w:tc>
        <w:tc>
          <w:tcPr>
            <w:tcW w:w="3017" w:type="dxa"/>
            <w:noWrap w:val="0"/>
            <w:vAlign w:val="center"/>
          </w:tcPr>
          <w:p w14:paraId="2E3A71BD">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包括但不限于网站的内容建设、用户管理及日常数据统计等。</w:t>
            </w:r>
          </w:p>
        </w:tc>
        <w:tc>
          <w:tcPr>
            <w:tcW w:w="2225" w:type="dxa"/>
            <w:noWrap w:val="0"/>
            <w:vAlign w:val="center"/>
          </w:tcPr>
          <w:p w14:paraId="6DECE957">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color w:val="000000"/>
                <w:sz w:val="24"/>
                <w:szCs w:val="24"/>
                <w:vertAlign w:val="baseline"/>
                <w:lang w:val="en-US" w:eastAsia="zh-CN"/>
              </w:rPr>
            </w:pPr>
            <w:r>
              <w:rPr>
                <w:rFonts w:hint="eastAsia" w:ascii="宋体" w:hAnsi="宋体" w:eastAsia="宋体" w:cs="宋体"/>
                <w:sz w:val="24"/>
                <w:szCs w:val="24"/>
                <w:lang w:val="en-US" w:eastAsia="zh-CN"/>
              </w:rPr>
              <w:t>全年进行；运维全年覆盖率100%。</w:t>
            </w:r>
          </w:p>
        </w:tc>
        <w:tc>
          <w:tcPr>
            <w:tcW w:w="1585" w:type="dxa"/>
            <w:noWrap w:val="0"/>
            <w:vAlign w:val="center"/>
          </w:tcPr>
          <w:p w14:paraId="1A5B185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color w:val="000000"/>
                <w:sz w:val="24"/>
                <w:szCs w:val="24"/>
                <w:vertAlign w:val="baseline"/>
                <w:lang w:val="en-US" w:eastAsia="zh-CN"/>
              </w:rPr>
            </w:pPr>
          </w:p>
        </w:tc>
      </w:tr>
      <w:tr w14:paraId="2C660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 w:hRule="atLeast"/>
        </w:trPr>
        <w:tc>
          <w:tcPr>
            <w:tcW w:w="771" w:type="dxa"/>
            <w:noWrap w:val="0"/>
            <w:vAlign w:val="center"/>
          </w:tcPr>
          <w:p w14:paraId="7E7AA5C2">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4</w:t>
            </w:r>
          </w:p>
        </w:tc>
        <w:tc>
          <w:tcPr>
            <w:tcW w:w="1190" w:type="dxa"/>
            <w:noWrap w:val="0"/>
            <w:vAlign w:val="center"/>
          </w:tcPr>
          <w:p w14:paraId="1E1C2FC5">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栏目信息内容的采集、编制和发布</w:t>
            </w:r>
          </w:p>
        </w:tc>
        <w:tc>
          <w:tcPr>
            <w:tcW w:w="3017" w:type="dxa"/>
            <w:noWrap w:val="0"/>
            <w:vAlign w:val="center"/>
          </w:tcPr>
          <w:p w14:paraId="262DFF5A">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color w:val="000000"/>
                <w:sz w:val="24"/>
                <w:szCs w:val="24"/>
                <w:vertAlign w:val="baseline"/>
                <w:lang w:val="en-US" w:eastAsia="zh-CN"/>
              </w:rPr>
            </w:pPr>
            <w:r>
              <w:rPr>
                <w:rFonts w:hint="eastAsia" w:ascii="宋体" w:hAnsi="宋体" w:eastAsia="宋体" w:cs="宋体"/>
                <w:i w:val="0"/>
                <w:color w:val="000000"/>
                <w:kern w:val="0"/>
                <w:sz w:val="24"/>
                <w:szCs w:val="24"/>
                <w:u w:val="none"/>
                <w:lang w:val="en-US" w:eastAsia="zh-CN" w:bidi="ar"/>
              </w:rPr>
              <w:t>根据网站的宣传特点、中心工作实际和新闻传播特点进行信息的采集、编制和发布，使其具备较高的新闻性和传播价值。</w:t>
            </w:r>
          </w:p>
        </w:tc>
        <w:tc>
          <w:tcPr>
            <w:tcW w:w="2225" w:type="dxa"/>
            <w:noWrap w:val="0"/>
            <w:vAlign w:val="center"/>
          </w:tcPr>
          <w:p w14:paraId="795C57FB">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sz w:val="24"/>
                <w:szCs w:val="24"/>
                <w:lang w:val="en-US" w:eastAsia="zh-CN"/>
              </w:rPr>
              <w:t>全年采集、编制、发布稿件不少于800篇；重点活动稿件随时发布，不限数量。</w:t>
            </w:r>
          </w:p>
        </w:tc>
        <w:tc>
          <w:tcPr>
            <w:tcW w:w="1585" w:type="dxa"/>
            <w:noWrap w:val="0"/>
            <w:vAlign w:val="center"/>
          </w:tcPr>
          <w:p w14:paraId="021C496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14:paraId="4C39C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71" w:type="dxa"/>
            <w:noWrap w:val="0"/>
            <w:vAlign w:val="center"/>
          </w:tcPr>
          <w:p w14:paraId="72741268">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5</w:t>
            </w:r>
          </w:p>
        </w:tc>
        <w:tc>
          <w:tcPr>
            <w:tcW w:w="1190" w:type="dxa"/>
            <w:noWrap w:val="0"/>
            <w:vAlign w:val="center"/>
          </w:tcPr>
          <w:p w14:paraId="0D0409BB">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后台管理</w:t>
            </w:r>
          </w:p>
        </w:tc>
        <w:tc>
          <w:tcPr>
            <w:tcW w:w="3017" w:type="dxa"/>
            <w:noWrap w:val="0"/>
            <w:vAlign w:val="center"/>
          </w:tcPr>
          <w:p w14:paraId="3210231F">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color w:val="000000"/>
                <w:sz w:val="24"/>
                <w:szCs w:val="24"/>
                <w:vertAlign w:val="baseline"/>
                <w:lang w:val="en-US" w:eastAsia="zh-CN"/>
              </w:rPr>
            </w:pPr>
            <w:r>
              <w:rPr>
                <w:rFonts w:hint="eastAsia" w:ascii="宋体" w:hAnsi="宋体" w:eastAsia="宋体" w:cs="宋体"/>
                <w:sz w:val="24"/>
                <w:szCs w:val="24"/>
              </w:rPr>
              <w:t>妥善保管账号、密码等各类资料，保障数据存储与传输过程中的安全加密。</w:t>
            </w:r>
          </w:p>
        </w:tc>
        <w:tc>
          <w:tcPr>
            <w:tcW w:w="2225" w:type="dxa"/>
            <w:noWrap w:val="0"/>
            <w:vAlign w:val="center"/>
          </w:tcPr>
          <w:p w14:paraId="31147B2A">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sz w:val="24"/>
                <w:szCs w:val="24"/>
                <w:lang w:val="en-US"/>
              </w:rPr>
            </w:pPr>
            <w:r>
              <w:rPr>
                <w:rFonts w:hint="eastAsia" w:ascii="宋体" w:hAnsi="宋体" w:eastAsia="宋体" w:cs="宋体"/>
                <w:sz w:val="24"/>
                <w:szCs w:val="24"/>
                <w:lang w:val="en-US" w:eastAsia="zh-CN"/>
              </w:rPr>
              <w:t>全年进行；后台管理范围100%。</w:t>
            </w:r>
          </w:p>
        </w:tc>
        <w:tc>
          <w:tcPr>
            <w:tcW w:w="1585" w:type="dxa"/>
            <w:noWrap w:val="0"/>
            <w:vAlign w:val="center"/>
          </w:tcPr>
          <w:p w14:paraId="3EB456F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4"/>
                <w:szCs w:val="24"/>
              </w:rPr>
            </w:pPr>
          </w:p>
        </w:tc>
      </w:tr>
      <w:tr w14:paraId="05811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71" w:type="dxa"/>
            <w:noWrap w:val="0"/>
            <w:vAlign w:val="center"/>
          </w:tcPr>
          <w:p w14:paraId="460882A6">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6</w:t>
            </w:r>
          </w:p>
        </w:tc>
        <w:tc>
          <w:tcPr>
            <w:tcW w:w="1190" w:type="dxa"/>
            <w:noWrap w:val="0"/>
            <w:vAlign w:val="center"/>
          </w:tcPr>
          <w:p w14:paraId="35847EB2">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错敏纠正</w:t>
            </w:r>
          </w:p>
        </w:tc>
        <w:tc>
          <w:tcPr>
            <w:tcW w:w="3017" w:type="dxa"/>
            <w:noWrap w:val="0"/>
            <w:vAlign w:val="center"/>
          </w:tcPr>
          <w:p w14:paraId="7C0FB59E">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rPr>
              <w:t>通过</w:t>
            </w:r>
            <w:r>
              <w:rPr>
                <w:rFonts w:hint="eastAsia" w:ascii="宋体" w:hAnsi="宋体" w:eastAsia="宋体" w:cs="宋体"/>
                <w:sz w:val="24"/>
                <w:szCs w:val="24"/>
                <w:lang w:val="en-US" w:eastAsia="zh-CN"/>
              </w:rPr>
              <w:t>人工及</w:t>
            </w:r>
            <w:r>
              <w:rPr>
                <w:rFonts w:hint="eastAsia" w:ascii="宋体" w:hAnsi="宋体" w:eastAsia="宋体" w:cs="宋体"/>
                <w:sz w:val="24"/>
                <w:szCs w:val="24"/>
              </w:rPr>
              <w:t>技术手段纠正内容中的错误和敏感词，‌确保信息的准确性和合规性。‌</w:t>
            </w:r>
          </w:p>
        </w:tc>
        <w:tc>
          <w:tcPr>
            <w:tcW w:w="2225" w:type="dxa"/>
            <w:noWrap w:val="0"/>
            <w:vAlign w:val="center"/>
          </w:tcPr>
          <w:p w14:paraId="2A47615D">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sz w:val="24"/>
                <w:szCs w:val="24"/>
                <w:lang w:val="en-US"/>
              </w:rPr>
            </w:pPr>
            <w:r>
              <w:rPr>
                <w:rFonts w:hint="eastAsia" w:ascii="宋体" w:hAnsi="宋体" w:eastAsia="宋体" w:cs="宋体"/>
                <w:sz w:val="24"/>
                <w:szCs w:val="24"/>
                <w:lang w:val="en-US" w:eastAsia="zh-CN"/>
              </w:rPr>
              <w:t>原创稿件全部进行错敏词纠正，纠错范围100%。</w:t>
            </w:r>
          </w:p>
        </w:tc>
        <w:tc>
          <w:tcPr>
            <w:tcW w:w="1585" w:type="dxa"/>
            <w:noWrap w:val="0"/>
            <w:vAlign w:val="center"/>
          </w:tcPr>
          <w:p w14:paraId="0178D52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4"/>
                <w:szCs w:val="24"/>
              </w:rPr>
            </w:pPr>
          </w:p>
        </w:tc>
      </w:tr>
      <w:tr w14:paraId="6358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771" w:type="dxa"/>
            <w:noWrap w:val="0"/>
            <w:vAlign w:val="center"/>
          </w:tcPr>
          <w:p w14:paraId="32DF9BEB">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7</w:t>
            </w:r>
          </w:p>
        </w:tc>
        <w:tc>
          <w:tcPr>
            <w:tcW w:w="1190" w:type="dxa"/>
            <w:noWrap w:val="0"/>
            <w:vAlign w:val="center"/>
          </w:tcPr>
          <w:p w14:paraId="1702B70D">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数据日常分析</w:t>
            </w:r>
          </w:p>
        </w:tc>
        <w:tc>
          <w:tcPr>
            <w:tcW w:w="3017" w:type="dxa"/>
            <w:noWrap w:val="0"/>
            <w:vAlign w:val="center"/>
          </w:tcPr>
          <w:p w14:paraId="2DEF90C1">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sz w:val="24"/>
                <w:szCs w:val="24"/>
              </w:rPr>
            </w:pPr>
            <w:r>
              <w:rPr>
                <w:rFonts w:hint="eastAsia" w:ascii="宋体" w:hAnsi="宋体" w:eastAsia="宋体" w:cs="宋体"/>
                <w:sz w:val="24"/>
                <w:szCs w:val="24"/>
                <w:lang w:val="en-US" w:eastAsia="zh-CN"/>
              </w:rPr>
              <w:t>对网站的数据进行日常分析和重点分析总结。</w:t>
            </w:r>
          </w:p>
        </w:tc>
        <w:tc>
          <w:tcPr>
            <w:tcW w:w="2225" w:type="dxa"/>
            <w:noWrap w:val="0"/>
            <w:vAlign w:val="center"/>
          </w:tcPr>
          <w:p w14:paraId="010AEB65">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单月总结共12次；全年总结1次。重点稿件单篇阅读量不低于4000。</w:t>
            </w:r>
          </w:p>
        </w:tc>
        <w:tc>
          <w:tcPr>
            <w:tcW w:w="1585" w:type="dxa"/>
            <w:noWrap w:val="0"/>
            <w:vAlign w:val="center"/>
          </w:tcPr>
          <w:p w14:paraId="612AF59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4"/>
                <w:szCs w:val="24"/>
                <w:lang w:val="en-US" w:eastAsia="zh-CN"/>
              </w:rPr>
            </w:pPr>
          </w:p>
        </w:tc>
      </w:tr>
      <w:tr w14:paraId="4223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771" w:type="dxa"/>
            <w:noWrap w:val="0"/>
            <w:vAlign w:val="center"/>
          </w:tcPr>
          <w:p w14:paraId="7CC50902">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8</w:t>
            </w:r>
          </w:p>
        </w:tc>
        <w:tc>
          <w:tcPr>
            <w:tcW w:w="1190" w:type="dxa"/>
            <w:noWrap w:val="0"/>
            <w:vAlign w:val="center"/>
          </w:tcPr>
          <w:p w14:paraId="55CFBFF3">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网络安全</w:t>
            </w:r>
          </w:p>
        </w:tc>
        <w:tc>
          <w:tcPr>
            <w:tcW w:w="3017" w:type="dxa"/>
            <w:noWrap w:val="0"/>
            <w:vAlign w:val="center"/>
          </w:tcPr>
          <w:p w14:paraId="4A8BC8E8">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加强2个网站的网络安全监管、网络负面信息检测处置、备案审查、等级保护、安全审查、网络防范等工作。</w:t>
            </w:r>
          </w:p>
        </w:tc>
        <w:tc>
          <w:tcPr>
            <w:tcW w:w="2225" w:type="dxa"/>
            <w:noWrap w:val="0"/>
            <w:vAlign w:val="center"/>
          </w:tcPr>
          <w:p w14:paraId="35A3BDB3">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全年进行；网站安全率达到100%。</w:t>
            </w:r>
          </w:p>
        </w:tc>
        <w:tc>
          <w:tcPr>
            <w:tcW w:w="1585" w:type="dxa"/>
            <w:noWrap w:val="0"/>
            <w:vAlign w:val="center"/>
          </w:tcPr>
          <w:p w14:paraId="3638A7C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p>
        </w:tc>
      </w:tr>
      <w:tr w14:paraId="04BC4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7" w:hRule="atLeast"/>
        </w:trPr>
        <w:tc>
          <w:tcPr>
            <w:tcW w:w="8788" w:type="dxa"/>
            <w:gridSpan w:val="5"/>
            <w:noWrap w:val="0"/>
            <w:vAlign w:val="center"/>
          </w:tcPr>
          <w:p w14:paraId="2917030D">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bCs/>
                <w:i w:val="0"/>
                <w:color w:val="000000"/>
                <w:kern w:val="0"/>
                <w:sz w:val="24"/>
                <w:szCs w:val="24"/>
                <w:u w:val="none"/>
                <w:lang w:val="en-US" w:eastAsia="zh-CN" w:bidi="ar"/>
              </w:rPr>
            </w:pPr>
            <w:r>
              <w:rPr>
                <w:rFonts w:hint="eastAsia" w:ascii="宋体" w:hAnsi="宋体" w:eastAsia="宋体" w:cs="宋体"/>
                <w:b w:val="0"/>
                <w:bCs/>
                <w:sz w:val="24"/>
                <w:szCs w:val="24"/>
              </w:rPr>
              <w:t>注：</w:t>
            </w:r>
            <w:r>
              <w:rPr>
                <w:rFonts w:hint="eastAsia" w:ascii="宋体" w:hAnsi="宋体" w:eastAsia="宋体" w:cs="宋体"/>
                <w:b w:val="0"/>
                <w:bCs/>
                <w:sz w:val="24"/>
                <w:szCs w:val="24"/>
                <w:lang w:val="en-US" w:eastAsia="zh-CN"/>
              </w:rPr>
              <w:t>项目</w:t>
            </w:r>
            <w:r>
              <w:rPr>
                <w:rFonts w:hint="eastAsia" w:ascii="宋体" w:hAnsi="宋体" w:eastAsia="宋体" w:cs="宋体"/>
                <w:b w:val="0"/>
                <w:bCs/>
                <w:sz w:val="24"/>
                <w:szCs w:val="24"/>
              </w:rPr>
              <w:t>具体执行中，</w:t>
            </w:r>
            <w:r>
              <w:rPr>
                <w:rFonts w:hint="eastAsia" w:ascii="宋体" w:hAnsi="宋体" w:eastAsia="宋体" w:cs="宋体"/>
                <w:b w:val="0"/>
                <w:bCs/>
                <w:sz w:val="24"/>
                <w:szCs w:val="24"/>
                <w:lang w:val="en-US" w:eastAsia="zh-CN"/>
              </w:rPr>
              <w:t>要求成交供应商：一是严格</w:t>
            </w:r>
            <w:r>
              <w:rPr>
                <w:rFonts w:hint="eastAsia" w:ascii="宋体" w:hAnsi="宋体" w:eastAsia="宋体" w:cs="宋体"/>
                <w:b w:val="0"/>
                <w:bCs/>
                <w:sz w:val="24"/>
                <w:szCs w:val="24"/>
              </w:rPr>
              <w:t>遵守关于广告、合同、知识产权等有关法律法规，确保发布信息的来源正规、官方；保证在缔结和履行合同过程中获知的无法从公开渠道获取的内部保密文件和资料，不以任何方式向第三人披露和不正当使用。</w:t>
            </w:r>
            <w:r>
              <w:rPr>
                <w:rFonts w:hint="eastAsia" w:ascii="宋体" w:hAnsi="宋体" w:eastAsia="宋体" w:cs="宋体"/>
                <w:b w:val="0"/>
                <w:bCs/>
                <w:sz w:val="24"/>
                <w:szCs w:val="24"/>
                <w:lang w:val="en-US" w:eastAsia="zh-CN"/>
              </w:rPr>
              <w:t>二是协助中心严格执行“三审三校”制度，形成环环相扣、层层递进的立体编审模式，确保推送内容的准确性和流程合规性。</w:t>
            </w:r>
          </w:p>
        </w:tc>
      </w:tr>
    </w:tbl>
    <w:p w14:paraId="7E9F48E9">
      <w:pPr>
        <w:rPr>
          <w:rFonts w:hint="eastAsia" w:ascii="宋体" w:hAnsi="宋体" w:eastAsia="宋体" w:cs="宋体"/>
          <w:b/>
          <w:bCs/>
          <w:sz w:val="28"/>
          <w:szCs w:val="28"/>
        </w:rPr>
      </w:pPr>
      <w:r>
        <w:rPr>
          <w:rFonts w:hint="eastAsia" w:ascii="宋体" w:hAnsi="宋体" w:eastAsia="宋体" w:cs="宋体"/>
          <w:b/>
          <w:bCs/>
          <w:sz w:val="28"/>
          <w:szCs w:val="28"/>
        </w:rPr>
        <w:t>二、合同价款</w:t>
      </w:r>
    </w:p>
    <w:p w14:paraId="5CB69DB4">
      <w:pPr>
        <w:pStyle w:val="6"/>
        <w:ind w:firstLine="560" w:firstLineChars="200"/>
        <w:jc w:val="both"/>
        <w:rPr>
          <w:rFonts w:hint="eastAsia" w:ascii="宋体" w:hAnsi="宋体" w:eastAsia="宋体" w:cs="宋体"/>
          <w:sz w:val="28"/>
          <w:szCs w:val="28"/>
        </w:rPr>
      </w:pPr>
      <w:r>
        <w:rPr>
          <w:rFonts w:hint="eastAsia" w:ascii="宋体" w:hAnsi="宋体" w:eastAsia="宋体" w:cs="宋体"/>
          <w:sz w:val="28"/>
          <w:szCs w:val="28"/>
        </w:rPr>
        <w:t>合同总价款为人民币（大写）</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元（含税），本价款已包含税款在内的为实现本合同目的的全部费用。</w:t>
      </w:r>
    </w:p>
    <w:p w14:paraId="1E99EF9C">
      <w:pPr>
        <w:rPr>
          <w:rFonts w:hint="eastAsia" w:ascii="宋体" w:hAnsi="宋体" w:eastAsia="宋体" w:cs="宋体"/>
          <w:b/>
          <w:bCs/>
          <w:sz w:val="28"/>
          <w:szCs w:val="28"/>
        </w:rPr>
      </w:pPr>
      <w:r>
        <w:rPr>
          <w:rFonts w:hint="eastAsia" w:ascii="宋体" w:hAnsi="宋体" w:eastAsia="宋体" w:cs="宋体"/>
          <w:b/>
          <w:bCs/>
          <w:sz w:val="28"/>
          <w:szCs w:val="28"/>
        </w:rPr>
        <w:t>三、服务期限</w:t>
      </w:r>
    </w:p>
    <w:p w14:paraId="7E7AA1AE">
      <w:pPr>
        <w:numPr>
          <w:ilvl w:val="0"/>
          <w:numId w:val="1"/>
        </w:numPr>
        <w:rPr>
          <w:rFonts w:hint="eastAsia" w:ascii="宋体" w:hAnsi="宋体" w:eastAsia="宋体" w:cs="宋体"/>
          <w:sz w:val="28"/>
          <w:szCs w:val="28"/>
        </w:rPr>
      </w:pPr>
      <w:r>
        <w:rPr>
          <w:rFonts w:hint="eastAsia" w:ascii="宋体" w:hAnsi="宋体" w:eastAsia="宋体" w:cs="宋体"/>
          <w:sz w:val="28"/>
          <w:szCs w:val="28"/>
        </w:rPr>
        <w:t>服务地点：甲方指定地点。</w:t>
      </w:r>
    </w:p>
    <w:p w14:paraId="3393B2F9">
      <w:pPr>
        <w:numPr>
          <w:ilvl w:val="0"/>
          <w:numId w:val="1"/>
        </w:numPr>
        <w:rPr>
          <w:rFonts w:hint="eastAsia" w:ascii="宋体" w:hAnsi="宋体" w:eastAsia="宋体" w:cs="宋体"/>
          <w:sz w:val="28"/>
          <w:szCs w:val="28"/>
        </w:rPr>
      </w:pPr>
      <w:r>
        <w:rPr>
          <w:rFonts w:hint="eastAsia" w:ascii="宋体" w:hAnsi="宋体" w:eastAsia="宋体" w:cs="宋体"/>
          <w:sz w:val="28"/>
          <w:szCs w:val="28"/>
        </w:rPr>
        <w:t>服务期：</w:t>
      </w:r>
      <w:r>
        <w:rPr>
          <w:rFonts w:hint="eastAsia" w:ascii="宋体" w:hAnsi="宋体" w:eastAsia="宋体" w:cs="宋体"/>
          <w:sz w:val="28"/>
          <w:szCs w:val="28"/>
          <w:lang w:val="en-US" w:eastAsia="zh-CN"/>
        </w:rPr>
        <w:t>采购服务内容全部完成。</w:t>
      </w:r>
    </w:p>
    <w:p w14:paraId="243BF9DA">
      <w:pPr>
        <w:rPr>
          <w:rFonts w:hint="eastAsia" w:ascii="宋体" w:hAnsi="宋体" w:eastAsia="宋体" w:cs="宋体"/>
          <w:b/>
          <w:bCs/>
          <w:sz w:val="28"/>
          <w:szCs w:val="28"/>
        </w:rPr>
      </w:pPr>
      <w:r>
        <w:rPr>
          <w:rFonts w:hint="eastAsia" w:ascii="宋体" w:hAnsi="宋体" w:eastAsia="宋体" w:cs="宋体"/>
          <w:b/>
          <w:bCs/>
          <w:sz w:val="28"/>
          <w:szCs w:val="28"/>
        </w:rPr>
        <w:t>四、款项结算</w:t>
      </w:r>
    </w:p>
    <w:p w14:paraId="16849EEC">
      <w:pPr>
        <w:pStyle w:val="7"/>
        <w:widowControl/>
        <w:spacing w:before="0" w:beforeAutospacing="0" w:after="0" w:afterAutospacing="0"/>
        <w:ind w:firstLine="560" w:firstLineChars="200"/>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（一）结算方式：合同签订后</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 xml:space="preserve">达到付款条件起 </w:t>
      </w:r>
      <w:r>
        <w:rPr>
          <w:rFonts w:hint="eastAsia" w:ascii="宋体" w:hAnsi="宋体" w:eastAsia="宋体" w:cs="宋体"/>
          <w:color w:val="auto"/>
          <w:sz w:val="28"/>
          <w:szCs w:val="28"/>
          <w:highlight w:val="none"/>
          <w:lang w:eastAsia="zh-CN"/>
        </w:rPr>
        <w:t>10</w:t>
      </w:r>
      <w:r>
        <w:rPr>
          <w:rFonts w:hint="eastAsia" w:ascii="宋体" w:hAnsi="宋体" w:eastAsia="宋体" w:cs="宋体"/>
          <w:color w:val="auto"/>
          <w:sz w:val="28"/>
          <w:szCs w:val="28"/>
          <w:highlight w:val="none"/>
          <w:lang w:val="en-US" w:eastAsia="zh-CN"/>
        </w:rPr>
        <w:t>个工作</w:t>
      </w:r>
      <w:r>
        <w:rPr>
          <w:rFonts w:hint="eastAsia" w:ascii="宋体" w:hAnsi="宋体" w:eastAsia="宋体" w:cs="宋体"/>
          <w:color w:val="auto"/>
          <w:sz w:val="28"/>
          <w:szCs w:val="28"/>
          <w:highlight w:val="none"/>
          <w:lang w:eastAsia="zh-CN"/>
        </w:rPr>
        <w:t>日</w:t>
      </w:r>
      <w:r>
        <w:rPr>
          <w:rFonts w:hint="eastAsia" w:ascii="宋体" w:hAnsi="宋体" w:eastAsia="宋体" w:cs="宋体"/>
          <w:color w:val="auto"/>
          <w:sz w:val="28"/>
          <w:szCs w:val="28"/>
          <w:highlight w:val="none"/>
        </w:rPr>
        <w:t xml:space="preserve">内，支付合同总金额的 </w:t>
      </w:r>
      <w:r>
        <w:rPr>
          <w:rFonts w:hint="eastAsia" w:ascii="宋体" w:hAnsi="宋体" w:eastAsia="宋体" w:cs="宋体"/>
          <w:color w:val="auto"/>
          <w:sz w:val="28"/>
          <w:szCs w:val="28"/>
          <w:highlight w:val="none"/>
          <w:lang w:val="en-US" w:eastAsia="zh-CN"/>
        </w:rPr>
        <w:t>60</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w:t>
      </w:r>
    </w:p>
    <w:p w14:paraId="725341C1">
      <w:pPr>
        <w:pStyle w:val="7"/>
        <w:widowControl/>
        <w:spacing w:before="0" w:beforeAutospacing="0" w:after="0" w:afterAutospacing="0"/>
        <w:ind w:firstLine="560" w:firstLineChars="200"/>
        <w:jc w:val="both"/>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lang w:val="en-US" w:eastAsia="zh-CN"/>
        </w:rPr>
        <w:t>项目完成后采购人验收合格</w:t>
      </w:r>
      <w:r>
        <w:rPr>
          <w:rFonts w:hint="eastAsia" w:ascii="宋体" w:hAnsi="宋体" w:eastAsia="宋体" w:cs="宋体"/>
          <w:color w:val="auto"/>
          <w:sz w:val="28"/>
          <w:szCs w:val="28"/>
          <w:highlight w:val="none"/>
        </w:rPr>
        <w:t xml:space="preserve">，达到付款条件起 </w:t>
      </w:r>
      <w:r>
        <w:rPr>
          <w:rFonts w:hint="eastAsia" w:ascii="宋体" w:hAnsi="宋体" w:eastAsia="宋体" w:cs="宋体"/>
          <w:color w:val="auto"/>
          <w:sz w:val="28"/>
          <w:szCs w:val="28"/>
          <w:highlight w:val="none"/>
          <w:lang w:eastAsia="zh-CN"/>
        </w:rPr>
        <w:t>10</w:t>
      </w:r>
      <w:r>
        <w:rPr>
          <w:rFonts w:hint="eastAsia" w:ascii="宋体" w:hAnsi="宋体" w:eastAsia="宋体" w:cs="宋体"/>
          <w:color w:val="auto"/>
          <w:sz w:val="28"/>
          <w:szCs w:val="28"/>
          <w:highlight w:val="none"/>
          <w:lang w:val="en-US" w:eastAsia="zh-CN"/>
        </w:rPr>
        <w:t>个工作</w:t>
      </w:r>
      <w:r>
        <w:rPr>
          <w:rFonts w:hint="eastAsia" w:ascii="宋体" w:hAnsi="宋体" w:eastAsia="宋体" w:cs="宋体"/>
          <w:color w:val="auto"/>
          <w:sz w:val="28"/>
          <w:szCs w:val="28"/>
          <w:highlight w:val="none"/>
          <w:lang w:eastAsia="zh-CN"/>
        </w:rPr>
        <w:t>日</w:t>
      </w:r>
      <w:r>
        <w:rPr>
          <w:rFonts w:hint="eastAsia" w:ascii="宋体" w:hAnsi="宋体" w:eastAsia="宋体" w:cs="宋体"/>
          <w:color w:val="auto"/>
          <w:sz w:val="28"/>
          <w:szCs w:val="28"/>
          <w:highlight w:val="none"/>
        </w:rPr>
        <w:t xml:space="preserve">内，支付合同总金额的 </w:t>
      </w:r>
      <w:r>
        <w:rPr>
          <w:rFonts w:hint="eastAsia" w:ascii="宋体" w:hAnsi="宋体" w:eastAsia="宋体" w:cs="宋体"/>
          <w:color w:val="auto"/>
          <w:sz w:val="28"/>
          <w:szCs w:val="28"/>
          <w:highlight w:val="none"/>
          <w:lang w:val="en-US" w:eastAsia="zh-CN"/>
        </w:rPr>
        <w:t>40</w:t>
      </w:r>
      <w:r>
        <w:rPr>
          <w:rFonts w:hint="eastAsia" w:ascii="宋体" w:hAnsi="宋体" w:eastAsia="宋体" w:cs="宋体"/>
          <w:color w:val="auto"/>
          <w:sz w:val="28"/>
          <w:szCs w:val="28"/>
          <w:highlight w:val="none"/>
        </w:rPr>
        <w:t>%。</w:t>
      </w:r>
    </w:p>
    <w:p w14:paraId="794F7109">
      <w:pPr>
        <w:pStyle w:val="7"/>
        <w:widowControl/>
        <w:spacing w:before="0" w:beforeAutospacing="0" w:after="0" w:afterAutospacing="0"/>
        <w:ind w:firstLine="560" w:firstLineChars="200"/>
        <w:jc w:val="both"/>
        <w:rPr>
          <w:rFonts w:hint="eastAsia" w:ascii="宋体" w:hAnsi="宋体" w:eastAsia="宋体" w:cs="宋体"/>
          <w:sz w:val="28"/>
          <w:szCs w:val="28"/>
          <w:highlight w:val="none"/>
        </w:rPr>
      </w:pPr>
      <w:r>
        <w:rPr>
          <w:rFonts w:hint="eastAsia" w:ascii="宋体" w:hAnsi="宋体" w:eastAsia="宋体" w:cs="宋体"/>
          <w:color w:val="auto"/>
          <w:sz w:val="28"/>
          <w:szCs w:val="28"/>
          <w:highlight w:val="none"/>
        </w:rPr>
        <w:t>（二）支付条件：款项支付之前须由甲方确认后支付,</w:t>
      </w:r>
      <w:r>
        <w:rPr>
          <w:rFonts w:hint="eastAsia" w:ascii="宋体" w:hAnsi="宋体" w:eastAsia="宋体" w:cs="宋体"/>
          <w:sz w:val="28"/>
          <w:szCs w:val="28"/>
          <w:highlight w:val="none"/>
        </w:rPr>
        <w:t>乙方承诺在甲方办理以上付款的支付手续前，为甲方出具等额的符合国家规定的发票。</w:t>
      </w:r>
    </w:p>
    <w:p w14:paraId="68DF1778">
      <w:pPr>
        <w:pStyle w:val="7"/>
        <w:widowControl/>
        <w:spacing w:before="0" w:beforeAutospacing="0" w:after="0" w:afterAutospacing="0"/>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（三）支付方式∶银行转账</w:t>
      </w:r>
    </w:p>
    <w:p w14:paraId="513A6B39">
      <w:pPr>
        <w:pStyle w:val="7"/>
        <w:widowControl/>
        <w:spacing w:before="0" w:beforeAutospacing="0" w:after="0" w:afterAutospacing="0"/>
        <w:jc w:val="both"/>
        <w:rPr>
          <w:rFonts w:hint="eastAsia" w:ascii="宋体" w:hAnsi="宋体" w:eastAsia="宋体" w:cs="宋体"/>
          <w:b/>
          <w:bCs/>
          <w:sz w:val="28"/>
          <w:szCs w:val="28"/>
        </w:rPr>
      </w:pPr>
      <w:r>
        <w:rPr>
          <w:rFonts w:hint="eastAsia" w:ascii="宋体" w:hAnsi="宋体" w:eastAsia="宋体" w:cs="宋体"/>
          <w:b/>
          <w:bCs/>
          <w:sz w:val="28"/>
          <w:szCs w:val="28"/>
        </w:rPr>
        <w:t>五、双方的权利和义务</w:t>
      </w:r>
    </w:p>
    <w:p w14:paraId="6D883FB7">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（一）甲方</w:t>
      </w:r>
      <w:r>
        <w:rPr>
          <w:rFonts w:hint="eastAsia" w:ascii="宋体" w:hAnsi="宋体" w:eastAsia="宋体" w:cs="宋体"/>
          <w:sz w:val="28"/>
          <w:szCs w:val="28"/>
          <w:lang w:val="en-US" w:eastAsia="zh-CN"/>
        </w:rPr>
        <w:t>的</w:t>
      </w:r>
      <w:r>
        <w:rPr>
          <w:rFonts w:hint="eastAsia" w:ascii="宋体" w:hAnsi="宋体" w:eastAsia="宋体" w:cs="宋体"/>
          <w:sz w:val="28"/>
          <w:szCs w:val="28"/>
        </w:rPr>
        <w:t>权利和义务</w:t>
      </w:r>
    </w:p>
    <w:p w14:paraId="65F81D9F">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1.甲方有权对协议规定范围内乙方的服务行为进行监督和检查。对甲方认为不合理的部分有权下达整改通知书，并要求乙方限期整改。</w:t>
      </w:r>
    </w:p>
    <w:p w14:paraId="64418EE4">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2.负责检查监督乙方管理工作的实施及制度的执行情况。</w:t>
      </w:r>
    </w:p>
    <w:p w14:paraId="77A48782">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3.甲方根据本协议规定，按时向乙方支付应付服务费用。</w:t>
      </w:r>
    </w:p>
    <w:p w14:paraId="62C46D64">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4.甲方应保证其所提供资料、文件的真实性、合法性，甲方违反本条约定导致的一切法律后果，均由甲方自行承担。</w:t>
      </w:r>
    </w:p>
    <w:p w14:paraId="11191A5A">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（二）乙方的权利和义务</w:t>
      </w:r>
    </w:p>
    <w:p w14:paraId="5F28D4A4">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1.对本协议规定的委托服务范围内的项目拥有管理权及服务义务。</w:t>
      </w:r>
    </w:p>
    <w:p w14:paraId="68D8DA53">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2.根据本协议的规定向甲方收取相关服务费用，并有权在本项目管理范围内管理及合理使用。</w:t>
      </w:r>
    </w:p>
    <w:p w14:paraId="41A1FEB4">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3.及时向甲方通告本项目服务范围内有关服务的重大事项，及时配合处理投诉。</w:t>
      </w:r>
    </w:p>
    <w:p w14:paraId="0A6917AF">
      <w:pPr>
        <w:pStyle w:val="7"/>
        <w:widowControl/>
        <w:spacing w:before="0" w:beforeAutospacing="0" w:after="0" w:afterAutospacing="0"/>
        <w:ind w:firstLine="560" w:firstLineChars="200"/>
        <w:jc w:val="both"/>
        <w:rPr>
          <w:rFonts w:hint="eastAsia" w:ascii="宋体" w:hAnsi="宋体" w:eastAsia="宋体" w:cs="宋体"/>
          <w:sz w:val="28"/>
          <w:szCs w:val="28"/>
          <w:lang w:eastAsia="zh-CN"/>
        </w:rPr>
      </w:pPr>
      <w:r>
        <w:rPr>
          <w:rFonts w:hint="eastAsia" w:ascii="宋体" w:hAnsi="宋体" w:eastAsia="宋体" w:cs="宋体"/>
          <w:sz w:val="28"/>
          <w:szCs w:val="28"/>
        </w:rPr>
        <w:t>4.确保按照甲方及合同要求按时、保质、保量提供服务，对甲方提出的意见及时调整</w:t>
      </w:r>
      <w:r>
        <w:rPr>
          <w:rFonts w:hint="eastAsia" w:ascii="宋体" w:hAnsi="宋体" w:eastAsia="宋体" w:cs="宋体"/>
          <w:sz w:val="28"/>
          <w:szCs w:val="28"/>
          <w:lang w:eastAsia="zh-CN"/>
        </w:rPr>
        <w:t>。</w:t>
      </w:r>
    </w:p>
    <w:p w14:paraId="62A10682">
      <w:pPr>
        <w:pStyle w:val="7"/>
        <w:widowControl/>
        <w:spacing w:before="0" w:beforeAutospacing="0" w:after="0" w:afterAutospacing="0"/>
        <w:ind w:firstLine="560"/>
        <w:jc w:val="both"/>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.接受项目行业管理部门的指导，接受甲方的监督。</w:t>
      </w:r>
    </w:p>
    <w:p w14:paraId="01B40413">
      <w:pPr>
        <w:pStyle w:val="7"/>
        <w:widowControl/>
        <w:spacing w:before="0" w:beforeAutospacing="0" w:after="0" w:afterAutospacing="0"/>
        <w:ind w:firstLine="560"/>
        <w:jc w:val="both"/>
        <w:rPr>
          <w:rFonts w:hint="eastAsia" w:ascii="宋体" w:hAnsi="宋体" w:eastAsia="宋体" w:cs="宋体"/>
          <w:spacing w:val="1"/>
          <w:sz w:val="28"/>
          <w:szCs w:val="28"/>
          <w:highlight w:val="none"/>
          <w:u w:val="none"/>
          <w:lang w:val="en-US" w:eastAsia="zh-CN"/>
        </w:rPr>
      </w:pPr>
      <w:r>
        <w:rPr>
          <w:rFonts w:hint="eastAsia" w:ascii="宋体" w:hAnsi="宋体" w:eastAsia="宋体" w:cs="宋体"/>
          <w:spacing w:val="1"/>
          <w:sz w:val="28"/>
          <w:szCs w:val="28"/>
          <w:highlight w:val="none"/>
          <w:u w:val="none"/>
          <w:lang w:val="en-US" w:eastAsia="zh-CN"/>
        </w:rPr>
        <w:t>6、</w:t>
      </w:r>
      <w:r>
        <w:rPr>
          <w:rFonts w:hint="eastAsia" w:ascii="宋体" w:hAnsi="宋体" w:eastAsia="宋体" w:cs="宋体"/>
          <w:spacing w:val="1"/>
          <w:sz w:val="28"/>
          <w:szCs w:val="28"/>
          <w:highlight w:val="none"/>
          <w:u w:val="none"/>
        </w:rPr>
        <w:t>国家法律、法规所规定由乙方承担的其它责任。</w:t>
      </w:r>
    </w:p>
    <w:p w14:paraId="3505D3FB">
      <w:pPr>
        <w:pStyle w:val="7"/>
        <w:widowControl/>
        <w:spacing w:before="0" w:beforeAutospacing="0" w:after="0" w:afterAutospacing="0"/>
        <w:jc w:val="both"/>
        <w:rPr>
          <w:rFonts w:hint="eastAsia" w:ascii="宋体" w:hAnsi="宋体" w:eastAsia="宋体" w:cs="宋体"/>
          <w:b/>
          <w:bCs/>
          <w:sz w:val="28"/>
          <w:szCs w:val="28"/>
        </w:rPr>
      </w:pPr>
      <w:r>
        <w:rPr>
          <w:rFonts w:hint="eastAsia" w:ascii="宋体" w:hAnsi="宋体" w:eastAsia="宋体" w:cs="宋体"/>
          <w:b/>
          <w:bCs/>
          <w:sz w:val="28"/>
          <w:szCs w:val="28"/>
        </w:rPr>
        <w:t>六、质量保证</w:t>
      </w:r>
    </w:p>
    <w:p w14:paraId="1C98A1E6">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乙方所供服务必须执行下列条款∶</w:t>
      </w:r>
    </w:p>
    <w:p w14:paraId="43FFFBDD">
      <w:pPr>
        <w:pStyle w:val="7"/>
        <w:keepNext w:val="0"/>
        <w:keepLines w:val="0"/>
        <w:pageBreakBefore w:val="0"/>
        <w:widowControl/>
        <w:kinsoku/>
        <w:wordWrap/>
        <w:overflowPunct/>
        <w:topLinePunct w:val="0"/>
        <w:autoSpaceDE/>
        <w:autoSpaceDN/>
        <w:bidi w:val="0"/>
        <w:adjustRightInd/>
        <w:snapToGrid/>
        <w:spacing w:before="0" w:beforeAutospacing="0" w:after="0" w:afterAutospacing="0"/>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（一）服务方案和方式科学、可行，人员配置合理，全面满足要求。</w:t>
      </w:r>
    </w:p>
    <w:p w14:paraId="16844D1F">
      <w:pPr>
        <w:pStyle w:val="7"/>
        <w:keepNext w:val="0"/>
        <w:keepLines w:val="0"/>
        <w:pageBreakBefore w:val="0"/>
        <w:widowControl/>
        <w:kinsoku/>
        <w:wordWrap/>
        <w:overflowPunct/>
        <w:topLinePunct w:val="0"/>
        <w:autoSpaceDE/>
        <w:autoSpaceDN/>
        <w:bidi w:val="0"/>
        <w:adjustRightInd/>
        <w:snapToGrid/>
        <w:spacing w:before="0" w:beforeAutospacing="0" w:after="0" w:afterAutospacing="0"/>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（二）符合国家有关服务规范要求，确保各项服务达到预期运行效果。</w:t>
      </w:r>
    </w:p>
    <w:p w14:paraId="49D196ED">
      <w:pPr>
        <w:pStyle w:val="7"/>
        <w:widowControl/>
        <w:spacing w:before="0" w:beforeAutospacing="0" w:after="0" w:afterAutospacing="0"/>
        <w:jc w:val="both"/>
        <w:rPr>
          <w:rFonts w:hint="eastAsia" w:ascii="宋体" w:hAnsi="宋体" w:eastAsia="宋体" w:cs="宋体"/>
          <w:b/>
          <w:bCs/>
          <w:sz w:val="28"/>
          <w:szCs w:val="28"/>
        </w:rPr>
      </w:pPr>
      <w:r>
        <w:rPr>
          <w:rFonts w:hint="eastAsia" w:ascii="宋体" w:hAnsi="宋体" w:eastAsia="宋体" w:cs="宋体"/>
          <w:b/>
          <w:bCs/>
          <w:sz w:val="28"/>
          <w:szCs w:val="28"/>
        </w:rPr>
        <w:t>七、交付与验收</w:t>
      </w:r>
    </w:p>
    <w:p w14:paraId="7708AC57">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一）服务内容完成后先由乙方进行自检，自检合格后邀请甲方进行验收。甲方确认乙方的自检内容后，组织乙方进行最终验收，验收时乙方应派员参加，共同对验收结果进行确认，并承担相关责任（必要时甲方可委托具有相关资质的第三方检测机构/技术专家对产品/设备进行系</w:t>
      </w:r>
      <w:r>
        <w:rPr>
          <w:rFonts w:hint="eastAsia" w:ascii="宋体" w:hAnsi="宋体" w:eastAsia="宋体" w:cs="宋体"/>
          <w:sz w:val="28"/>
          <w:szCs w:val="28"/>
          <w:highlight w:val="none"/>
        </w:rPr>
        <w:t>统验收，由此产生的相关费用由乙方承担。验</w:t>
      </w:r>
      <w:r>
        <w:rPr>
          <w:rFonts w:hint="eastAsia" w:ascii="宋体" w:hAnsi="宋体" w:eastAsia="宋体" w:cs="宋体"/>
          <w:sz w:val="28"/>
          <w:szCs w:val="28"/>
        </w:rPr>
        <w:t>收合格后，甲乙双方填写政府采购项目履约验收单作为对服务的最终认可。</w:t>
      </w:r>
    </w:p>
    <w:p w14:paraId="17B54C2E">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（二）乙方每季度一次，向甲方提交服务实施过程中的所有资料，以便甲方日后管理和维护。</w:t>
      </w:r>
    </w:p>
    <w:p w14:paraId="548B7627">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（三）验收依据</w:t>
      </w:r>
    </w:p>
    <w:p w14:paraId="23AA15E3">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1、竞争性磋商文件、响应文件</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澄清表（函）</w:t>
      </w:r>
      <w:r>
        <w:rPr>
          <w:rFonts w:hint="eastAsia" w:ascii="宋体" w:hAnsi="宋体" w:eastAsia="宋体" w:cs="宋体"/>
          <w:sz w:val="28"/>
          <w:szCs w:val="28"/>
        </w:rPr>
        <w:t>；</w:t>
      </w:r>
    </w:p>
    <w:p w14:paraId="1393A0CB">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2、本合同及附件文本；</w:t>
      </w:r>
    </w:p>
    <w:p w14:paraId="454C2061">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3、国家相应的标准、规范。</w:t>
      </w:r>
    </w:p>
    <w:p w14:paraId="6BDEBD47">
      <w:pPr>
        <w:pStyle w:val="7"/>
        <w:widowControl/>
        <w:spacing w:before="0" w:beforeAutospacing="0" w:after="0" w:afterAutospacing="0"/>
        <w:jc w:val="both"/>
        <w:rPr>
          <w:rFonts w:hint="eastAsia" w:ascii="宋体" w:hAnsi="宋体" w:eastAsia="宋体" w:cs="宋体"/>
          <w:b/>
          <w:bCs/>
          <w:sz w:val="28"/>
          <w:szCs w:val="28"/>
        </w:rPr>
      </w:pPr>
      <w:r>
        <w:rPr>
          <w:rFonts w:hint="eastAsia" w:ascii="宋体" w:hAnsi="宋体" w:eastAsia="宋体" w:cs="宋体"/>
          <w:b/>
          <w:bCs/>
          <w:sz w:val="28"/>
          <w:szCs w:val="28"/>
        </w:rPr>
        <w:t>八、违约责任</w:t>
      </w:r>
    </w:p>
    <w:p w14:paraId="312F4B5F">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（一）合同中未约定的，按《民法典》中的相关条款执行。</w:t>
      </w:r>
    </w:p>
    <w:p w14:paraId="061CB4E0">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二）乙方未按合同要求提供服务或服务质量不能满足合同要求，甲方应当将乙方违约的情况以及拟采取的措施以书面形式报政府采购监管部门，甲方有权解除合同。同时，政府采购监管部门有权依据《政府采购法》及相关法律法规对乙方的违法行为进行相应的处罚。</w:t>
      </w:r>
    </w:p>
    <w:p w14:paraId="4D4AA88D">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（三）在本合同履行过程中，双方因违约或造成对方经济、社会效益等损失的应当赔偿。</w:t>
      </w:r>
    </w:p>
    <w:p w14:paraId="660E220A">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（四）甲方因故终止合作，需按照项目执行情况，依据双方协商及合同金额，向乙方支付相应费用；甲方由于自身原因逾期付款的，则每日按逾期金额的</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0.5</w:t>
      </w:r>
      <w:r>
        <w:rPr>
          <w:rFonts w:hint="eastAsia" w:ascii="宋体" w:hAnsi="宋体" w:eastAsia="宋体" w:cs="宋体"/>
          <w:sz w:val="28"/>
          <w:szCs w:val="28"/>
        </w:rPr>
        <w:t>‰向乙方偿付违约金。</w:t>
      </w:r>
    </w:p>
    <w:p w14:paraId="0AB9BF1E">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（五）乙方提供的服务不符合本项目相关文件和本合同规定的，甲方有权拒绝。</w:t>
      </w:r>
    </w:p>
    <w:p w14:paraId="38AB073A">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（六）未经甲方同意，乙方不得擅自将本合同服务分包或转包第三方承担，否则乙方须向甲方支付本合同总价款</w:t>
      </w:r>
      <w:r>
        <w:rPr>
          <w:rFonts w:hint="eastAsia" w:ascii="宋体" w:hAnsi="宋体" w:eastAsia="宋体" w:cs="宋体"/>
          <w:sz w:val="28"/>
          <w:szCs w:val="28"/>
          <w:u w:val="single"/>
        </w:rPr>
        <w:t xml:space="preserve">10 </w:t>
      </w:r>
      <w:r>
        <w:rPr>
          <w:rFonts w:hint="eastAsia" w:ascii="宋体" w:hAnsi="宋体" w:eastAsia="宋体" w:cs="宋体"/>
          <w:sz w:val="28"/>
          <w:szCs w:val="28"/>
        </w:rPr>
        <w:t>%的违约金。</w:t>
      </w:r>
    </w:p>
    <w:p w14:paraId="3FAE2522">
      <w:pPr>
        <w:pStyle w:val="7"/>
        <w:widowControl/>
        <w:spacing w:before="0" w:beforeAutospacing="0" w:after="0" w:afterAutospacing="0"/>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（七）本合同中各条款约定的违约金可自乙方履约保证金中直接扣除，不足部分乙方应向甲方支付，违约金若不能弥补甲方损失的，乙方还应赔偿甲方损失。</w:t>
      </w:r>
    </w:p>
    <w:p w14:paraId="63E3D29E">
      <w:pPr>
        <w:pStyle w:val="7"/>
        <w:widowControl/>
        <w:spacing w:before="0" w:beforeAutospacing="0" w:after="0" w:afterAutospacing="0"/>
        <w:ind w:firstLine="560" w:firstLineChars="200"/>
        <w:jc w:val="both"/>
        <w:rPr>
          <w:rFonts w:hint="eastAsia" w:ascii="宋体" w:hAnsi="宋体" w:eastAsia="宋体" w:cs="宋体"/>
          <w:b/>
          <w:bCs/>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八</w:t>
      </w:r>
      <w:r>
        <w:rPr>
          <w:rFonts w:hint="eastAsia" w:ascii="宋体" w:hAnsi="宋体" w:eastAsia="宋体" w:cs="宋体"/>
          <w:sz w:val="28"/>
          <w:szCs w:val="28"/>
        </w:rPr>
        <w:t>）不可抗力：是指目前人力所不能预见、不能避免并不能克服的客观情况。包括但不限于疫情、地震、火灾、海啸、瘟疫、政府行为等。遭遇上述不可抗力的一方，为尽可能减少对方的损失，应立即将相应情况用书面通知对方，并于</w:t>
      </w:r>
      <w:r>
        <w:rPr>
          <w:rFonts w:hint="eastAsia" w:ascii="宋体" w:hAnsi="宋体" w:eastAsia="宋体" w:cs="宋体"/>
          <w:sz w:val="28"/>
          <w:szCs w:val="28"/>
          <w:u w:val="single"/>
        </w:rPr>
        <w:t>10</w:t>
      </w:r>
      <w:r>
        <w:rPr>
          <w:rFonts w:hint="eastAsia" w:ascii="宋体" w:hAnsi="宋体" w:eastAsia="宋体" w:cs="宋体"/>
          <w:sz w:val="28"/>
          <w:szCs w:val="28"/>
        </w:rPr>
        <w:t>日内提供不可抗力发生的详情及本合同不能履行、或者部分不能履行、或者需要延期履行的理由的有效证明文件。根据不可抗力事由对履行本合同影响的程度，由双方协商解除本合同，或者部分免除本合同的履行义务，或者延期履行本合同，双方互不承担违约责任。</w:t>
      </w:r>
    </w:p>
    <w:p w14:paraId="09F74031">
      <w:pPr>
        <w:pStyle w:val="7"/>
        <w:widowControl/>
        <w:spacing w:before="0" w:beforeAutospacing="0" w:after="0" w:afterAutospacing="0"/>
        <w:jc w:val="both"/>
        <w:rPr>
          <w:rFonts w:hint="eastAsia" w:ascii="宋体" w:hAnsi="宋体" w:eastAsia="宋体" w:cs="宋体"/>
          <w:b/>
          <w:bCs/>
          <w:sz w:val="28"/>
          <w:szCs w:val="28"/>
        </w:rPr>
      </w:pPr>
      <w:r>
        <w:rPr>
          <w:rFonts w:hint="eastAsia" w:ascii="宋体" w:hAnsi="宋体" w:eastAsia="宋体" w:cs="宋体"/>
          <w:b/>
          <w:bCs/>
          <w:sz w:val="28"/>
          <w:szCs w:val="28"/>
        </w:rPr>
        <w:t>九、保密条款</w:t>
      </w:r>
    </w:p>
    <w:p w14:paraId="1CE70AA7">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4153526">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二）甲方有义务保护乙方的知识产权，未经乙方书面同意，不得将乙方交付的具有知识产权性质的成果文件、资料向第三方转让或用于本合同以外的项目。如发生以上情况，乙方有权索赔，但甲方依据相关法定职责对外公开的除外。</w:t>
      </w:r>
    </w:p>
    <w:p w14:paraId="5A7270C4">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（三）本条款为独立条款，本合同的无效、变更、解除和终止均不影响本条款的效力。</w:t>
      </w:r>
    </w:p>
    <w:p w14:paraId="3750A72C">
      <w:pPr>
        <w:pStyle w:val="7"/>
        <w:widowControl/>
        <w:spacing w:before="0" w:beforeAutospacing="0" w:after="0" w:afterAutospacing="0"/>
        <w:jc w:val="both"/>
        <w:rPr>
          <w:rFonts w:hint="eastAsia" w:ascii="宋体" w:hAnsi="宋体" w:eastAsia="宋体" w:cs="宋体"/>
          <w:sz w:val="28"/>
          <w:szCs w:val="28"/>
        </w:rPr>
      </w:pPr>
      <w:r>
        <w:rPr>
          <w:rFonts w:hint="eastAsia" w:ascii="宋体" w:hAnsi="宋体" w:eastAsia="宋体" w:cs="宋体"/>
          <w:b/>
          <w:bCs/>
          <w:sz w:val="28"/>
          <w:szCs w:val="28"/>
        </w:rPr>
        <w:t>十、知识产权</w:t>
      </w:r>
    </w:p>
    <w:p w14:paraId="73417CF8">
      <w:pPr>
        <w:pStyle w:val="7"/>
        <w:widowControl/>
        <w:spacing w:before="0" w:beforeAutospacing="0" w:after="0" w:afterAutospacing="0"/>
        <w:ind w:firstLine="840" w:firstLineChars="300"/>
        <w:jc w:val="both"/>
        <w:rPr>
          <w:rFonts w:hint="eastAsia" w:ascii="宋体" w:hAnsi="宋体" w:eastAsia="宋体" w:cs="宋体"/>
          <w:sz w:val="28"/>
          <w:szCs w:val="28"/>
        </w:rPr>
      </w:pPr>
      <w:r>
        <w:rPr>
          <w:rFonts w:hint="eastAsia" w:ascii="宋体" w:hAnsi="宋体" w:eastAsia="宋体" w:cs="宋体"/>
          <w:sz w:val="28"/>
          <w:szCs w:val="28"/>
        </w:rPr>
        <w:t>1、由甲方提供的工作文件的著作权及其他相关知识产权属甲方所有。除为履行本合同所需外，未经甲方书面同意，乙方不得公开发表、使用或向任何第三方提供上述工作文件。</w:t>
      </w:r>
    </w:p>
    <w:p w14:paraId="5999FA42">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 xml:space="preserve"> 2、乙方为本项目所出具的所有成果文件的著作权及其他相关知识产权归乙方所有。未经乙方书面同意，其它机构或个人不得将该内容复制、改编、发布、发布或作其它用途，否则将承担法律责任。</w:t>
      </w:r>
    </w:p>
    <w:p w14:paraId="0F217182">
      <w:pPr>
        <w:pStyle w:val="7"/>
        <w:widowControl/>
        <w:spacing w:before="0" w:beforeAutospacing="0" w:after="0" w:afterAutospacing="0"/>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乙方保证其自行设计、制作的或其所提供的他人设计、制作的标示、创意、文宣等内容均不会侵犯本合同以外其他方的合法权益，包括但不限于人身权、财产权、肖像权、知识产权等。如由于乙方违反本条保证导致第三方提出侵权、索赔、指控或相关主张，乙方应当及时妥善处理，积极与该第三方交涉并承担因此产生的一切费用(包括但不限于诉讼费、调查费、律师费、差旅费等合理开支);由此产生侵权责任的，由乙方承担；造成甲方损失的，乙方还需向甲方承担全部赔偿责任。</w:t>
      </w:r>
    </w:p>
    <w:p w14:paraId="59FC2990">
      <w:pPr>
        <w:pStyle w:val="7"/>
        <w:widowControl/>
        <w:spacing w:before="0" w:beforeAutospacing="0" w:after="0" w:afterAutospacing="0"/>
        <w:jc w:val="both"/>
        <w:rPr>
          <w:rFonts w:hint="eastAsia" w:ascii="宋体" w:hAnsi="宋体" w:eastAsia="宋体" w:cs="宋体"/>
          <w:b/>
          <w:bCs/>
          <w:sz w:val="28"/>
          <w:szCs w:val="28"/>
        </w:rPr>
      </w:pPr>
      <w:r>
        <w:rPr>
          <w:rFonts w:hint="eastAsia" w:ascii="宋体" w:hAnsi="宋体" w:eastAsia="宋体" w:cs="宋体"/>
          <w:b/>
          <w:bCs/>
          <w:sz w:val="28"/>
          <w:szCs w:val="28"/>
        </w:rPr>
        <w:t>十一、争议解决</w:t>
      </w:r>
    </w:p>
    <w:p w14:paraId="09FD7A7B">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本合同在履行过程中发生的争议，由甲、乙双方当事人协商解决，经协商不能达成协议时，按下列第</w:t>
      </w:r>
      <w:r>
        <w:rPr>
          <w:rFonts w:hint="eastAsia" w:ascii="宋体" w:hAnsi="宋体" w:eastAsia="宋体" w:cs="宋体"/>
          <w:sz w:val="28"/>
          <w:szCs w:val="28"/>
          <w:u w:val="single"/>
        </w:rPr>
        <w:t>1</w:t>
      </w:r>
      <w:r>
        <w:rPr>
          <w:rFonts w:hint="eastAsia" w:ascii="宋体" w:hAnsi="宋体" w:eastAsia="宋体" w:cs="宋体"/>
          <w:sz w:val="28"/>
          <w:szCs w:val="28"/>
        </w:rPr>
        <w:t>种方式解决，</w:t>
      </w:r>
    </w:p>
    <w:p w14:paraId="66B2B857">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1、向有管辖权的人民法院提起诉讼</w:t>
      </w:r>
    </w:p>
    <w:p w14:paraId="410487E0">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2、向西安仲裁委员会提请仲裁。</w:t>
      </w:r>
    </w:p>
    <w:p w14:paraId="095B1F95">
      <w:pPr>
        <w:pStyle w:val="7"/>
        <w:widowControl/>
        <w:spacing w:before="0" w:beforeAutospacing="0" w:after="0" w:afterAutospacing="0"/>
        <w:jc w:val="both"/>
        <w:rPr>
          <w:rFonts w:hint="eastAsia" w:ascii="宋体" w:hAnsi="宋体" w:eastAsia="宋体" w:cs="宋体"/>
          <w:b/>
          <w:bCs/>
          <w:sz w:val="28"/>
          <w:szCs w:val="28"/>
        </w:rPr>
      </w:pPr>
      <w:r>
        <w:rPr>
          <w:rFonts w:hint="eastAsia" w:ascii="宋体" w:hAnsi="宋体" w:eastAsia="宋体" w:cs="宋体"/>
          <w:b/>
          <w:bCs/>
          <w:sz w:val="28"/>
          <w:szCs w:val="28"/>
        </w:rPr>
        <w:t>十</w:t>
      </w:r>
      <w:r>
        <w:rPr>
          <w:rFonts w:hint="eastAsia" w:ascii="宋体" w:hAnsi="宋体" w:eastAsia="宋体" w:cs="宋体"/>
          <w:b/>
          <w:bCs/>
          <w:sz w:val="28"/>
          <w:szCs w:val="28"/>
          <w:lang w:val="en-US" w:eastAsia="zh-CN"/>
        </w:rPr>
        <w:t>二</w:t>
      </w:r>
      <w:r>
        <w:rPr>
          <w:rFonts w:hint="eastAsia" w:ascii="宋体" w:hAnsi="宋体" w:eastAsia="宋体" w:cs="宋体"/>
          <w:b/>
          <w:bCs/>
          <w:sz w:val="28"/>
          <w:szCs w:val="28"/>
        </w:rPr>
        <w:t>、合同变更</w:t>
      </w:r>
    </w:p>
    <w:p w14:paraId="765DFAF4">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182E0AC5">
      <w:pPr>
        <w:pStyle w:val="7"/>
        <w:widowControl/>
        <w:spacing w:before="0" w:beforeAutospacing="0" w:after="0" w:afterAutospacing="0"/>
        <w:jc w:val="both"/>
        <w:rPr>
          <w:rFonts w:hint="eastAsia" w:ascii="宋体" w:hAnsi="宋体" w:eastAsia="宋体" w:cs="宋体"/>
          <w:b/>
          <w:bCs/>
          <w:sz w:val="28"/>
          <w:szCs w:val="28"/>
        </w:rPr>
      </w:pPr>
      <w:r>
        <w:rPr>
          <w:rFonts w:hint="eastAsia" w:ascii="宋体" w:hAnsi="宋体" w:eastAsia="宋体" w:cs="宋体"/>
          <w:b/>
          <w:bCs/>
          <w:sz w:val="28"/>
          <w:szCs w:val="28"/>
        </w:rPr>
        <w:t>十</w:t>
      </w:r>
      <w:r>
        <w:rPr>
          <w:rFonts w:hint="eastAsia" w:ascii="宋体" w:hAnsi="宋体" w:eastAsia="宋体" w:cs="宋体"/>
          <w:b/>
          <w:bCs/>
          <w:sz w:val="28"/>
          <w:szCs w:val="28"/>
          <w:lang w:val="en-US" w:eastAsia="zh-CN"/>
        </w:rPr>
        <w:t>三</w:t>
      </w:r>
      <w:r>
        <w:rPr>
          <w:rFonts w:hint="eastAsia" w:ascii="宋体" w:hAnsi="宋体" w:eastAsia="宋体" w:cs="宋体"/>
          <w:b/>
          <w:bCs/>
          <w:sz w:val="28"/>
          <w:szCs w:val="28"/>
        </w:rPr>
        <w:t>、合同生效</w:t>
      </w:r>
    </w:p>
    <w:p w14:paraId="6C32DED0">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本合同一式</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份，甲方持</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份，乙方持</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份，本合同由甲、乙各方签字盖章后生效，合同执行完毕后，自动失效。</w:t>
      </w:r>
    </w:p>
    <w:p w14:paraId="20B9D5FD">
      <w:pPr>
        <w:pStyle w:val="7"/>
        <w:widowControl/>
        <w:spacing w:before="0" w:beforeAutospacing="0" w:after="0" w:afterAutospacing="0"/>
        <w:jc w:val="both"/>
        <w:rPr>
          <w:rFonts w:hint="eastAsia" w:ascii="宋体" w:hAnsi="宋体" w:eastAsia="宋体" w:cs="宋体"/>
          <w:b/>
          <w:bCs/>
          <w:sz w:val="28"/>
          <w:szCs w:val="28"/>
        </w:rPr>
      </w:pPr>
      <w:r>
        <w:rPr>
          <w:rFonts w:hint="eastAsia" w:ascii="宋体" w:hAnsi="宋体" w:eastAsia="宋体" w:cs="宋体"/>
          <w:b/>
          <w:bCs/>
          <w:sz w:val="28"/>
          <w:szCs w:val="28"/>
        </w:rPr>
        <w:t>十五、其他事项</w:t>
      </w:r>
    </w:p>
    <w:p w14:paraId="3C74867E">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一</w:t>
      </w:r>
      <w:r>
        <w:rPr>
          <w:rFonts w:hint="eastAsia" w:ascii="宋体" w:hAnsi="宋体" w:eastAsia="宋体" w:cs="宋体"/>
          <w:sz w:val="28"/>
          <w:szCs w:val="28"/>
        </w:rPr>
        <w:t>）西安市财政局在合同的履行期间以及履行期后，可以随时检查项目的执行情况，对采购标准、采购内容进行调查核实，并对发现的问题进行处理。</w:t>
      </w:r>
    </w:p>
    <w:p w14:paraId="2D755D2A">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二</w:t>
      </w:r>
      <w:r>
        <w:rPr>
          <w:rFonts w:hint="eastAsia" w:ascii="宋体" w:hAnsi="宋体" w:eastAsia="宋体" w:cs="宋体"/>
          <w:sz w:val="28"/>
          <w:szCs w:val="28"/>
        </w:rPr>
        <w:t>）磋商响应文件、成交通知书作为合同附件进行处理。</w:t>
      </w:r>
    </w:p>
    <w:p w14:paraId="5CD497FB">
      <w:pPr>
        <w:pStyle w:val="7"/>
        <w:widowControl/>
        <w:spacing w:before="0" w:beforeAutospacing="0" w:after="0" w:afterAutospacing="0"/>
        <w:ind w:firstLine="560" w:firstLineChars="200"/>
        <w:jc w:val="both"/>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三</w:t>
      </w:r>
      <w:r>
        <w:rPr>
          <w:rFonts w:hint="eastAsia" w:ascii="宋体" w:hAnsi="宋体" w:eastAsia="宋体" w:cs="宋体"/>
          <w:sz w:val="28"/>
          <w:szCs w:val="28"/>
        </w:rPr>
        <w:t>）合同未尽事宜，由甲、乙双方协商签订政府采购补充合同，与原合同具有同等法律效力。</w:t>
      </w:r>
    </w:p>
    <w:p w14:paraId="090C8DE5">
      <w:pPr>
        <w:pStyle w:val="7"/>
        <w:widowControl/>
        <w:spacing w:before="0" w:beforeAutospacing="0" w:after="0" w:afterAutospacing="0"/>
        <w:ind w:firstLine="560" w:firstLineChars="200"/>
        <w:jc w:val="both"/>
        <w:rPr>
          <w:rFonts w:hint="eastAsia" w:ascii="宋体" w:hAnsi="宋体" w:eastAsia="宋体" w:cs="宋体"/>
          <w:sz w:val="28"/>
          <w:szCs w:val="28"/>
        </w:rPr>
      </w:pPr>
    </w:p>
    <w:tbl>
      <w:tblPr>
        <w:tblStyle w:val="8"/>
        <w:tblW w:w="7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30"/>
        <w:gridCol w:w="3869"/>
      </w:tblGrid>
      <w:tr w14:paraId="2F16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630" w:type="dxa"/>
            <w:noWrap w:val="0"/>
            <w:vAlign w:val="top"/>
          </w:tcPr>
          <w:p w14:paraId="57218552">
            <w:pPr>
              <w:pStyle w:val="7"/>
              <w:widowControl/>
              <w:spacing w:before="0" w:beforeAutospacing="0" w:after="0" w:afterAutospacing="0"/>
              <w:jc w:val="center"/>
              <w:rPr>
                <w:rFonts w:hint="eastAsia" w:ascii="宋体" w:hAnsi="宋体" w:eastAsia="宋体" w:cs="宋体"/>
                <w:sz w:val="24"/>
                <w:szCs w:val="24"/>
              </w:rPr>
            </w:pPr>
            <w:r>
              <w:rPr>
                <w:rFonts w:hint="eastAsia" w:ascii="宋体" w:hAnsi="宋体" w:eastAsia="宋体" w:cs="宋体"/>
                <w:sz w:val="24"/>
                <w:szCs w:val="24"/>
              </w:rPr>
              <w:t>甲方</w:t>
            </w:r>
          </w:p>
        </w:tc>
        <w:tc>
          <w:tcPr>
            <w:tcW w:w="3869" w:type="dxa"/>
            <w:noWrap w:val="0"/>
            <w:vAlign w:val="top"/>
          </w:tcPr>
          <w:p w14:paraId="774C6B64">
            <w:pPr>
              <w:pStyle w:val="7"/>
              <w:widowControl/>
              <w:spacing w:before="0" w:beforeAutospacing="0" w:after="0" w:afterAutospacing="0"/>
              <w:jc w:val="center"/>
              <w:rPr>
                <w:rFonts w:hint="eastAsia" w:ascii="宋体" w:hAnsi="宋体" w:eastAsia="宋体" w:cs="宋体"/>
                <w:sz w:val="24"/>
                <w:szCs w:val="24"/>
              </w:rPr>
            </w:pPr>
            <w:r>
              <w:rPr>
                <w:rFonts w:hint="eastAsia" w:ascii="宋体" w:hAnsi="宋体" w:eastAsia="宋体" w:cs="宋体"/>
                <w:sz w:val="24"/>
                <w:szCs w:val="24"/>
              </w:rPr>
              <w:t>乙方</w:t>
            </w:r>
          </w:p>
        </w:tc>
      </w:tr>
      <w:tr w14:paraId="5AF3B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4" w:hRule="atLeast"/>
          <w:jc w:val="center"/>
        </w:trPr>
        <w:tc>
          <w:tcPr>
            <w:tcW w:w="3630" w:type="dxa"/>
            <w:noWrap w:val="0"/>
            <w:vAlign w:val="top"/>
          </w:tcPr>
          <w:p w14:paraId="394F1A50">
            <w:pPr>
              <w:pStyle w:val="7"/>
              <w:widowControl/>
              <w:spacing w:before="0" w:beforeAutospacing="0" w:after="0" w:afterAutospacing="0"/>
              <w:jc w:val="center"/>
              <w:rPr>
                <w:rFonts w:hint="eastAsia" w:ascii="宋体" w:hAnsi="宋体" w:eastAsia="宋体" w:cs="宋体"/>
                <w:sz w:val="24"/>
                <w:szCs w:val="24"/>
              </w:rPr>
            </w:pPr>
            <w:r>
              <w:rPr>
                <w:rFonts w:hint="eastAsia" w:ascii="宋体" w:hAnsi="宋体" w:eastAsia="宋体" w:cs="宋体"/>
                <w:sz w:val="24"/>
                <w:szCs w:val="24"/>
              </w:rPr>
              <w:t>采购人名称</w:t>
            </w:r>
          </w:p>
          <w:p w14:paraId="55C8B6B4">
            <w:pPr>
              <w:pStyle w:val="7"/>
              <w:widowControl/>
              <w:spacing w:before="0" w:beforeAutospacing="0" w:after="0" w:afterAutospacing="0"/>
              <w:jc w:val="center"/>
              <w:rPr>
                <w:rFonts w:hint="eastAsia" w:ascii="宋体" w:hAnsi="宋体" w:eastAsia="宋体" w:cs="宋体"/>
                <w:sz w:val="24"/>
                <w:szCs w:val="24"/>
              </w:rPr>
            </w:pPr>
            <w:r>
              <w:rPr>
                <w:rFonts w:hint="eastAsia" w:ascii="宋体" w:hAnsi="宋体" w:eastAsia="宋体" w:cs="宋体"/>
                <w:sz w:val="24"/>
                <w:szCs w:val="24"/>
              </w:rPr>
              <w:t>（盖章）</w:t>
            </w:r>
          </w:p>
        </w:tc>
        <w:tc>
          <w:tcPr>
            <w:tcW w:w="3869" w:type="dxa"/>
            <w:noWrap w:val="0"/>
            <w:vAlign w:val="top"/>
          </w:tcPr>
          <w:p w14:paraId="5F52F7E2">
            <w:pPr>
              <w:pStyle w:val="7"/>
              <w:widowControl/>
              <w:spacing w:before="0" w:beforeAutospacing="0" w:after="0" w:afterAutospacing="0"/>
              <w:jc w:val="center"/>
              <w:rPr>
                <w:rFonts w:hint="eastAsia" w:ascii="宋体" w:hAnsi="宋体" w:eastAsia="宋体" w:cs="宋体"/>
                <w:sz w:val="24"/>
                <w:szCs w:val="24"/>
              </w:rPr>
            </w:pPr>
            <w:r>
              <w:rPr>
                <w:rFonts w:hint="eastAsia" w:ascii="宋体" w:hAnsi="宋体" w:eastAsia="宋体" w:cs="宋体"/>
                <w:sz w:val="24"/>
                <w:szCs w:val="24"/>
              </w:rPr>
              <w:t>供应商名称</w:t>
            </w:r>
          </w:p>
          <w:p w14:paraId="1DE15687">
            <w:pPr>
              <w:pStyle w:val="7"/>
              <w:widowControl/>
              <w:spacing w:before="0" w:beforeAutospacing="0" w:after="0" w:afterAutospacing="0"/>
              <w:jc w:val="center"/>
              <w:rPr>
                <w:rFonts w:hint="eastAsia" w:ascii="宋体" w:hAnsi="宋体" w:eastAsia="宋体" w:cs="宋体"/>
                <w:sz w:val="24"/>
                <w:szCs w:val="24"/>
              </w:rPr>
            </w:pPr>
            <w:r>
              <w:rPr>
                <w:rFonts w:hint="eastAsia" w:ascii="宋体" w:hAnsi="宋体" w:eastAsia="宋体" w:cs="宋体"/>
                <w:sz w:val="24"/>
                <w:szCs w:val="24"/>
              </w:rPr>
              <w:t>（盖章）</w:t>
            </w:r>
          </w:p>
        </w:tc>
      </w:tr>
      <w:tr w14:paraId="20154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630" w:type="dxa"/>
            <w:noWrap w:val="0"/>
            <w:vAlign w:val="top"/>
          </w:tcPr>
          <w:p w14:paraId="598E9E33">
            <w:pPr>
              <w:pStyle w:val="7"/>
              <w:widowControl/>
              <w:spacing w:before="0" w:beforeAutospacing="0" w:after="0" w:afterAutospacing="0"/>
              <w:rPr>
                <w:rFonts w:hint="eastAsia" w:ascii="宋体" w:hAnsi="宋体" w:eastAsia="宋体" w:cs="宋体"/>
                <w:sz w:val="24"/>
                <w:szCs w:val="24"/>
              </w:rPr>
            </w:pPr>
            <w:bookmarkStart w:id="0" w:name="OLE_LINK3" w:colFirst="1" w:colLast="1"/>
            <w:r>
              <w:rPr>
                <w:rFonts w:hint="eastAsia" w:ascii="宋体" w:hAnsi="宋体" w:eastAsia="宋体" w:cs="宋体"/>
                <w:sz w:val="24"/>
                <w:szCs w:val="24"/>
              </w:rPr>
              <w:t>地址</w:t>
            </w:r>
          </w:p>
        </w:tc>
        <w:tc>
          <w:tcPr>
            <w:tcW w:w="3869" w:type="dxa"/>
            <w:noWrap w:val="0"/>
            <w:vAlign w:val="top"/>
          </w:tcPr>
          <w:p w14:paraId="30C2254E">
            <w:pPr>
              <w:pStyle w:val="7"/>
              <w:widowControl/>
              <w:spacing w:before="0" w:beforeAutospacing="0" w:after="0" w:afterAutospacing="0"/>
              <w:rPr>
                <w:rFonts w:hint="eastAsia" w:ascii="宋体" w:hAnsi="宋体" w:eastAsia="宋体" w:cs="宋体"/>
                <w:sz w:val="24"/>
                <w:szCs w:val="24"/>
              </w:rPr>
            </w:pPr>
            <w:r>
              <w:rPr>
                <w:rFonts w:hint="eastAsia" w:ascii="宋体" w:hAnsi="宋体" w:eastAsia="宋体" w:cs="宋体"/>
                <w:sz w:val="24"/>
                <w:szCs w:val="24"/>
              </w:rPr>
              <w:t>地址</w:t>
            </w:r>
          </w:p>
        </w:tc>
      </w:tr>
      <w:tr w14:paraId="3A9C4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630" w:type="dxa"/>
            <w:noWrap w:val="0"/>
            <w:vAlign w:val="top"/>
          </w:tcPr>
          <w:p w14:paraId="70A5DD34">
            <w:pPr>
              <w:pStyle w:val="7"/>
              <w:widowControl/>
              <w:spacing w:before="0" w:beforeAutospacing="0" w:after="0" w:afterAutospacing="0"/>
              <w:rPr>
                <w:rFonts w:hint="eastAsia" w:ascii="宋体" w:hAnsi="宋体" w:eastAsia="宋体" w:cs="宋体"/>
                <w:sz w:val="24"/>
                <w:szCs w:val="24"/>
              </w:rPr>
            </w:pPr>
            <w:r>
              <w:rPr>
                <w:rFonts w:hint="eastAsia" w:ascii="宋体" w:hAnsi="宋体" w:eastAsia="宋体" w:cs="宋体"/>
                <w:sz w:val="24"/>
                <w:szCs w:val="24"/>
              </w:rPr>
              <w:t>邮编</w:t>
            </w:r>
          </w:p>
        </w:tc>
        <w:tc>
          <w:tcPr>
            <w:tcW w:w="3869" w:type="dxa"/>
            <w:noWrap w:val="0"/>
            <w:vAlign w:val="top"/>
          </w:tcPr>
          <w:p w14:paraId="2F6974C7">
            <w:pPr>
              <w:pStyle w:val="7"/>
              <w:widowControl/>
              <w:spacing w:before="0" w:beforeAutospacing="0" w:after="0" w:afterAutospacing="0"/>
              <w:rPr>
                <w:rFonts w:hint="eastAsia" w:ascii="宋体" w:hAnsi="宋体" w:eastAsia="宋体" w:cs="宋体"/>
                <w:sz w:val="24"/>
                <w:szCs w:val="24"/>
              </w:rPr>
            </w:pPr>
            <w:r>
              <w:rPr>
                <w:rFonts w:hint="eastAsia" w:ascii="宋体" w:hAnsi="宋体" w:eastAsia="宋体" w:cs="宋体"/>
                <w:sz w:val="24"/>
                <w:szCs w:val="24"/>
              </w:rPr>
              <w:t>邮编</w:t>
            </w:r>
          </w:p>
        </w:tc>
      </w:tr>
      <w:bookmarkEnd w:id="0"/>
      <w:tr w14:paraId="36009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jc w:val="center"/>
        </w:trPr>
        <w:tc>
          <w:tcPr>
            <w:tcW w:w="3630" w:type="dxa"/>
            <w:noWrap w:val="0"/>
            <w:vAlign w:val="top"/>
          </w:tcPr>
          <w:p w14:paraId="170AAE35">
            <w:pPr>
              <w:pStyle w:val="7"/>
              <w:widowControl/>
              <w:spacing w:before="0" w:beforeAutospacing="0" w:after="0" w:afterAutospacing="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rPr>
              <w:t>被授权代表：（签字）</w:t>
            </w:r>
          </w:p>
        </w:tc>
        <w:tc>
          <w:tcPr>
            <w:tcW w:w="3869" w:type="dxa"/>
            <w:noWrap w:val="0"/>
            <w:vAlign w:val="top"/>
          </w:tcPr>
          <w:p w14:paraId="4C6F8709">
            <w:pPr>
              <w:pStyle w:val="7"/>
              <w:widowControl/>
              <w:spacing w:before="0" w:beforeAutospacing="0" w:after="0" w:afterAutospacing="0"/>
              <w:rPr>
                <w:rFonts w:hint="eastAsia" w:ascii="宋体" w:hAnsi="宋体" w:eastAsia="宋体" w:cs="宋体"/>
                <w:sz w:val="24"/>
                <w:szCs w:val="24"/>
                <w:lang w:val="en-US" w:eastAsia="zh-CN"/>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rPr>
              <w:t>被授权代表：（签字）</w:t>
            </w:r>
          </w:p>
        </w:tc>
      </w:tr>
      <w:tr w14:paraId="0AE9D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630" w:type="dxa"/>
            <w:noWrap w:val="0"/>
            <w:vAlign w:val="top"/>
          </w:tcPr>
          <w:p w14:paraId="102EE5A7">
            <w:pPr>
              <w:pStyle w:val="7"/>
              <w:widowControl/>
              <w:spacing w:before="0" w:beforeAutospacing="0" w:after="0" w:afterAutospacing="0"/>
              <w:rPr>
                <w:rFonts w:hint="eastAsia" w:ascii="宋体" w:hAnsi="宋体" w:eastAsia="宋体" w:cs="宋体"/>
                <w:sz w:val="24"/>
                <w:szCs w:val="24"/>
              </w:rPr>
            </w:pPr>
            <w:r>
              <w:rPr>
                <w:rFonts w:hint="eastAsia" w:ascii="宋体" w:hAnsi="宋体" w:eastAsia="宋体" w:cs="宋体"/>
                <w:sz w:val="24"/>
                <w:szCs w:val="24"/>
              </w:rPr>
              <w:t>电话：</w:t>
            </w:r>
          </w:p>
        </w:tc>
        <w:tc>
          <w:tcPr>
            <w:tcW w:w="3869" w:type="dxa"/>
            <w:noWrap w:val="0"/>
            <w:vAlign w:val="top"/>
          </w:tcPr>
          <w:p w14:paraId="1B9A8F74">
            <w:pPr>
              <w:pStyle w:val="7"/>
              <w:widowControl/>
              <w:spacing w:before="0" w:beforeAutospacing="0" w:after="0" w:afterAutospacing="0"/>
              <w:rPr>
                <w:rFonts w:hint="eastAsia" w:ascii="宋体" w:hAnsi="宋体" w:eastAsia="宋体" w:cs="宋体"/>
                <w:sz w:val="24"/>
                <w:szCs w:val="24"/>
              </w:rPr>
            </w:pPr>
            <w:r>
              <w:rPr>
                <w:rFonts w:hint="eastAsia" w:ascii="宋体" w:hAnsi="宋体" w:eastAsia="宋体" w:cs="宋体"/>
                <w:sz w:val="24"/>
                <w:szCs w:val="24"/>
              </w:rPr>
              <w:t>电话：</w:t>
            </w:r>
          </w:p>
        </w:tc>
      </w:tr>
      <w:tr w14:paraId="16E0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630" w:type="dxa"/>
            <w:noWrap w:val="0"/>
            <w:vAlign w:val="top"/>
          </w:tcPr>
          <w:p w14:paraId="79722D13">
            <w:pPr>
              <w:pStyle w:val="7"/>
              <w:widowControl/>
              <w:spacing w:before="0" w:beforeAutospacing="0" w:after="0" w:afterAutospacing="0"/>
              <w:rPr>
                <w:rFonts w:hint="eastAsia" w:ascii="宋体" w:hAnsi="宋体" w:eastAsia="宋体" w:cs="宋体"/>
                <w:sz w:val="24"/>
                <w:szCs w:val="24"/>
              </w:rPr>
            </w:pPr>
            <w:r>
              <w:rPr>
                <w:rFonts w:hint="eastAsia" w:ascii="宋体" w:hAnsi="宋体" w:eastAsia="宋体" w:cs="宋体"/>
                <w:sz w:val="24"/>
                <w:szCs w:val="24"/>
              </w:rPr>
              <w:t>传真：</w:t>
            </w:r>
          </w:p>
        </w:tc>
        <w:tc>
          <w:tcPr>
            <w:tcW w:w="3869" w:type="dxa"/>
            <w:noWrap w:val="0"/>
            <w:vAlign w:val="top"/>
          </w:tcPr>
          <w:p w14:paraId="10357408">
            <w:pPr>
              <w:pStyle w:val="7"/>
              <w:widowControl/>
              <w:spacing w:before="0" w:beforeAutospacing="0" w:after="0" w:afterAutospacing="0"/>
              <w:rPr>
                <w:rFonts w:hint="eastAsia" w:ascii="宋体" w:hAnsi="宋体" w:eastAsia="宋体" w:cs="宋体"/>
                <w:sz w:val="24"/>
                <w:szCs w:val="24"/>
              </w:rPr>
            </w:pPr>
            <w:r>
              <w:rPr>
                <w:rFonts w:hint="eastAsia" w:ascii="宋体" w:hAnsi="宋体" w:eastAsia="宋体" w:cs="宋体"/>
                <w:sz w:val="24"/>
                <w:szCs w:val="24"/>
              </w:rPr>
              <w:t>传真:</w:t>
            </w:r>
          </w:p>
        </w:tc>
      </w:tr>
      <w:tr w14:paraId="6A2CB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630" w:type="dxa"/>
            <w:noWrap w:val="0"/>
            <w:vAlign w:val="top"/>
          </w:tcPr>
          <w:p w14:paraId="2058D81D">
            <w:pPr>
              <w:pStyle w:val="7"/>
              <w:widowControl/>
              <w:spacing w:before="0" w:beforeAutospacing="0" w:after="0" w:afterAutospacing="0"/>
              <w:rPr>
                <w:rFonts w:hint="eastAsia" w:ascii="宋体" w:hAnsi="宋体" w:eastAsia="宋体" w:cs="宋体"/>
                <w:sz w:val="24"/>
                <w:szCs w:val="24"/>
              </w:rPr>
            </w:pPr>
          </w:p>
        </w:tc>
        <w:tc>
          <w:tcPr>
            <w:tcW w:w="3869" w:type="dxa"/>
            <w:noWrap w:val="0"/>
            <w:vAlign w:val="top"/>
          </w:tcPr>
          <w:p w14:paraId="00B93A2C">
            <w:pPr>
              <w:pStyle w:val="7"/>
              <w:widowControl/>
              <w:spacing w:before="0" w:beforeAutospacing="0" w:after="0" w:afterAutospacing="0"/>
              <w:rPr>
                <w:rFonts w:hint="eastAsia" w:ascii="宋体" w:hAnsi="宋体" w:eastAsia="宋体" w:cs="宋体"/>
                <w:sz w:val="24"/>
                <w:szCs w:val="24"/>
              </w:rPr>
            </w:pPr>
            <w:r>
              <w:rPr>
                <w:rFonts w:hint="eastAsia" w:ascii="宋体" w:hAnsi="宋体" w:eastAsia="宋体" w:cs="宋体"/>
                <w:sz w:val="24"/>
                <w:szCs w:val="24"/>
              </w:rPr>
              <w:t>开户银行：</w:t>
            </w:r>
          </w:p>
        </w:tc>
      </w:tr>
      <w:tr w14:paraId="363D5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630" w:type="dxa"/>
            <w:noWrap w:val="0"/>
            <w:vAlign w:val="top"/>
          </w:tcPr>
          <w:p w14:paraId="6AD059B5">
            <w:pPr>
              <w:pStyle w:val="7"/>
              <w:widowControl/>
              <w:spacing w:before="0" w:beforeAutospacing="0" w:after="0" w:afterAutospacing="0"/>
              <w:rPr>
                <w:rFonts w:hint="eastAsia" w:ascii="宋体" w:hAnsi="宋体" w:eastAsia="宋体" w:cs="宋体"/>
                <w:sz w:val="24"/>
                <w:szCs w:val="24"/>
              </w:rPr>
            </w:pPr>
          </w:p>
        </w:tc>
        <w:tc>
          <w:tcPr>
            <w:tcW w:w="3869" w:type="dxa"/>
            <w:noWrap w:val="0"/>
            <w:vAlign w:val="top"/>
          </w:tcPr>
          <w:p w14:paraId="35AD7AB7">
            <w:pPr>
              <w:pStyle w:val="7"/>
              <w:widowControl/>
              <w:spacing w:before="0" w:beforeAutospacing="0" w:after="0" w:afterAutospacing="0"/>
              <w:rPr>
                <w:rFonts w:hint="eastAsia" w:ascii="宋体" w:hAnsi="宋体" w:eastAsia="宋体" w:cs="宋体"/>
                <w:sz w:val="24"/>
                <w:szCs w:val="24"/>
              </w:rPr>
            </w:pPr>
            <w:r>
              <w:rPr>
                <w:rFonts w:hint="eastAsia" w:ascii="宋体" w:hAnsi="宋体" w:eastAsia="宋体" w:cs="宋体"/>
                <w:sz w:val="24"/>
                <w:szCs w:val="24"/>
              </w:rPr>
              <w:t>账号：</w:t>
            </w:r>
          </w:p>
        </w:tc>
      </w:tr>
      <w:tr w14:paraId="61763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jc w:val="center"/>
        </w:trPr>
        <w:tc>
          <w:tcPr>
            <w:tcW w:w="3630" w:type="dxa"/>
            <w:noWrap w:val="0"/>
            <w:vAlign w:val="top"/>
          </w:tcPr>
          <w:p w14:paraId="59153955">
            <w:pPr>
              <w:pStyle w:val="7"/>
              <w:widowControl/>
              <w:spacing w:before="0" w:beforeAutospacing="0" w:after="0" w:afterAutospacing="0"/>
              <w:rPr>
                <w:rFonts w:hint="eastAsia" w:ascii="宋体" w:hAnsi="宋体" w:eastAsia="宋体" w:cs="宋体"/>
                <w:sz w:val="24"/>
                <w:szCs w:val="24"/>
              </w:rPr>
            </w:pPr>
            <w:r>
              <w:rPr>
                <w:rFonts w:hint="eastAsia" w:ascii="宋体" w:hAnsi="宋体" w:eastAsia="宋体" w:cs="宋体"/>
                <w:sz w:val="24"/>
                <w:szCs w:val="24"/>
              </w:rPr>
              <w:t>日期：  年  月  日</w:t>
            </w:r>
          </w:p>
        </w:tc>
        <w:tc>
          <w:tcPr>
            <w:tcW w:w="3869" w:type="dxa"/>
            <w:noWrap w:val="0"/>
            <w:vAlign w:val="top"/>
          </w:tcPr>
          <w:p w14:paraId="00F06C5B">
            <w:pPr>
              <w:pStyle w:val="7"/>
              <w:widowControl/>
              <w:spacing w:before="0" w:beforeAutospacing="0" w:after="0" w:afterAutospacing="0"/>
              <w:rPr>
                <w:rFonts w:hint="eastAsia" w:ascii="宋体" w:hAnsi="宋体" w:eastAsia="宋体" w:cs="宋体"/>
                <w:sz w:val="24"/>
                <w:szCs w:val="24"/>
              </w:rPr>
            </w:pPr>
            <w:bookmarkStart w:id="1" w:name="OLE_LINK4"/>
            <w:r>
              <w:rPr>
                <w:rFonts w:hint="eastAsia" w:ascii="宋体" w:hAnsi="宋体" w:eastAsia="宋体" w:cs="宋体"/>
                <w:sz w:val="24"/>
                <w:szCs w:val="24"/>
              </w:rPr>
              <w:t>日期：  年  月  日</w:t>
            </w:r>
            <w:bookmarkEnd w:id="1"/>
          </w:p>
        </w:tc>
      </w:tr>
    </w:tbl>
    <w:p w14:paraId="01D435D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B79918"/>
    <w:multiLevelType w:val="singleLevel"/>
    <w:tmpl w:val="E0B79918"/>
    <w:lvl w:ilvl="0" w:tentative="0">
      <w:start w:val="1"/>
      <w:numFmt w:val="chineseCounting"/>
      <w:suff w:val="nothing"/>
      <w:lvlText w:val="（%1）"/>
      <w:lvlJc w:val="left"/>
      <w:pPr>
        <w:ind w:left="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194F3201"/>
    <w:rsid w:val="194F3201"/>
    <w:rsid w:val="2AD96D6D"/>
    <w:rsid w:val="62F53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5">
    <w:name w:val="Normal Indent"/>
    <w:basedOn w:val="1"/>
    <w:next w:val="1"/>
    <w:qFormat/>
    <w:uiPriority w:val="99"/>
    <w:pPr>
      <w:ind w:firstLine="420" w:firstLineChars="200"/>
    </w:pPr>
    <w:rPr>
      <w:szCs w:val="24"/>
    </w:rPr>
  </w:style>
  <w:style w:type="paragraph" w:styleId="6">
    <w:name w:val="annotation text"/>
    <w:basedOn w:val="1"/>
    <w:qFormat/>
    <w:uiPriority w:val="0"/>
    <w:pPr>
      <w:jc w:val="left"/>
    </w:p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3897</Words>
  <Characters>3966</Characters>
  <Lines>0</Lines>
  <Paragraphs>0</Paragraphs>
  <TotalTime>1</TotalTime>
  <ScaleCrop>false</ScaleCrop>
  <LinksUpToDate>false</LinksUpToDate>
  <CharactersWithSpaces>4046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2026-06-11T06:39:00Z</dcterms:created>
  <dc:creator>逗辣是个小欢喜。</dc:creator>
  <cp:lastModifiedBy>计多不压身</cp:lastModifiedBy>
  <dcterms:modified xsi:type="dcterms:W3CDTF">2026-07-14T03:22:01Z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070C9099E7D146BCBB6155497411B5A1_11</vt:lpwstr>
  </property>
  <property fmtid="{D5CDD505-2E9C-101B-9397-08002B2CF9AE}" pid="4" name="KSOTemplateDocerSaveRecord">
    <vt:lpwstr>eyJoZGlkIjoiZTVlOWE5YTI5NGViYmQxOTY1YjI0MmNhYjExMWQ0NjQiLCJ1c2VySWQiOiIzMjQ4Mzc5MTEifQ==</vt:lpwstr>
  </property>
</Properties>
</file>