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D575AB">
      <w:pPr>
        <w:pStyle w:val="2"/>
        <w:numPr>
          <w:ilvl w:val="0"/>
          <w:numId w:val="0"/>
        </w:numPr>
        <w:bidi w:val="0"/>
        <w:jc w:val="center"/>
        <w:rPr>
          <w:rFonts w:hint="eastAsia" w:ascii="仿宋" w:hAnsi="仿宋" w:eastAsia="仿宋" w:cs="仿宋"/>
          <w:color w:val="auto"/>
          <w:sz w:val="24"/>
          <w:szCs w:val="24"/>
          <w:highlight w:val="none"/>
        </w:rPr>
      </w:pPr>
      <w:r>
        <w:rPr>
          <w:rFonts w:hint="eastAsia" w:cs="Times New Roman"/>
          <w:b/>
          <w:color w:val="auto"/>
          <w:highlight w:val="none"/>
          <w:lang w:eastAsia="zh-CN"/>
        </w:rPr>
        <w:t>采购</w:t>
      </w:r>
      <w:r>
        <w:rPr>
          <w:rFonts w:hint="eastAsia" w:cs="Times New Roman"/>
          <w:b/>
          <w:color w:val="auto"/>
          <w:highlight w:val="none"/>
        </w:rPr>
        <w:t>内容及技术要求</w:t>
      </w:r>
    </w:p>
    <w:p w14:paraId="3FF9B9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val="0"/>
          <w:color w:val="auto"/>
          <w:highlight w:val="none"/>
          <w:lang w:val="en-US" w:eastAsia="zh-CN"/>
        </w:rPr>
      </w:pPr>
      <w:bookmarkStart w:id="0" w:name="_Toc2711"/>
      <w:bookmarkStart w:id="1" w:name="_Toc4053"/>
      <w:bookmarkStart w:id="2" w:name="_Toc20481"/>
      <w:bookmarkStart w:id="3" w:name="_Toc18831"/>
      <w:bookmarkStart w:id="4" w:name="_Toc11450"/>
      <w:bookmarkStart w:id="5" w:name="_Toc23856"/>
      <w:bookmarkStart w:id="6" w:name="_Toc26847"/>
      <w:bookmarkStart w:id="7" w:name="_Toc1025"/>
      <w:bookmarkStart w:id="8" w:name="_Toc389582038"/>
      <w:r>
        <w:rPr>
          <w:rFonts w:hint="eastAsia" w:ascii="仿宋" w:hAnsi="仿宋" w:eastAsia="仿宋" w:cs="仿宋"/>
          <w:b/>
          <w:bCs w:val="0"/>
          <w:color w:val="auto"/>
          <w:highlight w:val="none"/>
          <w:lang w:val="en-US" w:eastAsia="zh-CN"/>
        </w:rPr>
        <w:t>一、项目概况</w:t>
      </w:r>
    </w:p>
    <w:p w14:paraId="1C4661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按照工贸行业安全生产治本攻坚三年行动要求，对涉及和使用危险化学品的30家重点工业企业开展安全风险评估工作。通过评估，切实查找影响使用危险化学品工业企业安全生产的共性问题、突出问题和深层次问题，研判此类企业存在的系统性风险隐患，提升防范化解重大安全风险能力，推动企业落实安全生产主体责任，协助行业部门制定精准监管方案和计划，做好提升企业本质安全水平和安全管理能力。</w:t>
      </w:r>
    </w:p>
    <w:p w14:paraId="0FA853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val="0"/>
          <w:color w:val="auto"/>
          <w:highlight w:val="none"/>
          <w:lang w:val="en-US" w:eastAsia="zh-CN"/>
        </w:rPr>
      </w:pPr>
      <w:r>
        <w:rPr>
          <w:rFonts w:hint="eastAsia" w:ascii="仿宋" w:hAnsi="仿宋" w:eastAsia="仿宋" w:cs="仿宋"/>
          <w:b/>
          <w:bCs w:val="0"/>
          <w:color w:val="auto"/>
          <w:highlight w:val="none"/>
          <w:lang w:val="en-US" w:eastAsia="zh-CN"/>
        </w:rPr>
        <w:t>二、技术要求</w:t>
      </w:r>
    </w:p>
    <w:p w14:paraId="3593F9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一）围绕使用危险化学品工业企业开展八个方面的风险评估工作，一是基础管理风险评估，二是工艺与设备设施风险评估，三是作业活动风险评估，四是作业环境和现场风险评估，五是重点监管部门风险评估，六是应急管理风险评估，七是风险辨识、分级与管控，八是评估结论和建议。</w:t>
      </w:r>
    </w:p>
    <w:p w14:paraId="71F777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二）以风险评估结果为核心依据，协助行业部门完善风险分级分类监管，针对不同企业提出监管重点、监管频次与监管方式的指导性建议。针对高风险企业，锁定关键风险环节与薄弱点位，建立重点监管清单，实施精准化、常态化监管；针对中低风险企业，侧重指导帮扶与动态监测，避免“一刀切”式监管资源浪费。推动监管工作从“粗放式全覆盖”向“精准化靶向监管”升级，全面提升辖区使用危险化学品工业企业的安全生产监管效能。</w:t>
      </w:r>
    </w:p>
    <w:p w14:paraId="0E7417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（三）指导使用危险化学品工业企业对存在问题实施整改提升。</w:t>
      </w:r>
    </w:p>
    <w:p w14:paraId="2CE59A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val="0"/>
          <w:color w:val="auto"/>
          <w:highlight w:val="none"/>
          <w:lang w:val="en-US" w:eastAsia="zh-CN"/>
        </w:rPr>
      </w:pPr>
      <w:r>
        <w:rPr>
          <w:rFonts w:hint="eastAsia" w:ascii="仿宋" w:hAnsi="仿宋" w:eastAsia="仿宋" w:cs="仿宋"/>
          <w:b/>
          <w:bCs w:val="0"/>
          <w:color w:val="auto"/>
          <w:highlight w:val="none"/>
          <w:lang w:val="en-US" w:eastAsia="zh-CN"/>
        </w:rPr>
        <w:t>三、成果要求</w:t>
      </w:r>
    </w:p>
    <w:p w14:paraId="11AC8E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1.各企业风险评估报告（问题描述清晰，并配有图示、数据等说明，要注明所列有关国家法律法规、国家标准、行业标准等）</w:t>
      </w:r>
    </w:p>
    <w:p w14:paraId="57760E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2.使用危险化学品工业企业自查表（企业自查表所列项除可能导致的火灾爆炸等常见自查内容外，还应根据可能导致的次生灾害的潜在风险进行描述）</w:t>
      </w:r>
    </w:p>
    <w:p w14:paraId="7B47F0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3.使用危险化学品工业企业整体风险评估报告（使用危险化学品工业企业对周边环境及企业的影响，行业部门如何利用现有资源分级分类做好监管，属地、行业部门对可能发生的突发事件利用周边资源如何预防和控制）</w:t>
      </w:r>
    </w:p>
    <w:p w14:paraId="04BA17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4.行业部门或属地专项检查表（除对使用危险化学品工业企业专项检查内容外，还应增加可能导致火灾爆炸的潜在风险和火灾爆炸后可能造成次生灾害的风险隐患）</w:t>
      </w:r>
    </w:p>
    <w:p w14:paraId="253495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val="0"/>
          <w:color w:val="auto"/>
          <w:highlight w:val="none"/>
          <w:lang w:val="en-US" w:eastAsia="zh-CN"/>
        </w:rPr>
      </w:pPr>
      <w:r>
        <w:rPr>
          <w:rFonts w:hint="eastAsia" w:ascii="仿宋" w:hAnsi="仿宋" w:eastAsia="仿宋" w:cs="仿宋"/>
          <w:b/>
          <w:bCs w:val="0"/>
          <w:color w:val="auto"/>
          <w:highlight w:val="none"/>
          <w:lang w:val="en-US" w:eastAsia="zh-CN"/>
        </w:rPr>
        <w:t>四、人员配置要求</w:t>
      </w:r>
    </w:p>
    <w:p w14:paraId="28A187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企业风险评估工作成立评估工作组，评估组不少于3名省市库工贸领域专家（提供承诺函），其中危险化学品领域专家不少于1名。并配备1名技术人员负责评估报告编制工作。</w:t>
      </w:r>
    </w:p>
    <w:p w14:paraId="7CE0A2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质量验收标准或规范</w:t>
      </w:r>
    </w:p>
    <w:p w14:paraId="0E7CC6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1.完成30份使用危险化学品工业企业风险评估报告。</w:t>
      </w:r>
    </w:p>
    <w:p w14:paraId="312251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2.完成30份使用危险化学品工业企业隐患自查表。</w:t>
      </w:r>
    </w:p>
    <w:p w14:paraId="4AA6DE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highlight w:val="none"/>
          <w:lang w:val="en-US" w:eastAsia="zh-CN"/>
        </w:rPr>
        <w:t>3.编制完成1份使用危险化学品工业企业整体风险评估报告。</w:t>
      </w:r>
    </w:p>
    <w:p w14:paraId="25F78B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仿宋" w:hAnsi="仿宋" w:eastAsia="仿宋" w:cs="仿宋"/>
          <w:b w:val="0"/>
          <w:bCs/>
          <w:color w:val="auto"/>
          <w:highlight w:val="none"/>
          <w:lang w:val="en-US" w:eastAsia="zh-CN"/>
        </w:rPr>
        <w:t>4.编制完成1份行业部门、属地专项检查表。</w:t>
      </w:r>
      <w:bookmarkEnd w:id="0"/>
      <w:bookmarkEnd w:id="1"/>
      <w:bookmarkEnd w:id="2"/>
      <w:bookmarkEnd w:id="3"/>
      <w:bookmarkEnd w:id="4"/>
      <w:bookmarkEnd w:id="5"/>
      <w:bookmarkEnd w:id="6"/>
      <w:bookmarkEnd w:id="7"/>
      <w:bookmarkEnd w:id="8"/>
      <w:bookmarkStart w:id="9" w:name="_GoBack"/>
      <w:bookmarkEnd w:id="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F2163D"/>
    <w:rsid w:val="6DF216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0"/>
    <w:pPr>
      <w:keepNext/>
      <w:outlineLvl w:val="0"/>
    </w:pPr>
    <w:rPr>
      <w:rFonts w:ascii="仿宋_GB2312" w:hAnsi="仿宋_GB2312" w:eastAsia="仿宋_GB2312"/>
      <w:b/>
      <w:kern w:val="2"/>
      <w:sz w:val="32"/>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2026-07-06T07:38:00Z</dcterms:created>
  <dc:creator>QQQQ</dc:creator>
  <cp:lastModifiedBy>QQQQ</cp:lastModifiedBy>
  <dcterms:modified xsi:type="dcterms:W3CDTF">2026-07-06T07:38:20Z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6C02809B34374FCE8FF452AD93825E1E_11</vt:lpwstr>
  </property>
  <property fmtid="{D5CDD505-2E9C-101B-9397-08002B2CF9AE}" pid="4" name="KSOTemplateDocerSaveRecord">
    <vt:lpwstr>eyJoZGlkIjoiNmZlMDQwN2NiMDE0ZGM3OGQyMjI2MGI5NGMzYzk3YjEiLCJ1c2VySWQiOiIzODkzMjE1NzcifQ==</vt:lpwstr>
  </property>
</Properties>
</file>