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E1260A">
      <w:pPr>
        <w:pStyle w:val="4"/>
        <w:ind w:firstLine="480"/>
        <w:jc w:val="center"/>
        <w:rPr>
          <w:rFonts w:hint="eastAsia" w:ascii="仿宋_GB2312" w:hAnsi="仿宋_GB2312" w:eastAsia="仿宋_GB2312" w:cs="仿宋_GB2312"/>
          <w:b/>
          <w:sz w:val="36"/>
          <w:lang w:eastAsia="zh-CN"/>
        </w:rPr>
      </w:pPr>
      <w:r>
        <w:rPr>
          <w:rFonts w:hint="eastAsia" w:ascii="仿宋_GB2312" w:hAnsi="仿宋_GB2312" w:eastAsia="仿宋_GB2312" w:cs="仿宋_GB2312"/>
          <w:b/>
          <w:sz w:val="36"/>
          <w:lang w:eastAsia="zh-CN"/>
        </w:rPr>
        <w:t>采购需求</w:t>
      </w:r>
    </w:p>
    <w:p w14:paraId="60260A68">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824E38B">
      <w:pPr>
        <w:pStyle w:val="4"/>
        <w:outlineLvl w:val="2"/>
      </w:pPr>
      <w:r>
        <w:rPr>
          <w:rFonts w:ascii="仿宋_GB2312" w:hAnsi="仿宋_GB2312" w:eastAsia="仿宋_GB2312" w:cs="仿宋_GB2312"/>
          <w:b/>
          <w:sz w:val="28"/>
        </w:rPr>
        <w:t>1采购项目概况</w:t>
      </w:r>
    </w:p>
    <w:p w14:paraId="11AF626C">
      <w:pPr>
        <w:pStyle w:val="4"/>
        <w:ind w:firstLine="480"/>
      </w:pPr>
      <w:r>
        <w:rPr>
          <w:rFonts w:hint="eastAsia" w:ascii="仿宋_GB2312" w:hAnsi="仿宋_GB2312" w:eastAsia="仿宋_GB2312" w:cs="仿宋_GB2312"/>
          <w:lang w:val="en-US" w:eastAsia="zh-CN"/>
        </w:rPr>
        <w:t>西变DK1西界至西站DK2东界以隋唐长安城第二横街遗迹为主体，长约2530米，19.26公顷范围内考古发现的隋唐长安城道路、路沟、坊门、坊墙等遗迹保护方案的编制</w:t>
      </w:r>
      <w:r>
        <w:rPr>
          <w:rFonts w:ascii="仿宋_GB2312" w:hAnsi="仿宋_GB2312" w:eastAsia="仿宋_GB2312" w:cs="仿宋_GB2312"/>
        </w:rPr>
        <w:t>工作。</w:t>
      </w:r>
    </w:p>
    <w:p w14:paraId="11489D79">
      <w:pPr>
        <w:pStyle w:val="4"/>
        <w:outlineLvl w:val="2"/>
      </w:pPr>
      <w:r>
        <w:rPr>
          <w:rFonts w:ascii="仿宋_GB2312" w:hAnsi="仿宋_GB2312" w:eastAsia="仿宋_GB2312" w:cs="仿宋_GB2312"/>
          <w:b/>
          <w:sz w:val="28"/>
        </w:rPr>
        <w:t>2服务内容及服务要求</w:t>
      </w:r>
    </w:p>
    <w:p w14:paraId="2EE14BC2">
      <w:pPr>
        <w:pStyle w:val="4"/>
        <w:outlineLvl w:val="3"/>
      </w:pPr>
      <w:r>
        <w:rPr>
          <w:rFonts w:ascii="仿宋_GB2312" w:hAnsi="仿宋_GB2312" w:eastAsia="仿宋_GB2312" w:cs="仿宋_GB2312"/>
          <w:b/>
          <w:sz w:val="24"/>
        </w:rPr>
        <w:t>2.1服务内容</w:t>
      </w:r>
    </w:p>
    <w:p w14:paraId="1FCC4CF6">
      <w:pPr>
        <w:pStyle w:val="4"/>
      </w:pPr>
      <w:r>
        <w:rPr>
          <w:rFonts w:ascii="仿宋_GB2312" w:hAnsi="仿宋_GB2312" w:eastAsia="仿宋_GB2312" w:cs="仿宋_GB2312"/>
        </w:rPr>
        <w:t>采购包1：</w:t>
      </w:r>
    </w:p>
    <w:p w14:paraId="443DB201">
      <w:pPr>
        <w:pStyle w:val="4"/>
      </w:pPr>
      <w:r>
        <w:rPr>
          <w:rFonts w:ascii="仿宋_GB2312" w:hAnsi="仿宋_GB2312" w:eastAsia="仿宋_GB2312" w:cs="仿宋_GB2312"/>
        </w:rPr>
        <w:t xml:space="preserve">采购包预算金额（元）: </w:t>
      </w:r>
      <w:r>
        <w:rPr>
          <w:rFonts w:hint="eastAsia" w:ascii="仿宋_GB2312" w:hAnsi="仿宋_GB2312" w:eastAsia="仿宋_GB2312" w:cs="仿宋_GB2312"/>
          <w:lang w:val="en-US" w:eastAsia="zh-CN"/>
        </w:rPr>
        <w:t>69</w:t>
      </w:r>
      <w:r>
        <w:rPr>
          <w:rFonts w:ascii="仿宋_GB2312" w:hAnsi="仿宋_GB2312" w:eastAsia="仿宋_GB2312" w:cs="仿宋_GB2312"/>
        </w:rPr>
        <w:t>0,000.00</w:t>
      </w:r>
    </w:p>
    <w:p w14:paraId="0F76885D">
      <w:pPr>
        <w:pStyle w:val="4"/>
      </w:pPr>
      <w:r>
        <w:rPr>
          <w:rFonts w:ascii="仿宋_GB2312" w:hAnsi="仿宋_GB2312" w:eastAsia="仿宋_GB2312" w:cs="仿宋_GB2312"/>
        </w:rPr>
        <w:t xml:space="preserve">采购包最高限价（元）: </w:t>
      </w:r>
      <w:r>
        <w:rPr>
          <w:rFonts w:hint="eastAsia" w:ascii="仿宋_GB2312" w:hAnsi="仿宋_GB2312" w:eastAsia="仿宋_GB2312" w:cs="仿宋_GB2312"/>
          <w:lang w:val="en-US" w:eastAsia="zh-CN"/>
        </w:rPr>
        <w:t>69</w:t>
      </w:r>
      <w:r>
        <w:rPr>
          <w:rFonts w:ascii="仿宋_GB2312" w:hAnsi="仿宋_GB2312" w:eastAsia="仿宋_GB2312" w:cs="仿宋_GB2312"/>
        </w:rPr>
        <w:t>0,000.00</w:t>
      </w:r>
    </w:p>
    <w:p w14:paraId="06BCA65D">
      <w:pPr>
        <w:pStyle w:val="4"/>
      </w:pPr>
      <w:r>
        <w:rPr>
          <w:rFonts w:ascii="仿宋_GB2312" w:hAnsi="仿宋_GB2312" w:eastAsia="仿宋_GB2312" w:cs="仿宋_GB2312"/>
        </w:rPr>
        <w:t>供应商报价不允许超过标的金额</w:t>
      </w:r>
    </w:p>
    <w:p w14:paraId="1F791807">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2"/>
        <w:gridCol w:w="742"/>
        <w:gridCol w:w="748"/>
        <w:gridCol w:w="1096"/>
        <w:gridCol w:w="742"/>
        <w:gridCol w:w="742"/>
        <w:gridCol w:w="742"/>
        <w:gridCol w:w="742"/>
        <w:gridCol w:w="742"/>
        <w:gridCol w:w="742"/>
        <w:gridCol w:w="742"/>
      </w:tblGrid>
      <w:tr w14:paraId="5CB1A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15D957D">
            <w:pPr>
              <w:pStyle w:val="4"/>
            </w:pPr>
            <w:r>
              <w:rPr>
                <w:rFonts w:ascii="仿宋_GB2312" w:hAnsi="仿宋_GB2312" w:eastAsia="仿宋_GB2312" w:cs="仿宋_GB2312"/>
              </w:rPr>
              <w:t>序号</w:t>
            </w:r>
          </w:p>
        </w:tc>
        <w:tc>
          <w:tcPr>
            <w:tcW w:w="755" w:type="dxa"/>
          </w:tcPr>
          <w:p w14:paraId="3E52994F">
            <w:pPr>
              <w:pStyle w:val="4"/>
            </w:pPr>
            <w:r>
              <w:rPr>
                <w:rFonts w:ascii="仿宋_GB2312" w:hAnsi="仿宋_GB2312" w:eastAsia="仿宋_GB2312" w:cs="仿宋_GB2312"/>
              </w:rPr>
              <w:t>标的名称</w:t>
            </w:r>
          </w:p>
        </w:tc>
        <w:tc>
          <w:tcPr>
            <w:tcW w:w="755" w:type="dxa"/>
          </w:tcPr>
          <w:p w14:paraId="0CD42391">
            <w:pPr>
              <w:pStyle w:val="4"/>
            </w:pPr>
            <w:r>
              <w:rPr>
                <w:rFonts w:ascii="仿宋_GB2312" w:hAnsi="仿宋_GB2312" w:eastAsia="仿宋_GB2312" w:cs="仿宋_GB2312"/>
              </w:rPr>
              <w:t>数量</w:t>
            </w:r>
          </w:p>
        </w:tc>
        <w:tc>
          <w:tcPr>
            <w:tcW w:w="755" w:type="dxa"/>
          </w:tcPr>
          <w:p w14:paraId="69B46ACF">
            <w:pPr>
              <w:pStyle w:val="4"/>
            </w:pPr>
            <w:r>
              <w:rPr>
                <w:rFonts w:ascii="仿宋_GB2312" w:hAnsi="仿宋_GB2312" w:eastAsia="仿宋_GB2312" w:cs="仿宋_GB2312"/>
              </w:rPr>
              <w:t>标的金额 （元）</w:t>
            </w:r>
          </w:p>
        </w:tc>
        <w:tc>
          <w:tcPr>
            <w:tcW w:w="755" w:type="dxa"/>
          </w:tcPr>
          <w:p w14:paraId="32DA6166">
            <w:pPr>
              <w:pStyle w:val="4"/>
            </w:pPr>
            <w:r>
              <w:rPr>
                <w:rFonts w:ascii="仿宋_GB2312" w:hAnsi="仿宋_GB2312" w:eastAsia="仿宋_GB2312" w:cs="仿宋_GB2312"/>
              </w:rPr>
              <w:t>计量单位</w:t>
            </w:r>
          </w:p>
        </w:tc>
        <w:tc>
          <w:tcPr>
            <w:tcW w:w="755" w:type="dxa"/>
          </w:tcPr>
          <w:p w14:paraId="075E59AB">
            <w:pPr>
              <w:pStyle w:val="4"/>
            </w:pPr>
            <w:r>
              <w:rPr>
                <w:rFonts w:ascii="仿宋_GB2312" w:hAnsi="仿宋_GB2312" w:eastAsia="仿宋_GB2312" w:cs="仿宋_GB2312"/>
              </w:rPr>
              <w:t>所属行业</w:t>
            </w:r>
          </w:p>
        </w:tc>
        <w:tc>
          <w:tcPr>
            <w:tcW w:w="755" w:type="dxa"/>
          </w:tcPr>
          <w:p w14:paraId="2E4C4B5F">
            <w:pPr>
              <w:pStyle w:val="4"/>
            </w:pPr>
            <w:r>
              <w:rPr>
                <w:rFonts w:ascii="仿宋_GB2312" w:hAnsi="仿宋_GB2312" w:eastAsia="仿宋_GB2312" w:cs="仿宋_GB2312"/>
              </w:rPr>
              <w:t>是否核心产品</w:t>
            </w:r>
          </w:p>
        </w:tc>
        <w:tc>
          <w:tcPr>
            <w:tcW w:w="755" w:type="dxa"/>
          </w:tcPr>
          <w:p w14:paraId="591A6E29">
            <w:pPr>
              <w:pStyle w:val="4"/>
            </w:pPr>
            <w:r>
              <w:rPr>
                <w:rFonts w:ascii="仿宋_GB2312" w:hAnsi="仿宋_GB2312" w:eastAsia="仿宋_GB2312" w:cs="仿宋_GB2312"/>
              </w:rPr>
              <w:t>是否允许进口产品</w:t>
            </w:r>
          </w:p>
        </w:tc>
        <w:tc>
          <w:tcPr>
            <w:tcW w:w="755" w:type="dxa"/>
          </w:tcPr>
          <w:p w14:paraId="7046C1DE">
            <w:pPr>
              <w:pStyle w:val="4"/>
            </w:pPr>
            <w:r>
              <w:rPr>
                <w:rFonts w:ascii="仿宋_GB2312" w:hAnsi="仿宋_GB2312" w:eastAsia="仿宋_GB2312" w:cs="仿宋_GB2312"/>
              </w:rPr>
              <w:t>是否属于节能产品</w:t>
            </w:r>
          </w:p>
        </w:tc>
        <w:tc>
          <w:tcPr>
            <w:tcW w:w="755" w:type="dxa"/>
          </w:tcPr>
          <w:p w14:paraId="3725D6F1">
            <w:pPr>
              <w:pStyle w:val="4"/>
            </w:pPr>
            <w:r>
              <w:rPr>
                <w:rFonts w:ascii="仿宋_GB2312" w:hAnsi="仿宋_GB2312" w:eastAsia="仿宋_GB2312" w:cs="仿宋_GB2312"/>
              </w:rPr>
              <w:t>是否属于环境标志产品</w:t>
            </w:r>
          </w:p>
        </w:tc>
        <w:tc>
          <w:tcPr>
            <w:tcW w:w="755" w:type="dxa"/>
          </w:tcPr>
          <w:p w14:paraId="783D5551">
            <w:pPr>
              <w:pStyle w:val="4"/>
            </w:pPr>
            <w:r>
              <w:rPr>
                <w:rFonts w:ascii="仿宋_GB2312" w:hAnsi="仿宋_GB2312" w:eastAsia="仿宋_GB2312" w:cs="仿宋_GB2312"/>
              </w:rPr>
              <w:t>是否实施本国产品政策</w:t>
            </w:r>
          </w:p>
        </w:tc>
      </w:tr>
      <w:tr w14:paraId="657C7E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85CBF22">
            <w:pPr>
              <w:pStyle w:val="4"/>
            </w:pPr>
            <w:r>
              <w:rPr>
                <w:rFonts w:ascii="仿宋_GB2312" w:hAnsi="仿宋_GB2312" w:eastAsia="仿宋_GB2312" w:cs="仿宋_GB2312"/>
              </w:rPr>
              <w:t>1</w:t>
            </w:r>
          </w:p>
        </w:tc>
        <w:tc>
          <w:tcPr>
            <w:tcW w:w="755" w:type="dxa"/>
          </w:tcPr>
          <w:p w14:paraId="6C83166A">
            <w:pPr>
              <w:pStyle w:val="4"/>
            </w:pPr>
            <w:r>
              <w:rPr>
                <w:rFonts w:hint="eastAsia" w:ascii="仿宋_GB2312" w:hAnsi="仿宋_GB2312" w:eastAsia="仿宋_GB2312" w:cs="仿宋_GB2312"/>
              </w:rPr>
              <w:t>隋唐长安城第二横街西段保护展示方案编制服务项目</w:t>
            </w:r>
          </w:p>
        </w:tc>
        <w:tc>
          <w:tcPr>
            <w:tcW w:w="755" w:type="dxa"/>
          </w:tcPr>
          <w:p w14:paraId="4F20C17A">
            <w:pPr>
              <w:pStyle w:val="4"/>
              <w:jc w:val="right"/>
            </w:pPr>
            <w:r>
              <w:rPr>
                <w:rFonts w:ascii="仿宋_GB2312" w:hAnsi="仿宋_GB2312" w:eastAsia="仿宋_GB2312" w:cs="仿宋_GB2312"/>
              </w:rPr>
              <w:t>1.00</w:t>
            </w:r>
          </w:p>
        </w:tc>
        <w:tc>
          <w:tcPr>
            <w:tcW w:w="755" w:type="dxa"/>
          </w:tcPr>
          <w:p w14:paraId="380AFBCC">
            <w:pPr>
              <w:pStyle w:val="4"/>
              <w:jc w:val="right"/>
            </w:pPr>
            <w:r>
              <w:rPr>
                <w:rFonts w:hint="eastAsia" w:ascii="仿宋_GB2312" w:hAnsi="仿宋_GB2312" w:eastAsia="仿宋_GB2312" w:cs="仿宋_GB2312"/>
                <w:lang w:val="en-US" w:eastAsia="zh-CN"/>
              </w:rPr>
              <w:t>69</w:t>
            </w:r>
            <w:r>
              <w:rPr>
                <w:rFonts w:ascii="仿宋_GB2312" w:hAnsi="仿宋_GB2312" w:eastAsia="仿宋_GB2312" w:cs="仿宋_GB2312"/>
              </w:rPr>
              <w:t>0,000.00</w:t>
            </w:r>
          </w:p>
        </w:tc>
        <w:tc>
          <w:tcPr>
            <w:tcW w:w="755" w:type="dxa"/>
          </w:tcPr>
          <w:p w14:paraId="237920E8">
            <w:pPr>
              <w:pStyle w:val="4"/>
            </w:pPr>
            <w:r>
              <w:rPr>
                <w:rFonts w:ascii="仿宋_GB2312" w:hAnsi="仿宋_GB2312" w:eastAsia="仿宋_GB2312" w:cs="仿宋_GB2312"/>
              </w:rPr>
              <w:t>项</w:t>
            </w:r>
          </w:p>
        </w:tc>
        <w:tc>
          <w:tcPr>
            <w:tcW w:w="755" w:type="dxa"/>
          </w:tcPr>
          <w:p w14:paraId="098A5DD6">
            <w:pPr>
              <w:pStyle w:val="4"/>
            </w:pPr>
            <w:r>
              <w:rPr>
                <w:rFonts w:ascii="仿宋_GB2312" w:hAnsi="仿宋_GB2312" w:eastAsia="仿宋_GB2312" w:cs="仿宋_GB2312"/>
              </w:rPr>
              <w:t>其他未列明行业</w:t>
            </w:r>
          </w:p>
        </w:tc>
        <w:tc>
          <w:tcPr>
            <w:tcW w:w="755" w:type="dxa"/>
          </w:tcPr>
          <w:p w14:paraId="45F19FA4">
            <w:pPr>
              <w:pStyle w:val="4"/>
            </w:pPr>
            <w:r>
              <w:rPr>
                <w:rFonts w:ascii="仿宋_GB2312" w:hAnsi="仿宋_GB2312" w:eastAsia="仿宋_GB2312" w:cs="仿宋_GB2312"/>
              </w:rPr>
              <w:t>否</w:t>
            </w:r>
          </w:p>
        </w:tc>
        <w:tc>
          <w:tcPr>
            <w:tcW w:w="755" w:type="dxa"/>
          </w:tcPr>
          <w:p w14:paraId="7779EE1E">
            <w:pPr>
              <w:pStyle w:val="4"/>
            </w:pPr>
            <w:r>
              <w:rPr>
                <w:rFonts w:ascii="仿宋_GB2312" w:hAnsi="仿宋_GB2312" w:eastAsia="仿宋_GB2312" w:cs="仿宋_GB2312"/>
              </w:rPr>
              <w:t>否</w:t>
            </w:r>
          </w:p>
        </w:tc>
        <w:tc>
          <w:tcPr>
            <w:tcW w:w="755" w:type="dxa"/>
          </w:tcPr>
          <w:p w14:paraId="34F2652F">
            <w:pPr>
              <w:pStyle w:val="4"/>
            </w:pPr>
            <w:r>
              <w:rPr>
                <w:rFonts w:ascii="仿宋_GB2312" w:hAnsi="仿宋_GB2312" w:eastAsia="仿宋_GB2312" w:cs="仿宋_GB2312"/>
              </w:rPr>
              <w:t>否</w:t>
            </w:r>
          </w:p>
        </w:tc>
        <w:tc>
          <w:tcPr>
            <w:tcW w:w="755" w:type="dxa"/>
          </w:tcPr>
          <w:p w14:paraId="796884E5">
            <w:pPr>
              <w:pStyle w:val="4"/>
            </w:pPr>
            <w:r>
              <w:rPr>
                <w:rFonts w:ascii="仿宋_GB2312" w:hAnsi="仿宋_GB2312" w:eastAsia="仿宋_GB2312" w:cs="仿宋_GB2312"/>
              </w:rPr>
              <w:t>否</w:t>
            </w:r>
          </w:p>
        </w:tc>
        <w:tc>
          <w:tcPr>
            <w:tcW w:w="755" w:type="dxa"/>
          </w:tcPr>
          <w:p w14:paraId="3A06CB1E">
            <w:pPr>
              <w:pStyle w:val="4"/>
            </w:pPr>
            <w:r>
              <w:rPr>
                <w:rFonts w:ascii="仿宋_GB2312" w:hAnsi="仿宋_GB2312" w:eastAsia="仿宋_GB2312" w:cs="仿宋_GB2312"/>
              </w:rPr>
              <w:t>否</w:t>
            </w:r>
          </w:p>
        </w:tc>
      </w:tr>
    </w:tbl>
    <w:p w14:paraId="21883495">
      <w:pPr>
        <w:pStyle w:val="4"/>
        <w:outlineLvl w:val="2"/>
      </w:pPr>
      <w:r>
        <w:rPr>
          <w:rFonts w:ascii="仿宋_GB2312" w:hAnsi="仿宋_GB2312" w:eastAsia="仿宋_GB2312" w:cs="仿宋_GB2312"/>
          <w:b/>
          <w:sz w:val="28"/>
        </w:rPr>
        <w:t>2.2服务要求</w:t>
      </w:r>
    </w:p>
    <w:p w14:paraId="48C38DA9">
      <w:pPr>
        <w:pStyle w:val="4"/>
      </w:pPr>
      <w:r>
        <w:rPr>
          <w:rFonts w:ascii="仿宋_GB2312" w:hAnsi="仿宋_GB2312" w:eastAsia="仿宋_GB2312" w:cs="仿宋_GB2312"/>
        </w:rPr>
        <w:t>采购包1：</w:t>
      </w:r>
    </w:p>
    <w:p w14:paraId="6BC99A39">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隋唐长安城第二横街西段保护展示方案编制服务项目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98C3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F2679C">
            <w:pPr>
              <w:pStyle w:val="4"/>
              <w:rPr>
                <w:highlight w:val="none"/>
              </w:rPr>
            </w:pPr>
            <w:r>
              <w:rPr>
                <w:rFonts w:ascii="仿宋_GB2312" w:hAnsi="仿宋_GB2312" w:eastAsia="仿宋_GB2312" w:cs="仿宋_GB2312"/>
                <w:highlight w:val="none"/>
              </w:rPr>
              <w:t xml:space="preserve"> 序号</w:t>
            </w:r>
          </w:p>
        </w:tc>
        <w:tc>
          <w:tcPr>
            <w:tcW w:w="2769" w:type="dxa"/>
          </w:tcPr>
          <w:p w14:paraId="35718A3E">
            <w:pPr>
              <w:pStyle w:val="4"/>
              <w:rPr>
                <w:highlight w:val="none"/>
              </w:rPr>
            </w:pPr>
            <w:r>
              <w:rPr>
                <w:rFonts w:ascii="仿宋_GB2312" w:hAnsi="仿宋_GB2312" w:eastAsia="仿宋_GB2312" w:cs="仿宋_GB2312"/>
                <w:highlight w:val="none"/>
              </w:rPr>
              <w:t xml:space="preserve"> 参数性质</w:t>
            </w:r>
          </w:p>
        </w:tc>
        <w:tc>
          <w:tcPr>
            <w:tcW w:w="2769" w:type="dxa"/>
          </w:tcPr>
          <w:p w14:paraId="66746A51">
            <w:pPr>
              <w:pStyle w:val="4"/>
              <w:rPr>
                <w:highlight w:val="none"/>
              </w:rPr>
            </w:pPr>
            <w:r>
              <w:rPr>
                <w:rFonts w:ascii="仿宋_GB2312" w:hAnsi="仿宋_GB2312" w:eastAsia="仿宋_GB2312" w:cs="仿宋_GB2312"/>
                <w:highlight w:val="none"/>
              </w:rPr>
              <w:t xml:space="preserve"> 技术参数与性能指标</w:t>
            </w:r>
          </w:p>
        </w:tc>
      </w:tr>
      <w:tr w14:paraId="7F47D3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3A198D">
            <w:pPr>
              <w:pStyle w:val="4"/>
              <w:rPr>
                <w:highlight w:val="none"/>
              </w:rPr>
            </w:pPr>
            <w:r>
              <w:rPr>
                <w:rFonts w:ascii="仿宋_GB2312" w:hAnsi="仿宋_GB2312" w:eastAsia="仿宋_GB2312" w:cs="仿宋_GB2312"/>
                <w:highlight w:val="none"/>
              </w:rPr>
              <w:t>1</w:t>
            </w:r>
          </w:p>
        </w:tc>
        <w:tc>
          <w:tcPr>
            <w:tcW w:w="2769" w:type="dxa"/>
          </w:tcPr>
          <w:p w14:paraId="776EBE78">
            <w:pPr>
              <w:rPr>
                <w:highlight w:val="none"/>
              </w:rPr>
            </w:pPr>
          </w:p>
        </w:tc>
        <w:tc>
          <w:tcPr>
            <w:tcW w:w="2769" w:type="dxa"/>
          </w:tcPr>
          <w:p w14:paraId="2F885931">
            <w:pPr>
              <w:pStyle w:val="4"/>
              <w:jc w:val="both"/>
              <w:rPr>
                <w:highlight w:val="none"/>
              </w:rPr>
            </w:pPr>
            <w:r>
              <w:rPr>
                <w:rFonts w:ascii="仿宋_GB2312" w:hAnsi="仿宋_GB2312" w:eastAsia="仿宋_GB2312" w:cs="仿宋_GB2312"/>
                <w:sz w:val="20"/>
                <w:highlight w:val="none"/>
              </w:rPr>
              <w:t>一、项目概况</w:t>
            </w:r>
          </w:p>
          <w:p w14:paraId="3D85587D">
            <w:pPr>
              <w:pStyle w:val="4"/>
              <w:rPr>
                <w:highlight w:val="none"/>
              </w:rPr>
            </w:pPr>
            <w:r>
              <w:rPr>
                <w:rFonts w:hint="eastAsia" w:ascii="仿宋_GB2312" w:hAnsi="仿宋_GB2312" w:eastAsia="仿宋_GB2312" w:cs="仿宋_GB2312"/>
                <w:sz w:val="20"/>
                <w:highlight w:val="none"/>
              </w:rPr>
              <w:t>随着西安市莲湖区西电片区城市更新项目的开展，考古人员开展系列考古勘探发掘，发现隋唐长安城第二横街及相关遗迹。为科学保护、展示与阐释隋唐长安城第二横街及相关遗迹，以隋唐长安城第二横街遗迹为主体，西至西变DK1西界，东至西站DK2东界，长约2530米</w:t>
            </w:r>
            <w:r>
              <w:rPr>
                <w:rFonts w:hint="eastAsia" w:ascii="仿宋_GB2312" w:hAnsi="仿宋_GB2312" w:eastAsia="仿宋_GB2312" w:cs="仿宋_GB2312"/>
                <w:sz w:val="20"/>
                <w:highlight w:val="none"/>
                <w:lang w:val="en-US" w:eastAsia="zh-CN"/>
              </w:rPr>
              <w:t>区域为整体</w:t>
            </w:r>
            <w:r>
              <w:rPr>
                <w:rFonts w:hint="eastAsia" w:ascii="仿宋_GB2312" w:hAnsi="仿宋_GB2312" w:eastAsia="仿宋_GB2312" w:cs="仿宋_GB2312"/>
                <w:sz w:val="20"/>
                <w:highlight w:val="none"/>
              </w:rPr>
              <w:t>，提出系统性保护展示考古发现的隋唐长安城第二横街遗迹方案建议。以莲湖区提供的位于西站DK3的文物保护展示用地为重点设计范围，以覆土保护为主，以地表模拟、地面标识、植被标识等</w:t>
            </w:r>
            <w:r>
              <w:rPr>
                <w:rFonts w:hint="eastAsia" w:ascii="仿宋_GB2312" w:hAnsi="仿宋_GB2312" w:eastAsia="仿宋_GB2312" w:cs="仿宋_GB2312"/>
                <w:sz w:val="20"/>
                <w:highlight w:val="none"/>
                <w:lang w:val="en-US" w:eastAsia="zh-CN"/>
              </w:rPr>
              <w:t>手段</w:t>
            </w:r>
            <w:r>
              <w:rPr>
                <w:rFonts w:hint="eastAsia" w:ascii="仿宋_GB2312" w:hAnsi="仿宋_GB2312" w:eastAsia="仿宋_GB2312" w:cs="仿宋_GB2312"/>
                <w:sz w:val="20"/>
                <w:highlight w:val="none"/>
              </w:rPr>
              <w:t>充分展示第二横街遗址和修德坊、辅兴坊间的格局关系，编制保护展示设计方案。</w:t>
            </w:r>
          </w:p>
        </w:tc>
      </w:tr>
      <w:tr w14:paraId="05E16C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F903B3">
            <w:pPr>
              <w:pStyle w:val="4"/>
              <w:rPr>
                <w:highlight w:val="none"/>
              </w:rPr>
            </w:pPr>
            <w:r>
              <w:rPr>
                <w:rFonts w:ascii="仿宋_GB2312" w:hAnsi="仿宋_GB2312" w:eastAsia="仿宋_GB2312" w:cs="仿宋_GB2312"/>
                <w:highlight w:val="none"/>
              </w:rPr>
              <w:t>2</w:t>
            </w:r>
          </w:p>
        </w:tc>
        <w:tc>
          <w:tcPr>
            <w:tcW w:w="2769" w:type="dxa"/>
          </w:tcPr>
          <w:p w14:paraId="7A6D6C9F">
            <w:pPr>
              <w:rPr>
                <w:highlight w:val="none"/>
              </w:rPr>
            </w:pPr>
          </w:p>
        </w:tc>
        <w:tc>
          <w:tcPr>
            <w:tcW w:w="2769" w:type="dxa"/>
          </w:tcPr>
          <w:p w14:paraId="69403B46">
            <w:pPr>
              <w:pStyle w:val="4"/>
              <w:numPr>
                <w:ilvl w:val="0"/>
                <w:numId w:val="0"/>
              </w:numPr>
              <w:jc w:val="both"/>
              <w:rPr>
                <w:rFonts w:ascii="仿宋_GB2312" w:hAnsi="仿宋_GB2312" w:eastAsia="仿宋_GB2312" w:cs="仿宋_GB2312"/>
                <w:sz w:val="20"/>
                <w:highlight w:val="none"/>
              </w:rPr>
            </w:pPr>
            <w:r>
              <w:rPr>
                <w:rFonts w:hint="eastAsia" w:ascii="仿宋_GB2312" w:hAnsi="仿宋_GB2312" w:eastAsia="仿宋_GB2312" w:cs="仿宋_GB2312"/>
                <w:sz w:val="20"/>
                <w:highlight w:val="none"/>
                <w:lang w:val="en-US" w:eastAsia="zh-Hans"/>
              </w:rPr>
              <w:t>二、</w:t>
            </w:r>
            <w:r>
              <w:rPr>
                <w:rFonts w:hint="eastAsia" w:ascii="仿宋_GB2312" w:hAnsi="仿宋_GB2312" w:eastAsia="仿宋_GB2312" w:cs="仿宋_GB2312"/>
                <w:sz w:val="20"/>
                <w:highlight w:val="none"/>
                <w:lang w:val="en-US" w:eastAsia="zh-CN"/>
              </w:rPr>
              <w:t>服务范围</w:t>
            </w:r>
          </w:p>
          <w:p w14:paraId="799E8BC0">
            <w:pPr>
              <w:pStyle w:val="4"/>
              <w:numPr>
                <w:ilvl w:val="0"/>
                <w:numId w:val="0"/>
              </w:numPr>
              <w:jc w:val="both"/>
              <w:rPr>
                <w:highlight w:val="none"/>
              </w:rPr>
            </w:pPr>
            <w:r>
              <w:rPr>
                <w:rFonts w:hint="eastAsia" w:ascii="仿宋_GB2312" w:hAnsi="仿宋_GB2312" w:eastAsia="仿宋_GB2312" w:cs="仿宋_GB2312"/>
                <w:sz w:val="20"/>
                <w:highlight w:val="none"/>
              </w:rPr>
              <w:t>西变DK1西界至西站DK2东界，以第二横街遗迹为主体长约2530米，19.26公顷</w:t>
            </w:r>
            <w:r>
              <w:rPr>
                <w:rFonts w:hint="eastAsia" w:ascii="仿宋_GB2312" w:hAnsi="仿宋_GB2312" w:eastAsia="仿宋_GB2312" w:cs="仿宋_GB2312"/>
                <w:sz w:val="20"/>
                <w:highlight w:val="none"/>
                <w:lang w:val="en-US" w:eastAsia="zh-CN"/>
              </w:rPr>
              <w:t>范围内考古发现的隋唐长安城道路、路沟、坊门、坊墙等遗迹保护方案的编制</w:t>
            </w:r>
            <w:r>
              <w:rPr>
                <w:rFonts w:hint="eastAsia" w:ascii="仿宋_GB2312" w:hAnsi="仿宋_GB2312" w:eastAsia="仿宋_GB2312" w:cs="仿宋_GB2312"/>
                <w:sz w:val="20"/>
                <w:highlight w:val="none"/>
              </w:rPr>
              <w:t>。</w:t>
            </w:r>
          </w:p>
        </w:tc>
      </w:tr>
      <w:tr w14:paraId="7EE82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12CA44D3">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w:t>
            </w:r>
          </w:p>
        </w:tc>
        <w:tc>
          <w:tcPr>
            <w:tcW w:w="2769" w:type="dxa"/>
          </w:tcPr>
          <w:p w14:paraId="27065331">
            <w:pPr>
              <w:rPr>
                <w:highlight w:val="none"/>
              </w:rPr>
            </w:pPr>
          </w:p>
        </w:tc>
        <w:tc>
          <w:tcPr>
            <w:tcW w:w="2769" w:type="dxa"/>
          </w:tcPr>
          <w:p w14:paraId="4A279AF3">
            <w:pPr>
              <w:pStyle w:val="4"/>
              <w:numPr>
                <w:ilvl w:val="0"/>
                <w:numId w:val="0"/>
              </w:numPr>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三、工作内容：</w:t>
            </w:r>
          </w:p>
          <w:p w14:paraId="4106601A">
            <w:pPr>
              <w:pStyle w:val="4"/>
              <w:numPr>
                <w:ilvl w:val="0"/>
                <w:numId w:val="0"/>
              </w:numPr>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基础调查与现状评估：场地现状调查、周边建设现状调查及周边建设环境研究，遗址价值评估及相关研究工作，基于考古、用地、价值等方面综合评估保护展示条件。</w:t>
            </w:r>
          </w:p>
          <w:p w14:paraId="5CAF1688">
            <w:pPr>
              <w:pStyle w:val="4"/>
              <w:numPr>
                <w:ilvl w:val="0"/>
                <w:numId w:val="0"/>
              </w:numPr>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总体设计：保护此次考古发现的第二横街遗迹整体格局，尽可能展示第二横街格局通廊，进一步彰显隋唐长安城整体格局。</w:t>
            </w:r>
          </w:p>
          <w:p w14:paraId="4BB0BF03">
            <w:pPr>
              <w:pStyle w:val="4"/>
              <w:numPr>
                <w:ilvl w:val="0"/>
                <w:numId w:val="0"/>
              </w:numPr>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重点任务与重点项目：对考古发现的要素俱全部分进行重点保护展示。坚持最小干预原则，以覆土保护为主，以地表模拟、地面标识等多种方式展示第二横街与修德坊、辅兴坊的格局关系。</w:t>
            </w:r>
          </w:p>
        </w:tc>
      </w:tr>
      <w:tr w14:paraId="3D001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4F050C5">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w:t>
            </w:r>
          </w:p>
        </w:tc>
        <w:tc>
          <w:tcPr>
            <w:tcW w:w="2769" w:type="dxa"/>
          </w:tcPr>
          <w:p w14:paraId="751A1E3E">
            <w:pPr>
              <w:rPr>
                <w:highlight w:val="none"/>
              </w:rPr>
            </w:pPr>
          </w:p>
        </w:tc>
        <w:tc>
          <w:tcPr>
            <w:tcW w:w="2769" w:type="dxa"/>
          </w:tcPr>
          <w:p w14:paraId="30A38AC2">
            <w:pPr>
              <w:pStyle w:val="4"/>
              <w:numPr>
                <w:ilvl w:val="0"/>
                <w:numId w:val="0"/>
              </w:numPr>
              <w:ind w:left="0" w:leftChars="0" w:firstLine="0" w:firstLineChars="0"/>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四、技术要求</w:t>
            </w:r>
          </w:p>
          <w:p w14:paraId="559ED486">
            <w:pPr>
              <w:pStyle w:val="4"/>
              <w:numPr>
                <w:ilvl w:val="0"/>
                <w:numId w:val="0"/>
              </w:numPr>
              <w:ind w:leftChars="0"/>
              <w:jc w:val="both"/>
              <w:rPr>
                <w:rFonts w:hint="default" w:ascii="仿宋_GB2312" w:hAnsi="仿宋_GB2312" w:eastAsia="仿宋_GB2312" w:cs="仿宋_GB2312"/>
                <w:sz w:val="20"/>
                <w:highlight w:val="none"/>
                <w:lang w:val="en-US" w:eastAsia="zh-CN"/>
              </w:rPr>
            </w:pPr>
            <w:r>
              <w:rPr>
                <w:rFonts w:hint="default" w:ascii="仿宋_GB2312" w:hAnsi="仿宋_GB2312" w:eastAsia="仿宋_GB2312" w:cs="仿宋_GB2312"/>
                <w:sz w:val="20"/>
                <w:highlight w:val="none"/>
                <w:lang w:val="en-US" w:eastAsia="zh-CN"/>
              </w:rPr>
              <w:t>编制完整的设计方案文件，包括设计说明、设计图纸。设计说明需明确设计原则与设计目标、总体思路、保护展示措施，重点设计范围的设计方案内应基本达到指导施工图设计的深度；附图需包含项目位置等基础图纸、整体格局保护展示图，重点设计范围总平面图、剖面图、节点详图及效果图等。</w:t>
            </w:r>
          </w:p>
        </w:tc>
      </w:tr>
      <w:tr w14:paraId="762F5C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833FAE4">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w:t>
            </w:r>
          </w:p>
        </w:tc>
        <w:tc>
          <w:tcPr>
            <w:tcW w:w="2769" w:type="dxa"/>
          </w:tcPr>
          <w:p w14:paraId="32366B40">
            <w:pPr>
              <w:rPr>
                <w:highlight w:val="none"/>
              </w:rPr>
            </w:pPr>
          </w:p>
        </w:tc>
        <w:tc>
          <w:tcPr>
            <w:tcW w:w="2769" w:type="dxa"/>
          </w:tcPr>
          <w:p w14:paraId="144A82AC">
            <w:pPr>
              <w:pStyle w:val="4"/>
              <w:numPr>
                <w:ilvl w:val="0"/>
                <w:numId w:val="1"/>
              </w:numPr>
              <w:ind w:leftChars="0"/>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服务要求</w:t>
            </w:r>
          </w:p>
          <w:p w14:paraId="4766A28C">
            <w:pPr>
              <w:pStyle w:val="4"/>
              <w:numPr>
                <w:ilvl w:val="0"/>
                <w:numId w:val="0"/>
              </w:numPr>
              <w:jc w:val="both"/>
              <w:rPr>
                <w:rFonts w:hint="default" w:ascii="仿宋_GB2312" w:hAnsi="仿宋_GB2312" w:eastAsia="仿宋_GB2312" w:cs="仿宋_GB2312"/>
                <w:sz w:val="20"/>
                <w:highlight w:val="none"/>
                <w:lang w:val="en-US" w:eastAsia="zh-CN"/>
              </w:rPr>
            </w:pPr>
            <w:r>
              <w:rPr>
                <w:rFonts w:hint="default" w:ascii="仿宋_GB2312" w:hAnsi="仿宋_GB2312" w:eastAsia="仿宋_GB2312" w:cs="仿宋_GB2312"/>
                <w:sz w:val="20"/>
                <w:highlight w:val="none"/>
                <w:lang w:val="en-US" w:eastAsia="zh-CN"/>
              </w:rPr>
              <w:t>1、人员配置（项目</w:t>
            </w:r>
            <w:r>
              <w:rPr>
                <w:rFonts w:hint="eastAsia" w:ascii="仿宋_GB2312" w:hAnsi="仿宋_GB2312" w:eastAsia="仿宋_GB2312" w:cs="仿宋_GB2312"/>
                <w:sz w:val="20"/>
                <w:highlight w:val="none"/>
                <w:lang w:val="en-US" w:eastAsia="zh-CN"/>
              </w:rPr>
              <w:t>组</w:t>
            </w:r>
            <w:r>
              <w:rPr>
                <w:rFonts w:hint="default" w:ascii="仿宋_GB2312" w:hAnsi="仿宋_GB2312" w:eastAsia="仿宋_GB2312" w:cs="仿宋_GB2312"/>
                <w:sz w:val="20"/>
                <w:highlight w:val="none"/>
                <w:lang w:val="en-US" w:eastAsia="zh-CN"/>
              </w:rPr>
              <w:t>人员须有丰富的相关工作经验）。</w:t>
            </w:r>
          </w:p>
          <w:p w14:paraId="225EBE43">
            <w:pPr>
              <w:pStyle w:val="4"/>
              <w:numPr>
                <w:ilvl w:val="0"/>
                <w:numId w:val="0"/>
              </w:numPr>
              <w:jc w:val="both"/>
              <w:rPr>
                <w:rFonts w:hint="default" w:ascii="仿宋_GB2312" w:hAnsi="仿宋_GB2312" w:eastAsia="仿宋_GB2312" w:cs="仿宋_GB2312"/>
                <w:sz w:val="20"/>
                <w:highlight w:val="none"/>
                <w:lang w:val="en-US" w:eastAsia="zh-CN"/>
              </w:rPr>
            </w:pPr>
            <w:r>
              <w:rPr>
                <w:rFonts w:hint="default" w:ascii="仿宋_GB2312" w:hAnsi="仿宋_GB2312" w:eastAsia="仿宋_GB2312" w:cs="仿宋_GB2312"/>
                <w:sz w:val="20"/>
                <w:highlight w:val="none"/>
                <w:lang w:val="en-US" w:eastAsia="zh-CN"/>
              </w:rPr>
              <w:t>2、服务标准：协助采购人完成成果评审、公示、报批等全流程工作；协助解读设计内容解答实施过程中技术问题。</w:t>
            </w:r>
          </w:p>
        </w:tc>
      </w:tr>
      <w:tr w14:paraId="5D0D40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BCFD74E">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w:t>
            </w:r>
          </w:p>
        </w:tc>
        <w:tc>
          <w:tcPr>
            <w:tcW w:w="2769" w:type="dxa"/>
          </w:tcPr>
          <w:p w14:paraId="7DADC56E">
            <w:pPr>
              <w:rPr>
                <w:highlight w:val="none"/>
              </w:rPr>
            </w:pPr>
          </w:p>
        </w:tc>
        <w:tc>
          <w:tcPr>
            <w:tcW w:w="2769" w:type="dxa"/>
          </w:tcPr>
          <w:p w14:paraId="12F8F9D1">
            <w:pPr>
              <w:pStyle w:val="4"/>
              <w:numPr>
                <w:ilvl w:val="0"/>
                <w:numId w:val="1"/>
              </w:numPr>
              <w:ind w:left="0" w:leftChars="0" w:firstLine="0" w:firstLineChars="0"/>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进度要求</w:t>
            </w:r>
          </w:p>
          <w:p w14:paraId="18A94903">
            <w:pPr>
              <w:pStyle w:val="4"/>
              <w:numPr>
                <w:ilvl w:val="0"/>
                <w:numId w:val="0"/>
              </w:numPr>
              <w:jc w:val="both"/>
              <w:rPr>
                <w:rFonts w:hint="default" w:ascii="仿宋_GB2312" w:hAnsi="仿宋_GB2312" w:eastAsia="仿宋_GB2312" w:cs="仿宋_GB2312"/>
                <w:sz w:val="20"/>
                <w:highlight w:val="none"/>
                <w:lang w:val="en-US" w:eastAsia="zh-CN"/>
              </w:rPr>
            </w:pPr>
            <w:r>
              <w:rPr>
                <w:rFonts w:hint="default" w:ascii="仿宋_GB2312" w:hAnsi="仿宋_GB2312" w:eastAsia="仿宋_GB2312" w:cs="仿宋_GB2312"/>
                <w:sz w:val="20"/>
                <w:highlight w:val="none"/>
                <w:lang w:val="en-US" w:eastAsia="zh-CN"/>
              </w:rPr>
              <w:t>分阶段交付成果时限：</w:t>
            </w:r>
            <w:r>
              <w:rPr>
                <w:rFonts w:hint="eastAsia" w:ascii="仿宋_GB2312" w:hAnsi="仿宋_GB2312" w:eastAsia="仿宋_GB2312" w:cs="仿宋_GB2312"/>
                <w:sz w:val="20"/>
                <w:highlight w:val="none"/>
                <w:lang w:val="en-US" w:eastAsia="zh-CN"/>
              </w:rPr>
              <w:t>合同</w:t>
            </w:r>
            <w:r>
              <w:rPr>
                <w:rFonts w:hint="default" w:ascii="仿宋_GB2312" w:hAnsi="仿宋_GB2312" w:eastAsia="仿宋_GB2312" w:cs="仿宋_GB2312"/>
                <w:sz w:val="20"/>
                <w:highlight w:val="none"/>
                <w:lang w:val="en-US" w:eastAsia="zh-CN"/>
              </w:rPr>
              <w:t>签订之日起1个月内提交方案设计初稿；</w:t>
            </w:r>
            <w:r>
              <w:rPr>
                <w:rFonts w:hint="eastAsia" w:ascii="仿宋_GB2312" w:hAnsi="仿宋_GB2312" w:eastAsia="仿宋_GB2312" w:cs="仿宋_GB2312"/>
                <w:sz w:val="20"/>
                <w:highlight w:val="none"/>
                <w:lang w:val="en-US" w:eastAsia="zh-CN"/>
              </w:rPr>
              <w:t>合同</w:t>
            </w:r>
            <w:r>
              <w:rPr>
                <w:rFonts w:hint="default" w:ascii="仿宋_GB2312" w:hAnsi="仿宋_GB2312" w:eastAsia="仿宋_GB2312" w:cs="仿宋_GB2312"/>
                <w:sz w:val="20"/>
                <w:highlight w:val="none"/>
                <w:lang w:val="en-US" w:eastAsia="zh-CN"/>
              </w:rPr>
              <w:t>签订之日起2个月内完成专家论证并提交修改稿；</w:t>
            </w:r>
            <w:r>
              <w:rPr>
                <w:rFonts w:hint="eastAsia" w:ascii="仿宋_GB2312" w:hAnsi="仿宋_GB2312" w:eastAsia="仿宋_GB2312" w:cs="仿宋_GB2312"/>
                <w:sz w:val="20"/>
                <w:highlight w:val="none"/>
                <w:lang w:val="en-US" w:eastAsia="zh-CN"/>
              </w:rPr>
              <w:t>合同</w:t>
            </w:r>
            <w:r>
              <w:rPr>
                <w:rFonts w:hint="default" w:ascii="仿宋_GB2312" w:hAnsi="仿宋_GB2312" w:eastAsia="仿宋_GB2312" w:cs="仿宋_GB2312"/>
                <w:sz w:val="20"/>
                <w:highlight w:val="none"/>
                <w:lang w:val="en-US" w:eastAsia="zh-CN"/>
              </w:rPr>
              <w:t>签订之日起6个月内提交正式最终成果</w:t>
            </w:r>
            <w:r>
              <w:rPr>
                <w:rFonts w:hint="eastAsia" w:ascii="仿宋_GB2312" w:hAnsi="仿宋_GB2312" w:eastAsia="仿宋_GB2312" w:cs="仿宋_GB2312"/>
                <w:sz w:val="20"/>
                <w:highlight w:val="none"/>
                <w:lang w:val="en-US" w:eastAsia="zh-CN"/>
              </w:rPr>
              <w:t>。</w:t>
            </w:r>
          </w:p>
        </w:tc>
      </w:tr>
      <w:tr w14:paraId="672F5C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74FF4705">
            <w:pPr>
              <w:pStyle w:val="4"/>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7</w:t>
            </w:r>
          </w:p>
        </w:tc>
        <w:tc>
          <w:tcPr>
            <w:tcW w:w="2769" w:type="dxa"/>
          </w:tcPr>
          <w:p w14:paraId="1722BE14">
            <w:pPr>
              <w:rPr>
                <w:highlight w:val="none"/>
              </w:rPr>
            </w:pPr>
          </w:p>
        </w:tc>
        <w:tc>
          <w:tcPr>
            <w:tcW w:w="2769" w:type="dxa"/>
          </w:tcPr>
          <w:p w14:paraId="6A2144A3">
            <w:pPr>
              <w:pStyle w:val="4"/>
              <w:numPr>
                <w:ilvl w:val="0"/>
                <w:numId w:val="1"/>
              </w:numPr>
              <w:ind w:left="0" w:leftChars="0" w:firstLine="0" w:firstLineChars="0"/>
              <w:jc w:val="both"/>
              <w:rPr>
                <w:rFonts w:hint="eastAsia" w:ascii="仿宋_GB2312" w:hAnsi="仿宋_GB2312" w:eastAsia="仿宋_GB2312" w:cs="仿宋_GB2312"/>
                <w:sz w:val="20"/>
                <w:highlight w:val="none"/>
                <w:lang w:val="en-US" w:eastAsia="zh-CN"/>
              </w:rPr>
            </w:pPr>
            <w:r>
              <w:rPr>
                <w:rFonts w:hint="eastAsia" w:ascii="仿宋_GB2312" w:hAnsi="仿宋_GB2312" w:eastAsia="仿宋_GB2312" w:cs="仿宋_GB2312"/>
                <w:sz w:val="20"/>
                <w:highlight w:val="none"/>
                <w:lang w:val="en-US" w:eastAsia="zh-CN"/>
              </w:rPr>
              <w:t>成果交付要求</w:t>
            </w:r>
          </w:p>
          <w:p w14:paraId="72B25EA4">
            <w:pPr>
              <w:pStyle w:val="4"/>
              <w:numPr>
                <w:ilvl w:val="0"/>
                <w:numId w:val="0"/>
              </w:numPr>
              <w:jc w:val="both"/>
              <w:rPr>
                <w:rFonts w:hint="default" w:ascii="仿宋_GB2312" w:hAnsi="仿宋_GB2312" w:eastAsia="仿宋_GB2312" w:cs="仿宋_GB2312"/>
                <w:sz w:val="20"/>
                <w:highlight w:val="none"/>
                <w:lang w:val="en-US" w:eastAsia="zh-CN"/>
              </w:rPr>
            </w:pPr>
            <w:r>
              <w:rPr>
                <w:rFonts w:hint="default" w:ascii="仿宋_GB2312" w:hAnsi="仿宋_GB2312" w:eastAsia="仿宋_GB2312" w:cs="仿宋_GB2312"/>
                <w:sz w:val="20"/>
                <w:highlight w:val="none"/>
                <w:lang w:val="en-US" w:eastAsia="zh-CN"/>
              </w:rPr>
              <w:t>提供方案设计说明及图纸</w:t>
            </w:r>
            <w:r>
              <w:rPr>
                <w:rFonts w:hint="eastAsia" w:ascii="仿宋_GB2312" w:hAnsi="仿宋_GB2312" w:eastAsia="仿宋_GB2312" w:cs="仿宋_GB2312"/>
                <w:sz w:val="20"/>
                <w:highlight w:val="none"/>
                <w:lang w:val="en-US" w:eastAsia="zh-CN"/>
              </w:rPr>
              <w:t>成果文件</w:t>
            </w:r>
            <w:r>
              <w:rPr>
                <w:rFonts w:hint="default" w:ascii="仿宋_GB2312" w:hAnsi="仿宋_GB2312" w:eastAsia="仿宋_GB2312" w:cs="仿宋_GB2312"/>
                <w:sz w:val="20"/>
                <w:highlight w:val="none"/>
                <w:lang w:val="en-US" w:eastAsia="zh-CN"/>
              </w:rPr>
              <w:t>纸质版6份，电子版1份。</w:t>
            </w:r>
          </w:p>
        </w:tc>
      </w:tr>
    </w:tbl>
    <w:p w14:paraId="3F5B0B7F">
      <w:pPr>
        <w:pStyle w:val="4"/>
        <w:outlineLvl w:val="2"/>
      </w:pPr>
      <w:r>
        <w:rPr>
          <w:rFonts w:ascii="仿宋_GB2312" w:hAnsi="仿宋_GB2312" w:eastAsia="仿宋_GB2312" w:cs="仿宋_GB2312"/>
          <w:b/>
          <w:sz w:val="28"/>
        </w:rPr>
        <w:t>2.3人员配置要求</w:t>
      </w:r>
    </w:p>
    <w:p w14:paraId="28C6EFFD">
      <w:pPr>
        <w:pStyle w:val="4"/>
      </w:pPr>
      <w:r>
        <w:rPr>
          <w:rFonts w:ascii="仿宋_GB2312" w:hAnsi="仿宋_GB2312" w:eastAsia="仿宋_GB2312" w:cs="仿宋_GB2312"/>
        </w:rPr>
        <w:t>采购包1：</w:t>
      </w:r>
    </w:p>
    <w:p w14:paraId="4BB4E0E4">
      <w:pPr>
        <w:pStyle w:val="4"/>
      </w:pPr>
      <w:r>
        <w:rPr>
          <w:rFonts w:ascii="仿宋_GB2312" w:hAnsi="仿宋_GB2312" w:eastAsia="仿宋_GB2312" w:cs="仿宋_GB2312"/>
        </w:rPr>
        <w:t>根据采购文件要求及合同约定执行</w:t>
      </w:r>
    </w:p>
    <w:p w14:paraId="60735C33">
      <w:pPr>
        <w:pStyle w:val="4"/>
        <w:outlineLvl w:val="2"/>
      </w:pPr>
      <w:r>
        <w:rPr>
          <w:rFonts w:ascii="仿宋_GB2312" w:hAnsi="仿宋_GB2312" w:eastAsia="仿宋_GB2312" w:cs="仿宋_GB2312"/>
          <w:b/>
          <w:sz w:val="28"/>
        </w:rPr>
        <w:t>2.4设施设备要求</w:t>
      </w:r>
    </w:p>
    <w:p w14:paraId="1DE696C5">
      <w:pPr>
        <w:pStyle w:val="4"/>
      </w:pPr>
      <w:r>
        <w:rPr>
          <w:rFonts w:ascii="仿宋_GB2312" w:hAnsi="仿宋_GB2312" w:eastAsia="仿宋_GB2312" w:cs="仿宋_GB2312"/>
        </w:rPr>
        <w:t>采购包1：</w:t>
      </w:r>
    </w:p>
    <w:p w14:paraId="24386016">
      <w:pPr>
        <w:pStyle w:val="4"/>
      </w:pPr>
      <w:r>
        <w:rPr>
          <w:rFonts w:ascii="仿宋_GB2312" w:hAnsi="仿宋_GB2312" w:eastAsia="仿宋_GB2312" w:cs="仿宋_GB2312"/>
        </w:rPr>
        <w:t>根据采购文件要求及合同约定执行</w:t>
      </w:r>
    </w:p>
    <w:p w14:paraId="27FE1310">
      <w:pPr>
        <w:pStyle w:val="4"/>
        <w:outlineLvl w:val="2"/>
      </w:pPr>
      <w:r>
        <w:rPr>
          <w:rFonts w:ascii="仿宋_GB2312" w:hAnsi="仿宋_GB2312" w:eastAsia="仿宋_GB2312" w:cs="仿宋_GB2312"/>
          <w:b/>
          <w:sz w:val="28"/>
        </w:rPr>
        <w:t>2.5其他要求</w:t>
      </w:r>
    </w:p>
    <w:p w14:paraId="2CAD72B7">
      <w:pPr>
        <w:pStyle w:val="4"/>
      </w:pPr>
      <w:r>
        <w:rPr>
          <w:rFonts w:ascii="仿宋_GB2312" w:hAnsi="仿宋_GB2312" w:eastAsia="仿宋_GB2312" w:cs="仿宋_GB2312"/>
        </w:rPr>
        <w:t>采购包1：</w:t>
      </w:r>
    </w:p>
    <w:p w14:paraId="7D7D3327">
      <w:pPr>
        <w:pStyle w:val="4"/>
      </w:pPr>
      <w:r>
        <w:rPr>
          <w:rFonts w:ascii="仿宋_GB2312" w:hAnsi="仿宋_GB2312" w:eastAsia="仿宋_GB2312" w:cs="仿宋_GB2312"/>
        </w:rPr>
        <w:t>根据采购文件要求及合同约定执行</w:t>
      </w:r>
    </w:p>
    <w:p w14:paraId="7417DBB3">
      <w:pPr>
        <w:pStyle w:val="4"/>
        <w:outlineLvl w:val="2"/>
      </w:pPr>
      <w:r>
        <w:rPr>
          <w:rFonts w:ascii="仿宋_GB2312" w:hAnsi="仿宋_GB2312" w:eastAsia="仿宋_GB2312" w:cs="仿宋_GB2312"/>
          <w:b/>
          <w:sz w:val="28"/>
        </w:rPr>
        <w:t>3商务要求</w:t>
      </w:r>
    </w:p>
    <w:p w14:paraId="709E36A6">
      <w:pPr>
        <w:pStyle w:val="4"/>
        <w:outlineLvl w:val="3"/>
      </w:pPr>
      <w:r>
        <w:rPr>
          <w:rFonts w:ascii="仿宋_GB2312" w:hAnsi="仿宋_GB2312" w:eastAsia="仿宋_GB2312" w:cs="仿宋_GB2312"/>
          <w:b/>
          <w:sz w:val="24"/>
        </w:rPr>
        <w:t>3.1服务期限</w:t>
      </w:r>
    </w:p>
    <w:p w14:paraId="2DFA5803">
      <w:pPr>
        <w:pStyle w:val="4"/>
        <w:rPr>
          <w:highlight w:val="none"/>
        </w:rPr>
      </w:pPr>
      <w:r>
        <w:rPr>
          <w:rFonts w:ascii="仿宋_GB2312" w:hAnsi="仿宋_GB2312" w:eastAsia="仿宋_GB2312" w:cs="仿宋_GB2312"/>
          <w:highlight w:val="none"/>
        </w:rPr>
        <w:t>采购包1：</w:t>
      </w:r>
    </w:p>
    <w:p w14:paraId="3F220227">
      <w:pPr>
        <w:pStyle w:val="4"/>
        <w:rPr>
          <w:rFonts w:hint="eastAsia" w:eastAsia="仿宋_GB2312"/>
          <w:highlight w:val="none"/>
          <w:lang w:val="en-US" w:eastAsia="zh-CN"/>
        </w:rPr>
      </w:pPr>
      <w:r>
        <w:rPr>
          <w:rFonts w:hint="eastAsia" w:ascii="仿宋_GB2312" w:hAnsi="仿宋_GB2312" w:eastAsia="仿宋_GB2312" w:cs="仿宋_GB2312"/>
          <w:highlight w:val="none"/>
        </w:rPr>
        <w:t>自合同签订之日起</w:t>
      </w:r>
      <w:r>
        <w:rPr>
          <w:rFonts w:hint="eastAsia" w:ascii="仿宋_GB2312" w:hAnsi="仿宋_GB2312" w:eastAsia="仿宋_GB2312" w:cs="仿宋_GB2312"/>
          <w:highlight w:val="none"/>
          <w:lang w:eastAsia="zh-CN"/>
        </w:rPr>
        <w:t>6</w:t>
      </w:r>
      <w:r>
        <w:rPr>
          <w:rFonts w:hint="eastAsia" w:ascii="仿宋_GB2312" w:hAnsi="仿宋_GB2312" w:eastAsia="仿宋_GB2312" w:cs="仿宋_GB2312"/>
          <w:highlight w:val="none"/>
        </w:rPr>
        <w:t>个月。</w:t>
      </w:r>
    </w:p>
    <w:p w14:paraId="4176FEC7">
      <w:pPr>
        <w:pStyle w:val="4"/>
        <w:outlineLvl w:val="3"/>
      </w:pPr>
      <w:r>
        <w:rPr>
          <w:rFonts w:ascii="仿宋_GB2312" w:hAnsi="仿宋_GB2312" w:eastAsia="仿宋_GB2312" w:cs="仿宋_GB2312"/>
          <w:b/>
          <w:sz w:val="24"/>
        </w:rPr>
        <w:t>3.2服务地点</w:t>
      </w:r>
    </w:p>
    <w:p w14:paraId="3AD0FE32">
      <w:pPr>
        <w:pStyle w:val="4"/>
      </w:pPr>
      <w:r>
        <w:rPr>
          <w:rFonts w:ascii="仿宋_GB2312" w:hAnsi="仿宋_GB2312" w:eastAsia="仿宋_GB2312" w:cs="仿宋_GB2312"/>
        </w:rPr>
        <w:t>采购包1：</w:t>
      </w:r>
    </w:p>
    <w:p w14:paraId="31A1EBC5">
      <w:pPr>
        <w:pStyle w:val="4"/>
        <w:rPr>
          <w:highlight w:val="none"/>
        </w:rPr>
      </w:pPr>
      <w:r>
        <w:rPr>
          <w:rFonts w:hint="eastAsia" w:ascii="仿宋_GB2312" w:hAnsi="仿宋_GB2312" w:eastAsia="仿宋_GB2312" w:cs="仿宋_GB2312"/>
          <w:highlight w:val="none"/>
          <w:lang w:eastAsia="zh-CN"/>
        </w:rPr>
        <w:t>西安大兴新区开发建设管理委员会</w:t>
      </w:r>
      <w:r>
        <w:rPr>
          <w:rFonts w:ascii="仿宋_GB2312" w:hAnsi="仿宋_GB2312" w:eastAsia="仿宋_GB2312" w:cs="仿宋_GB2312"/>
          <w:highlight w:val="none"/>
        </w:rPr>
        <w:t>指定地点</w:t>
      </w:r>
    </w:p>
    <w:p w14:paraId="383F3EFF">
      <w:pPr>
        <w:pStyle w:val="4"/>
        <w:outlineLvl w:val="3"/>
      </w:pPr>
      <w:r>
        <w:rPr>
          <w:rFonts w:ascii="仿宋_GB2312" w:hAnsi="仿宋_GB2312" w:eastAsia="仿宋_GB2312" w:cs="仿宋_GB2312"/>
          <w:b/>
          <w:sz w:val="24"/>
        </w:rPr>
        <w:t>3.3考核（验收）标准和方法</w:t>
      </w:r>
    </w:p>
    <w:p w14:paraId="30D5782B">
      <w:pPr>
        <w:pStyle w:val="4"/>
      </w:pPr>
      <w:r>
        <w:rPr>
          <w:rFonts w:ascii="仿宋_GB2312" w:hAnsi="仿宋_GB2312" w:eastAsia="仿宋_GB2312" w:cs="仿宋_GB2312"/>
        </w:rPr>
        <w:t>采购包1：</w:t>
      </w:r>
    </w:p>
    <w:p w14:paraId="01F83F82">
      <w:pPr>
        <w:pStyle w:val="4"/>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方案设计需符合《文物保护工程设计文件编制深度要求（试行）》，满足指导施工图设计的需要</w:t>
      </w:r>
      <w:r>
        <w:rPr>
          <w:rFonts w:hint="eastAsia" w:ascii="仿宋_GB2312" w:hAnsi="仿宋_GB2312" w:eastAsia="仿宋_GB2312" w:cs="仿宋_GB2312"/>
          <w:highlight w:val="none"/>
          <w:lang w:eastAsia="zh-CN"/>
        </w:rPr>
        <w:t>。</w:t>
      </w:r>
    </w:p>
    <w:p w14:paraId="21F79637">
      <w:pPr>
        <w:pStyle w:val="4"/>
        <w:outlineLvl w:val="3"/>
        <w:rPr>
          <w:highlight w:val="none"/>
        </w:rPr>
      </w:pPr>
      <w:r>
        <w:rPr>
          <w:rFonts w:ascii="仿宋_GB2312" w:hAnsi="仿宋_GB2312" w:eastAsia="仿宋_GB2312" w:cs="仿宋_GB2312"/>
          <w:b/>
          <w:sz w:val="24"/>
          <w:highlight w:val="none"/>
        </w:rPr>
        <w:t>3.4支付方式</w:t>
      </w:r>
    </w:p>
    <w:p w14:paraId="3A6CC024">
      <w:pPr>
        <w:pStyle w:val="4"/>
        <w:rPr>
          <w:highlight w:val="none"/>
        </w:rPr>
      </w:pPr>
      <w:r>
        <w:rPr>
          <w:rFonts w:ascii="仿宋_GB2312" w:hAnsi="仿宋_GB2312" w:eastAsia="仿宋_GB2312" w:cs="仿宋_GB2312"/>
          <w:highlight w:val="none"/>
        </w:rPr>
        <w:t>采购包1：</w:t>
      </w:r>
    </w:p>
    <w:p w14:paraId="2ECA8D6E">
      <w:pPr>
        <w:pStyle w:val="4"/>
        <w:rPr>
          <w:rFonts w:hint="eastAsia" w:eastAsia="仿宋_GB2312"/>
          <w:highlight w:val="none"/>
          <w:lang w:eastAsia="zh-CN"/>
        </w:rPr>
      </w:pPr>
      <w:r>
        <w:rPr>
          <w:rFonts w:hint="eastAsia" w:ascii="仿宋_GB2312" w:hAnsi="仿宋_GB2312" w:eastAsia="仿宋_GB2312" w:cs="仿宋_GB2312"/>
          <w:highlight w:val="none"/>
          <w:lang w:val="en-US" w:eastAsia="zh-CN"/>
        </w:rPr>
        <w:t>分批付款</w:t>
      </w:r>
    </w:p>
    <w:p w14:paraId="426FBE43">
      <w:pPr>
        <w:pStyle w:val="4"/>
        <w:outlineLvl w:val="3"/>
        <w:rPr>
          <w:highlight w:val="none"/>
        </w:rPr>
      </w:pPr>
      <w:r>
        <w:rPr>
          <w:rFonts w:ascii="仿宋_GB2312" w:hAnsi="仿宋_GB2312" w:eastAsia="仿宋_GB2312" w:cs="仿宋_GB2312"/>
          <w:b/>
          <w:sz w:val="24"/>
          <w:highlight w:val="none"/>
        </w:rPr>
        <w:t>3.5支付约定</w:t>
      </w:r>
    </w:p>
    <w:p w14:paraId="20C2D77F">
      <w:pPr>
        <w:pStyle w:val="4"/>
        <w:rPr>
          <w:highlight w:val="none"/>
        </w:rPr>
      </w:pPr>
      <w:r>
        <w:rPr>
          <w:rFonts w:ascii="仿宋_GB2312" w:hAnsi="仿宋_GB2312" w:eastAsia="仿宋_GB2312" w:cs="仿宋_GB2312"/>
          <w:highlight w:val="none"/>
        </w:rPr>
        <w:t>采购包1：</w:t>
      </w:r>
    </w:p>
    <w:p w14:paraId="0A0548CB">
      <w:pPr>
        <w:pStyle w:val="4"/>
        <w:numPr>
          <w:ilvl w:val="0"/>
          <w:numId w:val="2"/>
        </w:num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进度款</w:t>
      </w:r>
      <w:r>
        <w:rPr>
          <w:rFonts w:ascii="仿宋_GB2312" w:hAnsi="仿宋_GB2312" w:eastAsia="仿宋_GB2312" w:cs="仿宋_GB2312"/>
          <w:highlight w:val="none"/>
        </w:rPr>
        <w:t>，合同签订后，达到付款条件起</w:t>
      </w:r>
      <w:r>
        <w:rPr>
          <w:rFonts w:hint="eastAsia" w:ascii="仿宋_GB2312" w:hAnsi="仿宋_GB2312" w:eastAsia="仿宋_GB2312" w:cs="仿宋_GB2312"/>
          <w:highlight w:val="none"/>
          <w:lang w:val="en-US" w:eastAsia="zh-CN"/>
        </w:rPr>
        <w:t>5</w:t>
      </w:r>
      <w:r>
        <w:rPr>
          <w:rFonts w:ascii="仿宋_GB2312" w:hAnsi="仿宋_GB2312" w:eastAsia="仿宋_GB2312" w:cs="仿宋_GB2312"/>
          <w:highlight w:val="none"/>
        </w:rPr>
        <w:t>个工作日内，支付合同总金额的</w:t>
      </w:r>
      <w:r>
        <w:rPr>
          <w:rFonts w:hint="eastAsia" w:ascii="仿宋_GB2312" w:hAnsi="仿宋_GB2312" w:eastAsia="仿宋_GB2312" w:cs="仿宋_GB2312"/>
          <w:highlight w:val="none"/>
          <w:lang w:val="en-US" w:eastAsia="zh-CN"/>
        </w:rPr>
        <w:t>60</w:t>
      </w:r>
      <w:r>
        <w:rPr>
          <w:rFonts w:ascii="仿宋_GB2312" w:hAnsi="仿宋_GB2312" w:eastAsia="仿宋_GB2312" w:cs="仿宋_GB2312"/>
          <w:highlight w:val="none"/>
        </w:rPr>
        <w:t>%</w:t>
      </w:r>
      <w:r>
        <w:rPr>
          <w:rFonts w:hint="eastAsia" w:ascii="仿宋_GB2312" w:hAnsi="仿宋_GB2312" w:eastAsia="仿宋_GB2312" w:cs="仿宋_GB2312"/>
          <w:highlight w:val="none"/>
          <w:lang w:eastAsia="zh-CN"/>
        </w:rPr>
        <w:t>。</w:t>
      </w:r>
    </w:p>
    <w:p w14:paraId="0E2A3092">
      <w:pPr>
        <w:pStyle w:val="4"/>
        <w:numPr>
          <w:ilvl w:val="0"/>
          <w:numId w:val="2"/>
        </w:numP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进度款，提交正式成果后，</w:t>
      </w:r>
      <w:r>
        <w:rPr>
          <w:rFonts w:ascii="仿宋_GB2312" w:hAnsi="仿宋_GB2312" w:eastAsia="仿宋_GB2312" w:cs="仿宋_GB2312"/>
          <w:highlight w:val="none"/>
        </w:rPr>
        <w:t>达到付款条件起</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个工作日内，支付合同总金额的</w:t>
      </w:r>
      <w:r>
        <w:rPr>
          <w:rFonts w:hint="eastAsia" w:ascii="仿宋_GB2312" w:hAnsi="仿宋_GB2312" w:eastAsia="仿宋_GB2312" w:cs="仿宋_GB2312"/>
          <w:highlight w:val="none"/>
          <w:lang w:val="en-US" w:eastAsia="zh-CN"/>
        </w:rPr>
        <w:t>40</w:t>
      </w:r>
      <w:r>
        <w:rPr>
          <w:rFonts w:ascii="仿宋_GB2312" w:hAnsi="仿宋_GB2312" w:eastAsia="仿宋_GB2312" w:cs="仿宋_GB2312"/>
          <w:highlight w:val="none"/>
        </w:rPr>
        <w:t>%</w:t>
      </w:r>
      <w:r>
        <w:rPr>
          <w:rFonts w:hint="eastAsia" w:ascii="仿宋_GB2312" w:hAnsi="仿宋_GB2312" w:eastAsia="仿宋_GB2312" w:cs="仿宋_GB2312"/>
          <w:highlight w:val="none"/>
          <w:lang w:eastAsia="zh-CN"/>
        </w:rPr>
        <w:t>。</w:t>
      </w:r>
    </w:p>
    <w:p w14:paraId="5C469572">
      <w:pPr>
        <w:pStyle w:val="4"/>
        <w:outlineLvl w:val="3"/>
      </w:pPr>
      <w:r>
        <w:rPr>
          <w:rFonts w:ascii="仿宋_GB2312" w:hAnsi="仿宋_GB2312" w:eastAsia="仿宋_GB2312" w:cs="仿宋_GB2312"/>
          <w:b/>
          <w:sz w:val="24"/>
        </w:rPr>
        <w:t>3.6违约责任及解决争议的方法</w:t>
      </w:r>
    </w:p>
    <w:p w14:paraId="13ABC842">
      <w:pPr>
        <w:pStyle w:val="4"/>
      </w:pPr>
      <w:r>
        <w:rPr>
          <w:rFonts w:ascii="仿宋_GB2312" w:hAnsi="仿宋_GB2312" w:eastAsia="仿宋_GB2312" w:cs="仿宋_GB2312"/>
        </w:rPr>
        <w:t>采购包1：</w:t>
      </w:r>
    </w:p>
    <w:p w14:paraId="1F64E4EF">
      <w:pPr>
        <w:pStyle w:val="4"/>
      </w:pPr>
      <w:r>
        <w:rPr>
          <w:rFonts w:ascii="仿宋_GB2312" w:hAnsi="仿宋_GB2312" w:eastAsia="仿宋_GB2312" w:cs="仿宋_GB2312"/>
        </w:rPr>
        <w:t>按照采购文件、响应文件及合同约定执行</w:t>
      </w:r>
    </w:p>
    <w:p w14:paraId="2F593ECD">
      <w:pPr>
        <w:pStyle w:val="4"/>
        <w:outlineLvl w:val="2"/>
      </w:pPr>
      <w:r>
        <w:rPr>
          <w:rFonts w:ascii="仿宋_GB2312" w:hAnsi="仿宋_GB2312" w:eastAsia="仿宋_GB2312" w:cs="仿宋_GB2312"/>
          <w:b/>
          <w:sz w:val="28"/>
        </w:rPr>
        <w:t>4其他要求</w:t>
      </w:r>
    </w:p>
    <w:p w14:paraId="6DF6488D">
      <w:pPr>
        <w:pStyle w:val="4"/>
        <w:numPr>
          <w:ilvl w:val="0"/>
          <w:numId w:val="3"/>
        </w:numPr>
        <w:rPr>
          <w:rFonts w:ascii="仿宋_GB2312" w:hAnsi="仿宋_GB2312" w:eastAsia="仿宋_GB2312" w:cs="仿宋_GB2312"/>
        </w:rPr>
      </w:pPr>
      <w:r>
        <w:rPr>
          <w:rFonts w:ascii="仿宋_GB2312" w:hAnsi="仿宋_GB2312" w:eastAsia="仿宋_GB2312" w:cs="仿宋_GB2312"/>
        </w:rPr>
        <w:t>为顺利推进政府采购电子化交易平台应用工作，供应商需要在线提交所有通过电子化交易平台实施的政府采购项目的投标文件，同时，线下提交纸质版投标文件</w:t>
      </w:r>
      <w:r>
        <w:rPr>
          <w:rFonts w:hint="eastAsia" w:ascii="仿宋_GB2312" w:hAnsi="仿宋_GB2312" w:eastAsia="仿宋_GB2312" w:cs="仿宋_GB2312"/>
          <w:lang w:val="en-US" w:eastAsia="zh-CN"/>
        </w:rPr>
        <w:t>（</w:t>
      </w:r>
      <w:r>
        <w:rPr>
          <w:rFonts w:ascii="仿宋_GB2312" w:hAnsi="仿宋_GB2312" w:eastAsia="仿宋_GB2312" w:cs="仿宋_GB2312"/>
        </w:rPr>
        <w:t>应从专用制作软件中直接打印，与电子投标文件保持一致</w:t>
      </w:r>
      <w:r>
        <w:rPr>
          <w:rFonts w:hint="eastAsia" w:ascii="仿宋_GB2312" w:hAnsi="仿宋_GB2312" w:eastAsia="仿宋_GB2312" w:cs="仿宋_GB2312"/>
          <w:lang w:eastAsia="zh-CN"/>
        </w:rPr>
        <w:t>）</w:t>
      </w:r>
      <w:r>
        <w:rPr>
          <w:rFonts w:ascii="仿宋_GB2312" w:hAnsi="仿宋_GB2312" w:eastAsia="仿宋_GB2312" w:cs="仿宋_GB2312"/>
        </w:rPr>
        <w:t>，正本壹份、副本</w:t>
      </w:r>
      <w:r>
        <w:rPr>
          <w:rFonts w:hint="eastAsia" w:ascii="仿宋_GB2312" w:hAnsi="仿宋_GB2312" w:eastAsia="仿宋_GB2312" w:cs="仿宋_GB2312"/>
          <w:lang w:val="en-US" w:eastAsia="zh-CN"/>
        </w:rPr>
        <w:t>贰</w:t>
      </w:r>
      <w:r>
        <w:rPr>
          <w:rFonts w:ascii="仿宋_GB2312" w:hAnsi="仿宋_GB2312" w:eastAsia="仿宋_GB2312" w:cs="仿宋_GB2312"/>
        </w:rPr>
        <w:t>份、电子版壹份。若线上电子投标文件与纸质投标文件不一致的，以线上电子投标文件为准；若正本和副本不符，以正本为准。 线下递交文件时间：详见本项目磋商公告提交投标文件截止时间；线下递交文件地点：西安市高新路2号西部国际广场1幢32层会议室1 。</w:t>
      </w:r>
    </w:p>
    <w:p w14:paraId="6CF56D5B">
      <w:pPr>
        <w:pStyle w:val="4"/>
        <w:numPr>
          <w:ilvl w:val="0"/>
          <w:numId w:val="3"/>
        </w:numPr>
        <w:rPr>
          <w:rFonts w:ascii="仿宋_GB2312" w:hAnsi="仿宋_GB2312" w:eastAsia="仿宋_GB2312" w:cs="仿宋_GB2312"/>
        </w:rPr>
      </w:pPr>
      <w:r>
        <w:rPr>
          <w:rFonts w:hint="eastAsia" w:ascii="仿宋_GB2312" w:hAnsi="仿宋_GB2312" w:eastAsia="仿宋_GB2312" w:cs="仿宋_GB2312"/>
          <w:lang w:eastAsia="zh-CN"/>
        </w:rPr>
        <w:t>线下</w:t>
      </w:r>
      <w:bookmarkStart w:id="0" w:name="_GoBack"/>
      <w:bookmarkEnd w:id="0"/>
      <w:r>
        <w:rPr>
          <w:rFonts w:hint="eastAsia" w:ascii="仿宋_GB2312" w:hAnsi="仿宋_GB2312" w:eastAsia="仿宋_GB2312" w:cs="仿宋_GB2312"/>
          <w:lang w:eastAsia="zh-CN"/>
        </w:rPr>
        <w:t>递交文件</w:t>
      </w:r>
      <w:r>
        <w:rPr>
          <w:rFonts w:ascii="仿宋_GB2312" w:hAnsi="仿宋_GB2312" w:eastAsia="仿宋_GB2312" w:cs="仿宋_GB2312"/>
        </w:rPr>
        <w:t>须提供法定代表人授权委托书、被授权人身份证复印件及被授权人开标当月前三个月内任意一个月在本单位的社保缴纳证明。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noto sans thai">
    <w:panose1 w:val="020B0502040504020204"/>
    <w:charset w:val="00"/>
    <w:family w:val="auto"/>
    <w:pitch w:val="default"/>
    <w:sig w:usb0="81000063" w:usb1="00002000" w:usb2="00000000" w:usb3="00000000" w:csb0="0001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FED987"/>
    <w:multiLevelType w:val="singleLevel"/>
    <w:tmpl w:val="D2FED987"/>
    <w:lvl w:ilvl="0" w:tentative="0">
      <w:start w:val="1"/>
      <w:numFmt w:val="decimal"/>
      <w:suff w:val="nothing"/>
      <w:lvlText w:val="%1、"/>
      <w:lvlJc w:val="left"/>
    </w:lvl>
  </w:abstractNum>
  <w:abstractNum w:abstractNumId="1">
    <w:nsid w:val="0869D136"/>
    <w:multiLevelType w:val="singleLevel"/>
    <w:tmpl w:val="0869D136"/>
    <w:lvl w:ilvl="0" w:tentative="0">
      <w:start w:val="5"/>
      <w:numFmt w:val="chineseCounting"/>
      <w:suff w:val="nothing"/>
      <w:lvlText w:val="%1、"/>
      <w:lvlJc w:val="left"/>
      <w:rPr>
        <w:rFonts w:hint="eastAsia"/>
      </w:rPr>
    </w:lvl>
  </w:abstractNum>
  <w:abstractNum w:abstractNumId="2">
    <w:nsid w:val="737CBE3A"/>
    <w:multiLevelType w:val="singleLevel"/>
    <w:tmpl w:val="737CBE3A"/>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2F4C04"/>
    <w:rsid w:val="7E2F4C04"/>
    <w:rsid w:val="DA3F4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2026-09-20T16:02:00Z</dcterms:created>
  <dc:creator>MengYu</dc:creator>
  <cp:lastModifiedBy>MengYu</cp:lastModifiedBy>
  <dcterms:modified xsi:type="dcterms:W3CDTF">2026-09-20T16:13:00Z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0BC82F1397BF3A8D1793AF6A543B0AAE_41</vt:lpwstr>
  </property>
</Properties>
</file>