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版本号：ZX2026-06-2720260616001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关于开展抖音新媒体营销宣传项目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ZX2026-06-27</w:t>
      </w:r>
      <w:r>
        <w:br/>
      </w:r>
      <w:r>
        <w:br/>
      </w:r>
      <w:r>
        <w:br/>
      </w:r>
    </w:p>
    <w:p>
      <w:pPr>
        <w:pStyle w:val="null3"/>
        <w:jc w:val="center"/>
        <w:outlineLvl w:val="2"/>
      </w:pPr>
      <w:r>
        <w:rPr>
          <w:rFonts w:ascii="仿宋_GB2312" w:hAnsi="仿宋_GB2312" w:cs="仿宋_GB2312" w:eastAsia="仿宋_GB2312"/>
          <w:sz w:val="28"/>
          <w:b/>
        </w:rPr>
        <w:t>陕西省福利彩票发行中心</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陕西省福利彩票发行中心</w:t>
      </w:r>
      <w:r>
        <w:rPr>
          <w:rFonts w:ascii="仿宋_GB2312" w:hAnsi="仿宋_GB2312" w:cs="仿宋_GB2312" w:eastAsia="仿宋_GB2312"/>
        </w:rPr>
        <w:t>委托，拟对</w:t>
      </w:r>
      <w:r>
        <w:rPr>
          <w:rFonts w:ascii="仿宋_GB2312" w:hAnsi="仿宋_GB2312" w:cs="仿宋_GB2312" w:eastAsia="仿宋_GB2312"/>
        </w:rPr>
        <w:t>关于开展抖音新媒体营销宣传项目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ZX2026-06-27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关于开展抖音新媒体营销宣传项目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配合福利彩票各类主题公益营销活动吸引目标人群，提升热度，加快福彩品牌在新媒体平台传播效能，发挥陕西福彩抖音官方账号在新媒体主阵地的宣传积极性与影响力，计划在抖音平台采取抖音信息流与开屏广告（定向西安）以及抖音品牌专区、抖音话题页四种形式进行广告投放。具体采购需求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采购包1（关于开展抖音新媒体营销宣传项目）：属于专门面向中小企业采购。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陕西省福利彩票发行中心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陕西省西安市未央区未央路副102号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029-68742256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张爽 曹婷 王宇轩 马演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采购包1：979,600.00元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采购包1保证金金额：10,627.00元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代理服务费收费标准：参照国家计委计价格[2002]1980号及发改办价格[2003]857号通知规定，按标准收取，由成交供应商支付代理服务费。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陕西省福利彩票发行中心</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陕西省福利彩票发行中心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陕西省福利彩票发行中心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依据磋商文件、磋商响应文件及合同内容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配合福利彩票各类主题公益营销活动吸引目标人群，提升热度，加快福彩品牌在新媒体平台传播效能，发挥陕西福彩抖音官方账号在新媒体主阵地的宣传积极性与影响力，计划在抖音平台采取抖音信息流与开屏广告（定向西安）以及抖音品牌专区、抖音话题页四种形式进行广告投放。具体采购需求详见磋商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979,600.00</w:t>
      </w:r>
    </w:p>
    <w:p>
      <w:pPr>
        <w:pStyle w:val="null3"/>
      </w:pPr>
      <w:r>
        <w:rPr>
          <w:rFonts w:ascii="仿宋_GB2312" w:hAnsi="仿宋_GB2312" w:cs="仿宋_GB2312" w:eastAsia="仿宋_GB2312"/>
        </w:rPr>
        <w:t>采购包最高限价（元）: 979,600.00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抖音新媒体营销宣传活动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979,600.00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标的名称：抖音新媒体营销宣传活动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rPr>
              <w:t>为配合福利彩票各类主题公益营销活动吸引目标人群，提升热度，加快福彩品牌在新媒体平台传播效能，发挥陕西福彩抖音官方账号在新媒体主阵地的宣传积极性与影响力，计划在抖音平台采取抖音信息流与开屏广告（定向西安）以及抖音品牌专区、抖音话题页四种形式进行广告投放。</w:t>
            </w:r>
          </w:p>
          <w:p>
            <w:pPr>
              <w:pStyle w:val="null3"/>
            </w:pPr>
            <w:r>
              <w:rPr>
                <w:rFonts w:ascii="仿宋_GB2312" w:hAnsi="仿宋_GB2312" w:cs="仿宋_GB2312" w:eastAsia="仿宋_GB2312"/>
              </w:rPr>
              <w:t>一、采购内容</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发布媒体</w:t>
                  </w:r>
                </w:p>
              </w:tc>
              <w:tc>
                <w:tcPr>
                  <w:tcW w:type="dxa" w:w="511"/>
                </w:tcPr>
                <w:p>
                  <w:pPr>
                    <w:pStyle w:val="null3"/>
                  </w:pPr>
                  <w:r>
                    <w:rPr>
                      <w:rFonts w:ascii="仿宋_GB2312" w:hAnsi="仿宋_GB2312" w:cs="仿宋_GB2312" w:eastAsia="仿宋_GB2312"/>
                    </w:rPr>
                    <w:t>投放形式</w:t>
                  </w:r>
                </w:p>
              </w:tc>
              <w:tc>
                <w:tcPr>
                  <w:tcW w:type="dxa" w:w="511"/>
                </w:tcPr>
                <w:p>
                  <w:pPr>
                    <w:pStyle w:val="null3"/>
                  </w:pPr>
                  <w:r>
                    <w:rPr>
                      <w:rFonts w:ascii="仿宋_GB2312" w:hAnsi="仿宋_GB2312" w:cs="仿宋_GB2312" w:eastAsia="仿宋_GB2312"/>
                    </w:rPr>
                    <w:t>发布时间</w:t>
                  </w:r>
                </w:p>
                <w:p>
                  <w:pPr>
                    <w:pStyle w:val="null3"/>
                  </w:pPr>
                  <w:r>
                    <w:rPr>
                      <w:rFonts w:ascii="仿宋_GB2312" w:hAnsi="仿宋_GB2312" w:cs="仿宋_GB2312" w:eastAsia="仿宋_GB2312"/>
                    </w:rPr>
                    <w:t>（服务期内）</w:t>
                  </w:r>
                </w:p>
              </w:tc>
              <w:tc>
                <w:tcPr>
                  <w:tcW w:type="dxa" w:w="511"/>
                </w:tcPr>
                <w:p>
                  <w:pPr>
                    <w:pStyle w:val="null3"/>
                  </w:pPr>
                  <w:r>
                    <w:rPr>
                      <w:rFonts w:ascii="仿宋_GB2312" w:hAnsi="仿宋_GB2312" w:cs="仿宋_GB2312" w:eastAsia="仿宋_GB2312"/>
                    </w:rPr>
                    <w:t>投放规格</w:t>
                  </w:r>
                </w:p>
              </w:tc>
              <w:tc>
                <w:tcPr>
                  <w:tcW w:type="dxa" w:w="511"/>
                </w:tcPr>
                <w:p>
                  <w:pPr>
                    <w:pStyle w:val="null3"/>
                  </w:pPr>
                  <w:r>
                    <w:rPr>
                      <w:rFonts w:ascii="仿宋_GB2312" w:hAnsi="仿宋_GB2312" w:cs="仿宋_GB2312" w:eastAsia="仿宋_GB2312"/>
                    </w:rPr>
                    <w:t>投放量</w:t>
                  </w:r>
                </w:p>
              </w:tc>
            </w:tr>
            <w:tr>
              <w:tc>
                <w:tcPr>
                  <w:tcW w:type="dxa" w:w="511"/>
                </w:tcPr>
                <w:p>
                  <w:pPr>
                    <w:pStyle w:val="null3"/>
                  </w:pPr>
                  <w:r>
                    <w:rPr>
                      <w:rFonts w:ascii="仿宋_GB2312" w:hAnsi="仿宋_GB2312" w:cs="仿宋_GB2312" w:eastAsia="仿宋_GB2312"/>
                    </w:rPr>
                    <w:t>抖音信</w:t>
                  </w:r>
                </w:p>
                <w:p>
                  <w:pPr>
                    <w:pStyle w:val="null3"/>
                  </w:pPr>
                  <w:r>
                    <w:rPr>
                      <w:rFonts w:ascii="仿宋_GB2312" w:hAnsi="仿宋_GB2312" w:cs="仿宋_GB2312" w:eastAsia="仿宋_GB2312"/>
                    </w:rPr>
                    <w:t>息流广告</w:t>
                  </w:r>
                </w:p>
              </w:tc>
              <w:tc>
                <w:tcPr>
                  <w:tcW w:type="dxa" w:w="511"/>
                </w:tcPr>
                <w:p>
                  <w:pPr>
                    <w:pStyle w:val="null3"/>
                  </w:pPr>
                  <w:r>
                    <w:rPr>
                      <w:rFonts w:ascii="仿宋_GB2312" w:hAnsi="仿宋_GB2312" w:cs="仿宋_GB2312" w:eastAsia="仿宋_GB2312"/>
                    </w:rPr>
                    <w:t>信息流广告（图文）定向西安</w:t>
                  </w:r>
                </w:p>
              </w:tc>
              <w:tc>
                <w:tcPr>
                  <w:tcW w:type="dxa" w:w="511"/>
                </w:tcPr>
                <w:p>
                  <w:pPr>
                    <w:pStyle w:val="null3"/>
                  </w:pPr>
                  <w:r>
                    <w:rPr>
                      <w:rFonts w:ascii="仿宋_GB2312" w:hAnsi="仿宋_GB2312" w:cs="仿宋_GB2312" w:eastAsia="仿宋_GB2312"/>
                    </w:rPr>
                    <w:t>60天</w:t>
                  </w:r>
                </w:p>
              </w:tc>
              <w:tc>
                <w:tcPr>
                  <w:tcW w:type="dxa" w:w="511"/>
                </w:tcPr>
                <w:p>
                  <w:pPr>
                    <w:pStyle w:val="null3"/>
                  </w:pPr>
                  <w:r>
                    <w:rPr>
                      <w:rFonts w:ascii="仿宋_GB2312" w:hAnsi="仿宋_GB2312" w:cs="仿宋_GB2312" w:eastAsia="仿宋_GB2312"/>
                    </w:rPr>
                    <w:t>200cpm/天</w:t>
                  </w:r>
                </w:p>
              </w:tc>
              <w:tc>
                <w:tcPr>
                  <w:tcW w:type="dxa" w:w="511"/>
                </w:tcPr>
                <w:p>
                  <w:pPr>
                    <w:pStyle w:val="null3"/>
                  </w:pPr>
                  <w:r>
                    <w:rPr>
                      <w:rFonts w:ascii="仿宋_GB2312" w:hAnsi="仿宋_GB2312" w:cs="仿宋_GB2312" w:eastAsia="仿宋_GB2312"/>
                    </w:rPr>
                    <w:t>12000cpm</w:t>
                  </w:r>
                </w:p>
              </w:tc>
            </w:tr>
            <w:tr>
              <w:tc>
                <w:tcPr>
                  <w:tcW w:type="dxa" w:w="511"/>
                </w:tcPr>
                <w:p>
                  <w:pPr>
                    <w:pStyle w:val="null3"/>
                  </w:pPr>
                  <w:r>
                    <w:rPr>
                      <w:rFonts w:ascii="仿宋_GB2312" w:hAnsi="仿宋_GB2312" w:cs="仿宋_GB2312" w:eastAsia="仿宋_GB2312"/>
                    </w:rPr>
                    <w:t>抖音开</w:t>
                  </w:r>
                </w:p>
                <w:p>
                  <w:pPr>
                    <w:pStyle w:val="null3"/>
                  </w:pPr>
                  <w:r>
                    <w:rPr>
                      <w:rFonts w:ascii="仿宋_GB2312" w:hAnsi="仿宋_GB2312" w:cs="仿宋_GB2312" w:eastAsia="仿宋_GB2312"/>
                    </w:rPr>
                    <w:t>屏广告</w:t>
                  </w:r>
                </w:p>
              </w:tc>
              <w:tc>
                <w:tcPr>
                  <w:tcW w:type="dxa" w:w="511"/>
                </w:tcPr>
                <w:p>
                  <w:pPr>
                    <w:pStyle w:val="null3"/>
                  </w:pPr>
                  <w:r>
                    <w:rPr>
                      <w:rFonts w:ascii="仿宋_GB2312" w:hAnsi="仿宋_GB2312" w:cs="仿宋_GB2312" w:eastAsia="仿宋_GB2312"/>
                    </w:rPr>
                    <w:t>开屏广告定向西安</w:t>
                  </w:r>
                </w:p>
              </w:tc>
              <w:tc>
                <w:tcPr>
                  <w:tcW w:type="dxa" w:w="511"/>
                </w:tcPr>
                <w:p>
                  <w:pPr>
                    <w:pStyle w:val="null3"/>
                  </w:pPr>
                  <w:r>
                    <w:rPr>
                      <w:rFonts w:ascii="仿宋_GB2312" w:hAnsi="仿宋_GB2312" w:cs="仿宋_GB2312" w:eastAsia="仿宋_GB2312"/>
                    </w:rPr>
                    <w:t>5天</w:t>
                  </w:r>
                </w:p>
              </w:tc>
              <w:tc>
                <w:tcPr>
                  <w:tcW w:type="dxa" w:w="511"/>
                </w:tcPr>
                <w:p>
                  <w:pPr>
                    <w:pStyle w:val="null3"/>
                  </w:pPr>
                  <w:r>
                    <w:rPr>
                      <w:rFonts w:ascii="仿宋_GB2312" w:hAnsi="仿宋_GB2312" w:cs="仿宋_GB2312" w:eastAsia="仿宋_GB2312"/>
                    </w:rPr>
                    <w:t>100cpm/天</w:t>
                  </w:r>
                </w:p>
              </w:tc>
              <w:tc>
                <w:tcPr>
                  <w:tcW w:type="dxa" w:w="511"/>
                </w:tcPr>
                <w:p>
                  <w:pPr>
                    <w:pStyle w:val="null3"/>
                  </w:pPr>
                  <w:r>
                    <w:rPr>
                      <w:rFonts w:ascii="仿宋_GB2312" w:hAnsi="仿宋_GB2312" w:cs="仿宋_GB2312" w:eastAsia="仿宋_GB2312"/>
                    </w:rPr>
                    <w:t>500cpm</w:t>
                  </w:r>
                </w:p>
              </w:tc>
            </w:tr>
            <w:tr>
              <w:tc>
                <w:tcPr>
                  <w:tcW w:type="dxa" w:w="511"/>
                </w:tcPr>
                <w:p>
                  <w:pPr>
                    <w:pStyle w:val="null3"/>
                  </w:pPr>
                  <w:r>
                    <w:rPr>
                      <w:rFonts w:ascii="仿宋_GB2312" w:hAnsi="仿宋_GB2312" w:cs="仿宋_GB2312" w:eastAsia="仿宋_GB2312"/>
                    </w:rPr>
                    <w:t>抖音品牌专区</w:t>
                  </w:r>
                </w:p>
              </w:tc>
              <w:tc>
                <w:tcPr>
                  <w:tcW w:type="dxa" w:w="511"/>
                </w:tcPr>
                <w:p>
                  <w:pPr>
                    <w:pStyle w:val="null3"/>
                  </w:pPr>
                  <w:r>
                    <w:rPr>
                      <w:rFonts w:ascii="仿宋_GB2312" w:hAnsi="仿宋_GB2312" w:cs="仿宋_GB2312" w:eastAsia="仿宋_GB2312"/>
                    </w:rPr>
                    <w:t>标准品专</w:t>
                  </w:r>
                </w:p>
              </w:tc>
              <w:tc>
                <w:tcPr>
                  <w:tcW w:type="dxa" w:w="511"/>
                </w:tcPr>
                <w:p>
                  <w:pPr>
                    <w:pStyle w:val="null3"/>
                  </w:pPr>
                  <w:r>
                    <w:rPr>
                      <w:rFonts w:ascii="仿宋_GB2312" w:hAnsi="仿宋_GB2312" w:cs="仿宋_GB2312" w:eastAsia="仿宋_GB2312"/>
                    </w:rPr>
                    <w:t>6个月</w:t>
                  </w:r>
                </w:p>
              </w:tc>
              <w:tc>
                <w:tcPr>
                  <w:tcW w:type="dxa" w:w="511"/>
                </w:tcPr>
                <w:p>
                  <w:pPr>
                    <w:pStyle w:val="null3"/>
                  </w:pPr>
                  <w:r>
                    <w:rPr>
                      <w:rFonts w:ascii="仿宋_GB2312" w:hAnsi="仿宋_GB2312" w:cs="仿宋_GB2312" w:eastAsia="仿宋_GB2312"/>
                    </w:rPr>
                    <w:t>CPT包月</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抖音话题页</w:t>
                  </w:r>
                </w:p>
              </w:tc>
              <w:tc>
                <w:tcPr>
                  <w:tcW w:type="dxa" w:w="511"/>
                </w:tcPr>
                <w:p>
                  <w:pPr>
                    <w:pStyle w:val="null3"/>
                  </w:pPr>
                  <w:r>
                    <w:rPr>
                      <w:rFonts w:ascii="仿宋_GB2312" w:hAnsi="仿宋_GB2312" w:cs="仿宋_GB2312" w:eastAsia="仿宋_GB2312"/>
                    </w:rPr>
                    <w:t>活动话题</w:t>
                  </w:r>
                </w:p>
              </w:tc>
              <w:tc>
                <w:tcPr>
                  <w:tcW w:type="dxa" w:w="511"/>
                </w:tcPr>
                <w:p>
                  <w:pPr>
                    <w:pStyle w:val="null3"/>
                  </w:pPr>
                  <w:r>
                    <w:rPr>
                      <w:rFonts w:ascii="仿宋_GB2312" w:hAnsi="仿宋_GB2312" w:cs="仿宋_GB2312" w:eastAsia="仿宋_GB2312"/>
                    </w:rPr>
                    <w:t>一年</w:t>
                  </w:r>
                </w:p>
              </w:tc>
              <w:tc>
                <w:tcPr>
                  <w:tcW w:type="dxa" w:w="511"/>
                </w:tcPr>
                <w:p>
                  <w:pPr>
                    <w:pStyle w:val="null3"/>
                  </w:pPr>
                  <w:r>
                    <w:rPr>
                      <w:rFonts w:ascii="仿宋_GB2312" w:hAnsi="仿宋_GB2312" w:cs="仿宋_GB2312" w:eastAsia="仿宋_GB2312"/>
                    </w:rPr>
                    <w:t>个</w:t>
                  </w:r>
                </w:p>
              </w:tc>
              <w:tc>
                <w:tcPr>
                  <w:tcW w:type="dxa" w:w="511"/>
                </w:tcPr>
                <w:p>
                  <w:pPr>
                    <w:pStyle w:val="null3"/>
                  </w:pPr>
                  <w:r>
                    <w:rPr>
                      <w:rFonts w:ascii="仿宋_GB2312" w:hAnsi="仿宋_GB2312" w:cs="仿宋_GB2312" w:eastAsia="仿宋_GB2312"/>
                    </w:rPr>
                    <w:t>1</w:t>
                  </w:r>
                </w:p>
              </w:tc>
            </w:tr>
          </w:tbl>
          <w:p>
            <w:pPr>
              <w:pStyle w:val="null3"/>
            </w:pPr>
            <w:r>
              <w:rPr>
                <w:rFonts w:ascii="仿宋_GB2312" w:hAnsi="仿宋_GB2312" w:cs="仿宋_GB2312" w:eastAsia="仿宋_GB2312"/>
              </w:rPr>
              <w:t>注：以上所列媒体根据中心工作需要可在同等价位进行调整。</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1、投放方式</w:t>
            </w:r>
          </w:p>
          <w:p>
            <w:pPr>
              <w:pStyle w:val="null3"/>
            </w:pPr>
            <w:r>
              <w:rPr>
                <w:rFonts w:ascii="仿宋_GB2312" w:hAnsi="仿宋_GB2312" w:cs="仿宋_GB2312" w:eastAsia="仿宋_GB2312"/>
              </w:rPr>
              <w:t>统一采购、分段投放。具体分段方式及每个阶段的持续时间由省福彩中心指定。</w:t>
            </w:r>
          </w:p>
          <w:p>
            <w:pPr>
              <w:pStyle w:val="null3"/>
            </w:pPr>
            <w:r>
              <w:rPr>
                <w:rFonts w:ascii="仿宋_GB2312" w:hAnsi="仿宋_GB2312" w:cs="仿宋_GB2312" w:eastAsia="仿宋_GB2312"/>
              </w:rPr>
              <w:t>2、投放时间及地点</w:t>
            </w:r>
          </w:p>
          <w:p>
            <w:pPr>
              <w:pStyle w:val="null3"/>
            </w:pPr>
            <w:r>
              <w:rPr>
                <w:rFonts w:ascii="仿宋_GB2312" w:hAnsi="仿宋_GB2312" w:cs="仿宋_GB2312" w:eastAsia="仿宋_GB2312"/>
              </w:rPr>
              <w:t>具体日期由省福彩中心根据公益营销活动的需求指定。</w:t>
            </w:r>
          </w:p>
          <w:p>
            <w:pPr>
              <w:pStyle w:val="null3"/>
            </w:pPr>
            <w:r>
              <w:rPr>
                <w:rFonts w:ascii="仿宋_GB2312" w:hAnsi="仿宋_GB2312" w:cs="仿宋_GB2312" w:eastAsia="仿宋_GB2312"/>
              </w:rPr>
              <w:t>3、投放素材</w:t>
            </w:r>
          </w:p>
          <w:p>
            <w:pPr>
              <w:pStyle w:val="null3"/>
            </w:pPr>
            <w:r>
              <w:rPr>
                <w:rFonts w:ascii="仿宋_GB2312" w:hAnsi="仿宋_GB2312" w:cs="仿宋_GB2312" w:eastAsia="仿宋_GB2312"/>
              </w:rPr>
              <w:t>为省福彩中心指定的宣传活动制作投放所需的宣传图片和视频广告，撰写软文，编辑落地页面。</w:t>
            </w:r>
          </w:p>
          <w:p>
            <w:pPr>
              <w:pStyle w:val="null3"/>
            </w:pPr>
            <w:r>
              <w:rPr>
                <w:rFonts w:ascii="仿宋_GB2312" w:hAnsi="仿宋_GB2312" w:cs="仿宋_GB2312" w:eastAsia="仿宋_GB2312"/>
              </w:rPr>
              <w:t>4、投放内容</w:t>
            </w:r>
          </w:p>
          <w:p>
            <w:pPr>
              <w:pStyle w:val="null3"/>
            </w:pPr>
            <w:r>
              <w:rPr>
                <w:rFonts w:ascii="仿宋_GB2312" w:hAnsi="仿宋_GB2312" w:cs="仿宋_GB2312" w:eastAsia="仿宋_GB2312"/>
              </w:rPr>
              <w:t>每阶段投放对应独立的活动内容，具体投放内容由省福彩中心指定。</w:t>
            </w:r>
          </w:p>
          <w:p>
            <w:pPr>
              <w:pStyle w:val="null3"/>
            </w:pPr>
            <w:r>
              <w:rPr>
                <w:rFonts w:ascii="仿宋_GB2312" w:hAnsi="仿宋_GB2312" w:cs="仿宋_GB2312" w:eastAsia="仿宋_GB2312"/>
              </w:rPr>
              <w:t>5、服务要求</w:t>
            </w:r>
          </w:p>
          <w:p>
            <w:pPr>
              <w:pStyle w:val="null3"/>
            </w:pPr>
            <w:r>
              <w:rPr>
                <w:rFonts w:ascii="仿宋_GB2312" w:hAnsi="仿宋_GB2312" w:cs="仿宋_GB2312" w:eastAsia="仿宋_GB2312"/>
              </w:rPr>
              <w:t>（1）供应商应具备投放媒体认可的广告投放资质。</w:t>
            </w:r>
          </w:p>
          <w:p>
            <w:pPr>
              <w:pStyle w:val="null3"/>
            </w:pPr>
            <w:r>
              <w:rPr>
                <w:rFonts w:ascii="仿宋_GB2312" w:hAnsi="仿宋_GB2312" w:cs="仿宋_GB2312" w:eastAsia="仿宋_GB2312"/>
              </w:rPr>
              <w:t>（2）供应商应通过投放媒体提供的官方渠道完成广告投放，如需使用第三方渠道的，须提供相应媒体平台官方出具的合法性证明。</w:t>
            </w:r>
          </w:p>
          <w:p>
            <w:pPr>
              <w:pStyle w:val="null3"/>
            </w:pPr>
            <w:r>
              <w:rPr>
                <w:rFonts w:ascii="仿宋_GB2312" w:hAnsi="仿宋_GB2312" w:cs="仿宋_GB2312" w:eastAsia="仿宋_GB2312"/>
              </w:rPr>
              <w:t>（3）每阶段投放的起始日期、投放内容及投放数量均由省福彩中心根据实际业务需求即时调配，供应商应预先做好与各平台的沟通协调，确保能够完全按照省福彩中心的要求完成投放。</w:t>
            </w:r>
          </w:p>
          <w:p>
            <w:pPr>
              <w:pStyle w:val="null3"/>
            </w:pPr>
            <w:r>
              <w:rPr>
                <w:rFonts w:ascii="仿宋_GB2312" w:hAnsi="仿宋_GB2312" w:cs="仿宋_GB2312" w:eastAsia="仿宋_GB2312"/>
              </w:rPr>
              <w:t>（4）为投放设计的软文、图片、视频等宣传素材须经由省福彩中心审核通过后方可使用。</w:t>
            </w:r>
          </w:p>
          <w:p>
            <w:pPr>
              <w:pStyle w:val="null3"/>
            </w:pPr>
            <w:r>
              <w:rPr>
                <w:rFonts w:ascii="仿宋_GB2312" w:hAnsi="仿宋_GB2312" w:cs="仿宋_GB2312" w:eastAsia="仿宋_GB2312"/>
              </w:rPr>
              <w:t>（5）供应商应确保广告设计过程中使用的所有素材不涉及版权纠纷。</w:t>
            </w:r>
          </w:p>
          <w:p>
            <w:pPr>
              <w:pStyle w:val="null3"/>
            </w:pPr>
            <w:r>
              <w:rPr>
                <w:rFonts w:ascii="仿宋_GB2312" w:hAnsi="仿宋_GB2312" w:cs="仿宋_GB2312" w:eastAsia="仿宋_GB2312"/>
              </w:rPr>
              <w:t>（6）投放过程中使用的所有宣传素材，其版权归省福彩中心所有，未经省福彩中心许可不得随意传播或用于任何商业用途。</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按照项目实施需求配置。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陕西省福利彩票发行中心指定地点。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（1）质量标准，符合国家行业相关标准。 （2）验收：根据磋商文件、成交供应商响应文件和合同文本执行。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进度款，成交供应商完成本项目40%以上的投放工作，提供相应真实、合法有效并符合国家法律法规的投放证明，达到付款条件起20个工作日内，支付合同总金额的40.0%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进度款，成交供应商完成本合同全部投放要求后，并提供验收资料，经甲方验收合格并组织专家进行评审通过后，达到付款条件起20个工作日内，支付合同总金额的20.0%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根据合同文本执行。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注意事项：（1）磋商应在响应文件递交截止时间前到账，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保函必须由具有开具投标保函资格的单位开具；若供应商违约，开具保函单位承担连带责任；（2）磋商保证金的提交金额、时间不满足磋商文件要求的，投标无效。（3）未成交供应商的磋商保证金，将在成交通知书发出后5个工作日内无息全额退还，但因供应商自身原因导致无法及时退还的除外。成交供应商的磋商保证金，在服务费足额到账3个工作日内或收到合同3个工作日内退还位保证金，但因供应商自身原因导致无法及时退还的除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12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3资格证明文件.docx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3资格证明文件.docx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3资格证明文件.docx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总报价未超过磋商文件中规定的最高限价的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满足本磋商文件中3.3商务要求中服务期限、服务地点、支付约定要求的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采购内容响应情况</w:t>
            </w:r>
          </w:p>
        </w:tc>
        <w:tc>
          <w:tcPr>
            <w:tcW w:type="dxa" w:w="2492"/>
          </w:tcPr>
          <w:p>
            <w:pPr>
              <w:pStyle w:val="null3"/>
            </w:pPr>
            <w:r>
              <w:rPr>
                <w:rFonts w:ascii="仿宋_GB2312" w:hAnsi="仿宋_GB2312" w:cs="仿宋_GB2312" w:eastAsia="仿宋_GB2312"/>
              </w:rPr>
              <w:t>根据本项目采购需求，供应商对采购内容中的每项发布媒体（①抖音信息流广告、②抖音开屏广告、③抖音品牌专区、④抖音话题页）的投放形式、发布时间、投放规格、投放量的响应情况满足或优于采购需求要求，每项发布媒体计2分，满分8分。 评审依据：依据供应商填写的服务响应偏离表响应情况为准。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5服务响应偏离表.docx</w:t>
            </w:r>
          </w:p>
        </w:tc>
      </w:tr>
      <w:tr>
        <w:tc>
          <w:tcPr>
            <w:tcW w:type="dxa" w:w="831"/>
            <w:vMerge/>
          </w:tcPr>
          <w:p/>
        </w:tc>
        <w:tc>
          <w:tcPr>
            <w:tcW w:type="dxa" w:w="1661"/>
          </w:tcPr>
          <w:p>
            <w:pPr>
              <w:pStyle w:val="null3"/>
            </w:pPr>
            <w:r>
              <w:rPr>
                <w:rFonts w:ascii="仿宋_GB2312" w:hAnsi="仿宋_GB2312" w:cs="仿宋_GB2312" w:eastAsia="仿宋_GB2312"/>
              </w:rPr>
              <w:t>投放方案</w:t>
            </w:r>
          </w:p>
        </w:tc>
        <w:tc>
          <w:tcPr>
            <w:tcW w:type="dxa" w:w="2492"/>
          </w:tcPr>
          <w:p>
            <w:pPr>
              <w:pStyle w:val="null3"/>
            </w:pPr>
            <w:r>
              <w:rPr>
                <w:rFonts w:ascii="仿宋_GB2312" w:hAnsi="仿宋_GB2312" w:cs="仿宋_GB2312" w:eastAsia="仿宋_GB2312"/>
              </w:rPr>
              <w:t>供应商提供针对本项目采购需求提供投放方案，内容包括但不限于①投放执行计划，严格按照采购人要求分段、定时、定量调配投放；②信息监测和预警机制；③与采购人、投放平台的沟通协调机制；④投放内容合规保障方案。 上述4项内容，每提供1项内容计3分，每项内容存在1处瑕疵扣0.5分；满分12分。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的定义同此处。）</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6投放方案.docx</w:t>
            </w:r>
          </w:p>
        </w:tc>
      </w:tr>
      <w:tr>
        <w:tc>
          <w:tcPr>
            <w:tcW w:type="dxa" w:w="831"/>
            <w:vMerge/>
          </w:tcPr>
          <w:p/>
        </w:tc>
        <w:tc>
          <w:tcPr>
            <w:tcW w:type="dxa" w:w="1661"/>
          </w:tcPr>
          <w:p>
            <w:pPr>
              <w:pStyle w:val="null3"/>
            </w:pPr>
            <w:r>
              <w:rPr>
                <w:rFonts w:ascii="仿宋_GB2312" w:hAnsi="仿宋_GB2312" w:cs="仿宋_GB2312" w:eastAsia="仿宋_GB2312"/>
              </w:rPr>
              <w:t>投放素材制作方案</w:t>
            </w:r>
          </w:p>
        </w:tc>
        <w:tc>
          <w:tcPr>
            <w:tcW w:type="dxa" w:w="2492"/>
          </w:tcPr>
          <w:p>
            <w:pPr>
              <w:pStyle w:val="null3"/>
            </w:pPr>
            <w:r>
              <w:rPr>
                <w:rFonts w:ascii="仿宋_GB2312" w:hAnsi="仿宋_GB2312" w:cs="仿宋_GB2312" w:eastAsia="仿宋_GB2312"/>
              </w:rPr>
              <w:t>供应商提供针对本项目采购需求提供投放素材制作方案，内容包括但不限于①创意与脚本设计说明；②软文、图片、视频等素材制作流程、标准；③针对素材制作产出的内部质量审核保障措施。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7投放素材制作方案.docx</w:t>
            </w:r>
          </w:p>
        </w:tc>
      </w:tr>
      <w:tr>
        <w:tc>
          <w:tcPr>
            <w:tcW w:type="dxa" w:w="831"/>
            <w:vMerge/>
          </w:tcPr>
          <w:p/>
        </w:tc>
        <w:tc>
          <w:tcPr>
            <w:tcW w:type="dxa" w:w="1661"/>
          </w:tcPr>
          <w:p>
            <w:pPr>
              <w:pStyle w:val="null3"/>
            </w:pPr>
            <w:r>
              <w:rPr>
                <w:rFonts w:ascii="仿宋_GB2312" w:hAnsi="仿宋_GB2312" w:cs="仿宋_GB2312" w:eastAsia="仿宋_GB2312"/>
              </w:rPr>
              <w:t>投放素材制作能力</w:t>
            </w:r>
          </w:p>
        </w:tc>
        <w:tc>
          <w:tcPr>
            <w:tcW w:type="dxa" w:w="2492"/>
          </w:tcPr>
          <w:p>
            <w:pPr>
              <w:pStyle w:val="null3"/>
            </w:pPr>
            <w:r>
              <w:rPr>
                <w:rFonts w:ascii="仿宋_GB2312" w:hAnsi="仿宋_GB2312" w:cs="仿宋_GB2312" w:eastAsia="仿宋_GB2312"/>
              </w:rPr>
              <w:t>供应商围绕“福彩公益”主题提供1个软文及图片，评审小组根据提供素材的①主题契合度②软文文笔是否流畅，具有吸引力③图片设计视觉吸引效果④内容与品牌的结合度以及合规性，4个方向进行评审。 上述4个方向，每项内容存在1处瑕疵扣0.5分；满分4分。 注：若供应商未提供1个软文及图片则不计分。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8投放素材制作能力.docx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供应商根据本项目采购需求，针对可能出现的紧急情况提供明确的响应机制与处置方案，内容包括但不限于①投放异常；②素材被拒；③出现大量负面信息。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9应急预案.docx</w:t>
            </w:r>
          </w:p>
        </w:tc>
      </w:tr>
      <w:tr>
        <w:tc>
          <w:tcPr>
            <w:tcW w:type="dxa" w:w="831"/>
            <w:vMerge/>
          </w:tcPr>
          <w:p/>
        </w:tc>
        <w:tc>
          <w:tcPr>
            <w:tcW w:type="dxa" w:w="1661"/>
          </w:tcPr>
          <w:p>
            <w:pPr>
              <w:pStyle w:val="null3"/>
            </w:pPr>
            <w:r>
              <w:rPr>
                <w:rFonts w:ascii="仿宋_GB2312" w:hAnsi="仿宋_GB2312" w:cs="仿宋_GB2312" w:eastAsia="仿宋_GB2312"/>
              </w:rPr>
              <w:t>项目管理组织方案</w:t>
            </w:r>
          </w:p>
        </w:tc>
        <w:tc>
          <w:tcPr>
            <w:tcW w:type="dxa" w:w="2492"/>
          </w:tcPr>
          <w:p>
            <w:pPr>
              <w:pStyle w:val="null3"/>
            </w:pPr>
            <w:r>
              <w:rPr>
                <w:rFonts w:ascii="仿宋_GB2312" w:hAnsi="仿宋_GB2312" w:cs="仿宋_GB2312" w:eastAsia="仿宋_GB2312"/>
              </w:rPr>
              <w:t>供应商针对本项目提供项目管理组织方案，内容包括但不限于①项目人员管理方案；②涉及采购人内部相关信息的保密方案；③项目实施过程中的风险控制措施。 上述3项内容，每提供1项内容计3分，每项内容存在1处瑕疵扣0.5分；满分9分。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10项目管理组织方案.docx</w:t>
            </w:r>
          </w:p>
        </w:tc>
      </w:tr>
      <w:tr>
        <w:tc>
          <w:tcPr>
            <w:tcW w:type="dxa" w:w="831"/>
            <w:vMerge/>
          </w:tcPr>
          <w:p/>
        </w:tc>
        <w:tc>
          <w:tcPr>
            <w:tcW w:type="dxa" w:w="1661"/>
          </w:tcPr>
          <w:p>
            <w:pPr>
              <w:pStyle w:val="null3"/>
            </w:pPr>
            <w:r>
              <w:rPr>
                <w:rFonts w:ascii="仿宋_GB2312" w:hAnsi="仿宋_GB2312" w:cs="仿宋_GB2312" w:eastAsia="仿宋_GB2312"/>
              </w:rPr>
              <w:t>广告投放资质</w:t>
            </w:r>
          </w:p>
        </w:tc>
        <w:tc>
          <w:tcPr>
            <w:tcW w:type="dxa" w:w="2492"/>
          </w:tcPr>
          <w:p>
            <w:pPr>
              <w:pStyle w:val="null3"/>
            </w:pPr>
            <w:r>
              <w:rPr>
                <w:rFonts w:ascii="仿宋_GB2312" w:hAnsi="仿宋_GB2312" w:cs="仿宋_GB2312" w:eastAsia="仿宋_GB2312"/>
              </w:rPr>
              <w:t>供应商具有投放媒体（抖音）认可的广告投放资质，如巨量引擎认证、官方授权等，提供相关证明材料，满足此要求计5分。 （若投标时无法提供，承诺中标后合同签订前能够获取到投放媒体（抖音）认可的广告投放资质，否则，自愿接收采购人的任何形式的处罚。提供承诺函并加盖公章，得3分。）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11广告投放资质.docx</w:t>
            </w:r>
          </w:p>
        </w:tc>
      </w:tr>
      <w:tr>
        <w:tc>
          <w:tcPr>
            <w:tcW w:type="dxa" w:w="831"/>
            <w:vMerge/>
          </w:tcPr>
          <w:p/>
        </w:tc>
        <w:tc>
          <w:tcPr>
            <w:tcW w:type="dxa" w:w="1661"/>
          </w:tcPr>
          <w:p>
            <w:pPr>
              <w:pStyle w:val="null3"/>
            </w:pPr>
            <w:r>
              <w:rPr>
                <w:rFonts w:ascii="仿宋_GB2312" w:hAnsi="仿宋_GB2312" w:cs="仿宋_GB2312" w:eastAsia="仿宋_GB2312"/>
              </w:rPr>
              <w:t>信息数据监测工具</w:t>
            </w:r>
          </w:p>
        </w:tc>
        <w:tc>
          <w:tcPr>
            <w:tcW w:type="dxa" w:w="2492"/>
          </w:tcPr>
          <w:p>
            <w:pPr>
              <w:pStyle w:val="null3"/>
            </w:pPr>
            <w:r>
              <w:rPr>
                <w:rFonts w:ascii="仿宋_GB2312" w:hAnsi="仿宋_GB2312" w:cs="仿宋_GB2312" w:eastAsia="仿宋_GB2312"/>
              </w:rPr>
              <w:t>供应商具有除抖音平台自带的数据监测工具以外的第三方监测工具，得3分，未提供不得分。 备注：提供第三方监测工具购买合同或服务协议或平台出具的授权书等相关合法使用证明材料，否则不予认定。</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12信息数据监测工具.docx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①供应商拟派本项目项目负责人具有五年及以上广告投放类项目的相关工作经验，计4分，3-5年（不含5年，含3年）计3分，1-3年（不含3年，含1年）得2分，不足1年不得分。 备注：提供工作履历表予以佐证。 ②提供项目负责人过往同类项目的业绩证明材料，提供合同扫描件，必须清晰体现签约主体和日期、项目名称及内容等核心要素，否则不计为有效业绩。提供计2分，否则不计分。 备注：合同内容须体现项目经理名字，无法体现的须再提供本合同甲方加盖公章的证明材料，证明该项目经理参与本项目实施。</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13项目负责人.docx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针对供应商拟派本项目的项目团队人员情况进行评审： 1、团队成员中每有1人具备项目管理类证书或1年及以上相关工作经验，计1分，满分3分。（提供证书或工作履历予以佐证） 2、团队成员中每有1人具备宣传图片和视频广告，撰写软文等素材制作类相关经验计1分，满分3分。（提供工作履历予以佐证） 3、针对本项目配备至少1名具备3年及以上同类项目工作经验人员负责审核素材内容，满分2分。（提供工作履历予以佐证，注为保证审核质量，审核人员与上述团队人员不能重复。）</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14项目团队.docx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提供供应商2023年1月1日至今同类项目合同扫描件（以合同签订日期为准），扫描件必须清晰体现签约主体和日期、项目名称及内容等核心要素，否则不计为有效业绩。每提供1个有效业绩得1分，最高得5分。 备注：响应文件中附合同扫描件并加盖公章。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15业绩.docx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供应商提供针对本项目数据分析、广告信息投放等方面的增值服务承诺，每提供1个经磋商小组一致认定的增值服务承诺计1分，最多得4分。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16增值服务.docx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供应商针对下述内容提供承诺函，并加盖供应商公章，每承诺1项内容计1.5分，满分6分： ①供应商应通过投放媒体提供的官方渠道完成广告投放，如需使用第三方渠道的，须提供相应媒体平台官方出具的合法性证明。 ②供应商应确保广告设计过程中使用的所有素材不涉及版权纠纷。否则，由供应商承担全部赔偿责任。 ③投放过程中使用的所有宣传素材，其版权归陕西省福彩中心所有，未经陕西省福彩中心许可不得随意传播或用于任何商业用途。 ④供应商承诺服务过程中，自觉接受采购人监督，广告投放期间能够如实提供数据日报、周报等反馈给采购人。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17承诺.docx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一）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逐项就供应商提供的货物、工程和服务的主营业务成本（应根据供应商企业类型予以区别）、税金及附加、销售费用、管理费用、财务费用等成本构成事项详细陈述，给予相关供应商的合理时间一般不少于30分钟。其中，属于第3项情形，供应商已随响应文件一并提交相关书面说明及必要的证明材料的，在评审现场可不再重复提交。 磋商小组依据专业经验，参考同类项目中标（成交）价格、类似产品市场价格水平、行业人工费用标准、国家有关部门指导行业协会发布的行业平均成本等情况，对报价合理性进行判断。 （二）供应商提交的相关证明材料，应当加盖供应商（法定名称）电子印章，在磋商小组要求的时间内通过项目电子化交易系统进行提交，否则提交的相关证明材料无效。响应供应商不能提供书面说明、证明材料，或者提供的书面说明、证明材料不能证明其报价合理性的，磋商小组应当将其响应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即满足磋商文件要求且价格最低的报价为磋商基准价，其价格分为满分。其他响应单位的价格分统一按照下列公式计算： 磋商报价得分=（评标基准价/磋商报价）×价格权值×100。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详见附件：5服务响应偏离表.docx</w:t>
      </w:r>
    </w:p>
    <w:p>
      <w:pPr>
        <w:pStyle w:val="null3"/>
        <w:ind w:firstLine="960"/>
      </w:pPr>
      <w:r>
        <w:rPr>
          <w:rFonts w:ascii="仿宋_GB2312" w:hAnsi="仿宋_GB2312" w:cs="仿宋_GB2312" w:eastAsia="仿宋_GB2312"/>
        </w:rPr>
        <w:t>详见附件：6投放方案.docx</w:t>
      </w:r>
    </w:p>
    <w:p>
      <w:pPr>
        <w:pStyle w:val="null3"/>
        <w:ind w:firstLine="960"/>
      </w:pPr>
      <w:r>
        <w:rPr>
          <w:rFonts w:ascii="仿宋_GB2312" w:hAnsi="仿宋_GB2312" w:cs="仿宋_GB2312" w:eastAsia="仿宋_GB2312"/>
        </w:rPr>
        <w:t>详见附件：7投放素材制作方案.docx</w:t>
      </w:r>
    </w:p>
    <w:p>
      <w:pPr>
        <w:pStyle w:val="null3"/>
        <w:ind w:firstLine="960"/>
      </w:pPr>
      <w:r>
        <w:rPr>
          <w:rFonts w:ascii="仿宋_GB2312" w:hAnsi="仿宋_GB2312" w:cs="仿宋_GB2312" w:eastAsia="仿宋_GB2312"/>
        </w:rPr>
        <w:t>详见附件：8投放素材制作能力.docx</w:t>
      </w:r>
    </w:p>
    <w:p>
      <w:pPr>
        <w:pStyle w:val="null3"/>
        <w:ind w:firstLine="960"/>
      </w:pPr>
      <w:r>
        <w:rPr>
          <w:rFonts w:ascii="仿宋_GB2312" w:hAnsi="仿宋_GB2312" w:cs="仿宋_GB2312" w:eastAsia="仿宋_GB2312"/>
        </w:rPr>
        <w:t>详见附件：9应急预案.docx</w:t>
      </w:r>
    </w:p>
    <w:p>
      <w:pPr>
        <w:pStyle w:val="null3"/>
        <w:ind w:firstLine="960"/>
      </w:pPr>
      <w:r>
        <w:rPr>
          <w:rFonts w:ascii="仿宋_GB2312" w:hAnsi="仿宋_GB2312" w:cs="仿宋_GB2312" w:eastAsia="仿宋_GB2312"/>
        </w:rPr>
        <w:t>详见附件：10项目管理组织方案.docx</w:t>
      </w:r>
    </w:p>
    <w:p>
      <w:pPr>
        <w:pStyle w:val="null3"/>
        <w:ind w:firstLine="960"/>
      </w:pPr>
      <w:r>
        <w:rPr>
          <w:rFonts w:ascii="仿宋_GB2312" w:hAnsi="仿宋_GB2312" w:cs="仿宋_GB2312" w:eastAsia="仿宋_GB2312"/>
        </w:rPr>
        <w:t>详见附件：11广告投放资质.docx</w:t>
      </w:r>
    </w:p>
    <w:p>
      <w:pPr>
        <w:pStyle w:val="null3"/>
        <w:ind w:firstLine="960"/>
      </w:pPr>
      <w:r>
        <w:rPr>
          <w:rFonts w:ascii="仿宋_GB2312" w:hAnsi="仿宋_GB2312" w:cs="仿宋_GB2312" w:eastAsia="仿宋_GB2312"/>
        </w:rPr>
        <w:t>详见附件：12信息数据监测工具.docx</w:t>
      </w:r>
    </w:p>
    <w:p>
      <w:pPr>
        <w:pStyle w:val="null3"/>
        <w:ind w:firstLine="960"/>
      </w:pPr>
      <w:r>
        <w:rPr>
          <w:rFonts w:ascii="仿宋_GB2312" w:hAnsi="仿宋_GB2312" w:cs="仿宋_GB2312" w:eastAsia="仿宋_GB2312"/>
        </w:rPr>
        <w:t>详见附件：13项目负责人.docx</w:t>
      </w:r>
    </w:p>
    <w:p>
      <w:pPr>
        <w:pStyle w:val="null3"/>
        <w:ind w:firstLine="960"/>
      </w:pPr>
      <w:r>
        <w:rPr>
          <w:rFonts w:ascii="仿宋_GB2312" w:hAnsi="仿宋_GB2312" w:cs="仿宋_GB2312" w:eastAsia="仿宋_GB2312"/>
        </w:rPr>
        <w:t>详见附件：14项目团队.docx</w:t>
      </w:r>
    </w:p>
    <w:p>
      <w:pPr>
        <w:pStyle w:val="null3"/>
        <w:ind w:firstLine="960"/>
      </w:pPr>
      <w:r>
        <w:rPr>
          <w:rFonts w:ascii="仿宋_GB2312" w:hAnsi="仿宋_GB2312" w:cs="仿宋_GB2312" w:eastAsia="仿宋_GB2312"/>
        </w:rPr>
        <w:t>详见附件：15业绩.docx</w:t>
      </w:r>
    </w:p>
    <w:p>
      <w:pPr>
        <w:pStyle w:val="null3"/>
        <w:ind w:firstLine="960"/>
      </w:pPr>
      <w:r>
        <w:rPr>
          <w:rFonts w:ascii="仿宋_GB2312" w:hAnsi="仿宋_GB2312" w:cs="仿宋_GB2312" w:eastAsia="仿宋_GB2312"/>
        </w:rPr>
        <w:t>详见附件：16增值服务.docx</w:t>
      </w:r>
    </w:p>
    <w:p>
      <w:pPr>
        <w:pStyle w:val="null3"/>
        <w:ind w:firstLine="960"/>
      </w:pPr>
      <w:r>
        <w:rPr>
          <w:rFonts w:ascii="仿宋_GB2312" w:hAnsi="仿宋_GB2312" w:cs="仿宋_GB2312" w:eastAsia="仿宋_GB2312"/>
        </w:rPr>
        <w:t>详见附件：17承诺.docx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