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版本号：ZCSP-渭南市-2026-0018120260608002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自媒体治理能力提升技术服务项目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ZCSP-渭南市-2026-00181</w:t>
      </w:r>
      <w:r>
        <w:br/>
      </w:r>
      <w:r>
        <w:br/>
      </w:r>
      <w:r>
        <w:br/>
      </w:r>
    </w:p>
    <w:p>
      <w:pPr>
        <w:pStyle w:val="null3"/>
        <w:jc w:val="center"/>
        <w:outlineLvl w:val="2"/>
      </w:pPr>
      <w:r>
        <w:rPr>
          <w:rFonts w:ascii="仿宋_GB2312" w:hAnsi="仿宋_GB2312" w:cs="仿宋_GB2312" w:eastAsia="仿宋_GB2312"/>
          <w:sz w:val="28"/>
          <w:b/>
        </w:rPr>
        <w:t>渭南市互联网信息办公室</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渭南市互联网信息办公室</w:t>
      </w:r>
      <w:r>
        <w:rPr>
          <w:rFonts w:ascii="仿宋_GB2312" w:hAnsi="仿宋_GB2312" w:cs="仿宋_GB2312" w:eastAsia="仿宋_GB2312"/>
        </w:rPr>
        <w:t>委托，拟对</w:t>
      </w:r>
      <w:r>
        <w:rPr>
          <w:rFonts w:ascii="仿宋_GB2312" w:hAnsi="仿宋_GB2312" w:cs="仿宋_GB2312" w:eastAsia="仿宋_GB2312"/>
        </w:rPr>
        <w:t>自媒体治理能力提升技术服务项目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自媒体治理能力提升技术服务项目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自媒体治理能力提升技术服务项目，具体内容详见采购文件。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采购包1（自媒体治理能力提升技术服务项目）：属于专门面向中小企业采购。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w:t>
      </w:r>
    </w:p>
    <w:p>
      <w:pPr>
        <w:pStyle w:val="null3"/>
      </w:pPr>
      <w:r>
        <w:rPr>
          <w:rFonts w:ascii="仿宋_GB2312" w:hAnsi="仿宋_GB2312" w:cs="仿宋_GB2312" w:eastAsia="仿宋_GB2312"/>
        </w:rPr>
        <w:t>3、财务状况报告：提供2025年度经审计的财务报告或开标前六个月内其基本账户银行出具的资信证明或财政部门认可的政府采购专业担保机构出具的担保函；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 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渭南市车雷街69号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屈荷涵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0913-2930108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渭南市互联网信息办公室</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渭南市互联网信息办公室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达到采购人要求的服务内容及要求。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自媒体治理能力提升技术服务项目，具体内容详见采购文件。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自媒体治理能力提升技术服务项目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标的名称：自媒体治理能力提升技术服务项目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一、项目建设内容</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互联网信息分析服务。</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属地、涉属地域外互联网信息搜集服务。专项搜集互联网信息内容，及时发现违法违规线索，为网络行政执法提供信息支撑。按计划开展重点属地互联网信息分析与数据台账建设工作。</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属地、涉属地域外互联网信息综合分析服务。对重点互联网信息开展综合分析服务，包括对假冒仿冒网络信息主体进行取证，配合开展技术服务工作。</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网络信息内容安全分析服务。按工作要求完成内容安全分析任务和计划，编写分析报告。</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涉属地互联网内容智能分析服务。根据业务需求进行全方位多层次的分析，包括图文解析、数据呈现、趋势预判等方式，并出具相关报告。</w:t>
            </w:r>
          </w:p>
          <w:p>
            <w:pPr>
              <w:pStyle w:val="null3"/>
              <w:jc w:val="both"/>
            </w:pPr>
            <w:r>
              <w:rPr>
                <w:rFonts w:ascii="仿宋_GB2312" w:hAnsi="仿宋_GB2312" w:cs="仿宋_GB2312" w:eastAsia="仿宋_GB2312"/>
                <w:sz w:val="32"/>
              </w:rPr>
              <w:t>4.</w:t>
            </w:r>
            <w:r>
              <w:rPr>
                <w:rFonts w:ascii="仿宋_GB2312" w:hAnsi="仿宋_GB2312" w:cs="仿宋_GB2312" w:eastAsia="仿宋_GB2312"/>
                <w:sz w:val="32"/>
              </w:rPr>
              <w:t>网络综合治理技术服务。按工作要求为属地网络信息内容生态治理提供技术和数据服务支撑。</w:t>
            </w:r>
          </w:p>
          <w:p>
            <w:pPr>
              <w:pStyle w:val="null3"/>
              <w:jc w:val="both"/>
            </w:pPr>
            <w:r>
              <w:rPr>
                <w:rFonts w:ascii="仿宋_GB2312" w:hAnsi="仿宋_GB2312" w:cs="仿宋_GB2312" w:eastAsia="仿宋_GB2312"/>
                <w:sz w:val="32"/>
              </w:rPr>
              <w:t>5.</w:t>
            </w:r>
            <w:r>
              <w:rPr>
                <w:rFonts w:ascii="仿宋_GB2312" w:hAnsi="仿宋_GB2312" w:cs="仿宋_GB2312" w:eastAsia="仿宋_GB2312"/>
                <w:sz w:val="32"/>
              </w:rPr>
              <w:t>网络行政执法技术服务。依据《网信部门行政执法程序规定》，完成属地网络案件执法取证的证据分析、搜集、整理、固定，案件相关法律法规和部门规章的分析，完成现场执法技术服务等工作。根据工作要求，针对日常搜集和巡检的互联网信息内容，对网站、互联网账号和应用平台的发布内容开展分析</w:t>
            </w:r>
            <w:r>
              <w:rPr>
                <w:rFonts w:ascii="仿宋_GB2312" w:hAnsi="仿宋_GB2312" w:cs="仿宋_GB2312" w:eastAsia="仿宋_GB2312"/>
                <w:sz w:val="32"/>
              </w:rPr>
              <w:t>，并对违法违规内容进行电子证据固定。完成属地执法案例数据库的梳理与日常管理。</w:t>
            </w:r>
          </w:p>
          <w:p>
            <w:pPr>
              <w:pStyle w:val="null3"/>
              <w:jc w:val="both"/>
            </w:pPr>
            <w:r>
              <w:rPr>
                <w:rFonts w:ascii="仿宋_GB2312" w:hAnsi="仿宋_GB2312" w:cs="仿宋_GB2312" w:eastAsia="仿宋_GB2312"/>
                <w:sz w:val="32"/>
              </w:rPr>
              <w:t>二、商务要求</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合同履行期限：自合同签订之日起一年</w:t>
            </w:r>
          </w:p>
          <w:p>
            <w:pPr>
              <w:pStyle w:val="null3"/>
              <w:jc w:val="both"/>
            </w:pPr>
            <w:r>
              <w:rPr>
                <w:rFonts w:ascii="仿宋_GB2312" w:hAnsi="仿宋_GB2312" w:cs="仿宋_GB2312" w:eastAsia="仿宋_GB2312"/>
                <w:sz w:val="32"/>
              </w:rPr>
              <w:t>2.</w:t>
            </w:r>
            <w:r>
              <w:rPr>
                <w:rFonts w:ascii="仿宋_GB2312" w:hAnsi="仿宋_GB2312" w:cs="仿宋_GB2312" w:eastAsia="仿宋_GB2312"/>
                <w:sz w:val="32"/>
              </w:rPr>
              <w:t>服务地点：采购人指定地点</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满足采购需求，确保采购项目顺利实施。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1、本项目还需要达到以下验收要求：符合国家、省市相关法律、法规、标准、规范。 2、验收标准:按采购文件、响应文件及澄清函、项目检查情 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进度款，项目执行完毕验收合格后，达到付款条件起10个工作日内，支付合同总金额的50.0%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2-1、如乙方事先未征得甲方同意并得到甲方的谅解而单方面延迟提供服务，将按违约终止合同。 2-2、乙方必须严格按照服务期要求执行，超期甲方不予支付合同款，同时保留追究相关责任的权利。 2-3、违约终止合同：未按合同要求提供服务，甲方会同监督机构有权终止合同，对乙方违约行为进行追究，同时按政府采购法的有关规定进行相应的处罚。 2、解决争议的方法 凡因本合同引起的或与本合同有关的争议，双方应友好协商解决。协商不成时，双方均同意采用以下第（ ）种争议解决方式： （1）甲、乙双方均同意向（甲方所在地人民法院）提起诉讼。 （2）甲、乙双方均同意向（仲裁委员会）提起仲裁。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 或税务机关开具的完税证明（任意税种）；依法免税的应提供相关文件证明；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1、报价唯一；2、报价货币符合采购文件要求; 3、未超出采购预算或采购文件规定的最高限价。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响应文件符合采购文件签署盖章要求。</w:t>
            </w:r>
          </w:p>
        </w:tc>
        <w:tc>
          <w:tcPr>
            <w:tcW w:type="dxa" w:w="1661"/>
          </w:tcPr>
          <w:p>
            <w:pPr>
              <w:pStyle w:val="null3"/>
            </w:pPr>
            <w:r>
              <w:rPr>
                <w:rFonts w:ascii="仿宋_GB2312" w:hAnsi="仿宋_GB2312" w:cs="仿宋_GB2312" w:eastAsia="仿宋_GB2312"/>
              </w:rPr>
              <w:t>中小企业声明函 商务应答表 服务内容及服务要求应答表 报价表 业绩证明文件.docx 资格证明文件.docx 响应文件封面 残疾人福利性单位声明函 服务方案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项目理解分析</w:t>
            </w:r>
          </w:p>
        </w:tc>
        <w:tc>
          <w:tcPr>
            <w:tcW w:type="dxa" w:w="2492"/>
          </w:tcPr>
          <w:p>
            <w:pPr>
              <w:pStyle w:val="null3"/>
            </w:pPr>
            <w:r>
              <w:rPr>
                <w:rFonts w:ascii="仿宋_GB2312" w:hAnsi="仿宋_GB2312" w:cs="仿宋_GB2312" w:eastAsia="仿宋_GB2312"/>
              </w:rPr>
              <w:t>一、评审内容：综合供应商对本项目的背景、现状分析、预期目标和理解的认知深度，进行全面性综合评审。二、评审标准：对项目各部分内容理解全面详细、阐述条理清晰、符合本项目采购需求得10分，每缺一项内容扣2.5分，评审内容有瑕疵的扣0.5分 ，扣完为止。 备注：评审内容“瑕疵”是 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提供服务方案的全面性、实操性，重点考察方案与项目需求的契合度、实施路径的合理性。二、评审标准：（1）方案逻辑层次清晰、针对性强、与采购内容的吻合程度高的，得20分；（2）方案逻辑层次较清晰、针对性较强、与采购内容的吻合程度一般，内容较简单的，得12分；（3）方案逻辑层次不清晰、不全面，得6分；（4）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工作中的重点难点和分析</w:t>
            </w:r>
          </w:p>
        </w:tc>
        <w:tc>
          <w:tcPr>
            <w:tcW w:type="dxa" w:w="2492"/>
          </w:tcPr>
          <w:p>
            <w:pPr>
              <w:pStyle w:val="null3"/>
            </w:pPr>
            <w:r>
              <w:rPr>
                <w:rFonts w:ascii="仿宋_GB2312" w:hAnsi="仿宋_GB2312" w:cs="仿宋_GB2312" w:eastAsia="仿宋_GB2312"/>
              </w:rPr>
              <w:t>一、评审内容：结合项目情况，进行全面且客观的重点难点分析，并且针对各风险点有可行的解决方案。二、评审标准：项目工作重点、难点论述层次清晰、针对性强、与采购内容的吻合程度高，符合本项目采购需求得10分，每缺一项内容扣5分，评审内容有瑕疵的扣0.5分 ，扣完为止。 备注：评审内容“瑕疵”是指：内容粗略、逻辑混乱、 描述过于简单、与项目特点不匹配 、逻辑漏洞、出现常识性错误、存 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一、评审内容：①质量保障措施； ②安全保障措施；③进度保障措施；④应急保障措施。 二、评审标准：质量保障措施各部分内容全面详细、阐述条理清晰详尽、符合本项目采购需求得10分，每缺一项内容扣2.5分，评审内容有瑕疵的扣0.5分 ，扣完为止。 备注：评审内容“瑕疵”是指：内容粗略、逻辑混乱、 描述过于简单、与项目特点不匹配 、逻辑漏洞、出现常识性错误、存 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①保密管理制度；②数据和信息安全保密措施；③保密场所管理；④保密承诺。二、评审标准：保密措施各部分内容全面详细、阐述条理清晰详尽、符合本项目采购需求得10分，每缺一项内容扣2.5分，评审内容有瑕疵的扣0.5分 ，扣完为止。 备注：评审内容“瑕疵”是指：内容粗略、逻辑混乱、 描述过于简单、与项目特点不匹配 、逻辑漏洞、出现常识性错误、存 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一、评审内容：①项目实施团队组织方案；②人员管理制度；③服务人员考核制度； ④服务人员培训。二、评审标准：团队配置合理、阐述条理清晰详尽、符合本项目采购需求得10分，每缺一项内容扣2.5分，评审内容有瑕疵的扣0.5分 ，扣完为止。 备注：评审内容“瑕疵”是指：内容粗略、逻辑混乱、 描述过于简单、与项目特点不匹配 、逻辑漏洞、出现常识性错误、存 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供应商提供2023年01月（以合同签订时间为准）至今类似项目业绩（业绩以合同为依据），每提供一个业绩证明计2分，满分10分。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满足采购文件内容及技术要求且磋 商报价最低的投标价为评标基准价 ，其价格分为满分。 磋商报价得分 =（评标基准价／投标报价）×价格权值×100。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