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FABA2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分项报价表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692"/>
        <w:gridCol w:w="5119"/>
        <w:gridCol w:w="1327"/>
        <w:gridCol w:w="976"/>
        <w:gridCol w:w="1650"/>
        <w:gridCol w:w="1657"/>
        <w:gridCol w:w="976"/>
      </w:tblGrid>
      <w:tr w14:paraId="4BD8B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</w:tcPr>
          <w:p w14:paraId="73B155C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92" w:type="dxa"/>
          </w:tcPr>
          <w:p w14:paraId="796CBAC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分项名称</w:t>
            </w:r>
          </w:p>
        </w:tc>
        <w:tc>
          <w:tcPr>
            <w:tcW w:w="5119" w:type="dxa"/>
          </w:tcPr>
          <w:p w14:paraId="715FD0F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规格参数</w:t>
            </w:r>
          </w:p>
        </w:tc>
        <w:tc>
          <w:tcPr>
            <w:tcW w:w="1327" w:type="dxa"/>
          </w:tcPr>
          <w:p w14:paraId="10D3E6C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单位</w:t>
            </w:r>
          </w:p>
        </w:tc>
        <w:tc>
          <w:tcPr>
            <w:tcW w:w="976" w:type="dxa"/>
          </w:tcPr>
          <w:p w14:paraId="085E57B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1650" w:type="dxa"/>
          </w:tcPr>
          <w:p w14:paraId="57896D2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657" w:type="dxa"/>
          </w:tcPr>
          <w:p w14:paraId="7723BA0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总价（元）</w:t>
            </w:r>
          </w:p>
        </w:tc>
        <w:tc>
          <w:tcPr>
            <w:tcW w:w="976" w:type="dxa"/>
          </w:tcPr>
          <w:p w14:paraId="187D10A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2633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777" w:type="dxa"/>
            <w:vMerge w:val="restart"/>
            <w:vAlign w:val="center"/>
          </w:tcPr>
          <w:p w14:paraId="5BF7B0C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692" w:type="dxa"/>
            <w:vMerge w:val="restart"/>
            <w:vAlign w:val="center"/>
          </w:tcPr>
          <w:p w14:paraId="31F3CA1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林下仿野生金果榄种植桶</w:t>
            </w:r>
          </w:p>
        </w:tc>
        <w:tc>
          <w:tcPr>
            <w:tcW w:w="5119" w:type="dxa"/>
            <w:shd w:val="clear" w:color="auto" w:fill="auto"/>
            <w:vAlign w:val="center"/>
          </w:tcPr>
          <w:p w14:paraId="7D6FC31C">
            <w:pPr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苗木：2年生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籽育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苗。地上部分高度≥20cm，地径≥0.3cm，根系发达、无病虫害。交货时县外幼苗需提供苗木检疫证、合格证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  <w:p w14:paraId="470F2971">
            <w:pPr>
              <w:ind w:firstLine="480" w:firstLineChars="200"/>
              <w:jc w:val="left"/>
              <w:rPr>
                <w:rFonts w:hint="eastAsia" w:ascii="仿宋" w:hAnsi="仿宋" w:eastAsia="仿宋" w:cs="仿宋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苗木质保期：竣工验收合格之日起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个月。质保期内正常管护条件下苗木死亡免费补植，补植苗木满足本项目苗木技术参数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0EFFC08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株</w:t>
            </w:r>
          </w:p>
        </w:tc>
        <w:tc>
          <w:tcPr>
            <w:tcW w:w="976" w:type="dxa"/>
            <w:vAlign w:val="center"/>
          </w:tcPr>
          <w:p w14:paraId="3CD6F3C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60000</w:t>
            </w:r>
          </w:p>
        </w:tc>
        <w:tc>
          <w:tcPr>
            <w:tcW w:w="1650" w:type="dxa"/>
          </w:tcPr>
          <w:p w14:paraId="16A002D0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0A7ACC1C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76" w:type="dxa"/>
          </w:tcPr>
          <w:p w14:paraId="7D6C2C43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76B4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</w:trPr>
        <w:tc>
          <w:tcPr>
            <w:tcW w:w="777" w:type="dxa"/>
            <w:vMerge w:val="continue"/>
          </w:tcPr>
          <w:p w14:paraId="4CAF53D7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92" w:type="dxa"/>
            <w:vMerge w:val="continue"/>
          </w:tcPr>
          <w:p w14:paraId="450F3C13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19" w:type="dxa"/>
            <w:shd w:val="clear" w:color="auto" w:fill="auto"/>
            <w:vAlign w:val="center"/>
          </w:tcPr>
          <w:p w14:paraId="589D2C5C"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种植桶：塑料种植桶，用于金果榄林下仿野生栽培，桶体结构合理，强度达标，满足苗木栽植、上口内径≥300mm；底部内径≥200mm；桶身高度≥300mm；</w:t>
            </w:r>
          </w:p>
          <w:p w14:paraId="105DABED">
            <w:pPr>
              <w:ind w:firstLine="480" w:firstLineChars="200"/>
              <w:jc w:val="left"/>
              <w:rPr>
                <w:rFonts w:hint="eastAsia" w:ascii="仿宋" w:hAnsi="仿宋" w:eastAsia="仿宋" w:cs="仿宋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质保期：自竣工验收合格之日起 12 个月，正常林下露天使用条件下，产品自身发生开裂、变形、破损质量问题免费更换，更换产品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满足本项目技术参数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4601682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只</w:t>
            </w:r>
          </w:p>
        </w:tc>
        <w:tc>
          <w:tcPr>
            <w:tcW w:w="976" w:type="dxa"/>
            <w:vAlign w:val="center"/>
          </w:tcPr>
          <w:p w14:paraId="2E127D3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20000</w:t>
            </w:r>
          </w:p>
        </w:tc>
        <w:tc>
          <w:tcPr>
            <w:tcW w:w="1650" w:type="dxa"/>
          </w:tcPr>
          <w:p w14:paraId="67EBE0C6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16833DC4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76" w:type="dxa"/>
          </w:tcPr>
          <w:p w14:paraId="21101A4B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A0ED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8" w:hRule="atLeast"/>
        </w:trPr>
        <w:tc>
          <w:tcPr>
            <w:tcW w:w="777" w:type="dxa"/>
            <w:vAlign w:val="center"/>
          </w:tcPr>
          <w:p w14:paraId="0E038FB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692" w:type="dxa"/>
            <w:vAlign w:val="center"/>
          </w:tcPr>
          <w:p w14:paraId="3886E43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林地微型挖掘机</w:t>
            </w:r>
          </w:p>
        </w:tc>
        <w:tc>
          <w:tcPr>
            <w:tcW w:w="5119" w:type="dxa"/>
            <w:shd w:val="clear" w:color="auto" w:fill="auto"/>
            <w:vAlign w:val="center"/>
          </w:tcPr>
          <w:p w14:paraId="6CA29775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▲整机重量≥1.5t</w:t>
            </w:r>
          </w:p>
          <w:p w14:paraId="70546BEE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▲挖掘深度≥2.1m，满足林地开沟、整地、松土作业</w:t>
            </w:r>
          </w:p>
          <w:p w14:paraId="49161B87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★发动额定输出功率≥14kW</w:t>
            </w:r>
          </w:p>
          <w:p w14:paraId="4926AF7C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底盘宽度≤1.2m；挖掘高度≥2.7m</w:t>
            </w:r>
          </w:p>
          <w:p w14:paraId="34F0C798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整机运输总长≤2m，整机高度≤2.3m</w:t>
            </w:r>
          </w:p>
          <w:p w14:paraId="37B6DC20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单条履带宽度≥ 20cm</w:t>
            </w:r>
          </w:p>
          <w:p w14:paraId="5F3A8F0A">
            <w:pPr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整机质保不少于 2 年或 1000 小时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67D10F3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台</w:t>
            </w:r>
          </w:p>
        </w:tc>
        <w:tc>
          <w:tcPr>
            <w:tcW w:w="976" w:type="dxa"/>
            <w:vAlign w:val="center"/>
          </w:tcPr>
          <w:p w14:paraId="4F67977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650" w:type="dxa"/>
          </w:tcPr>
          <w:p w14:paraId="3C9A4927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6163C559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76" w:type="dxa"/>
          </w:tcPr>
          <w:p w14:paraId="5B800060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A001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9" w:hRule="atLeast"/>
        </w:trPr>
        <w:tc>
          <w:tcPr>
            <w:tcW w:w="777" w:type="dxa"/>
            <w:vAlign w:val="center"/>
          </w:tcPr>
          <w:p w14:paraId="775B10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692" w:type="dxa"/>
            <w:vAlign w:val="center"/>
          </w:tcPr>
          <w:p w14:paraId="2E86B667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烘干机</w:t>
            </w:r>
          </w:p>
        </w:tc>
        <w:tc>
          <w:tcPr>
            <w:tcW w:w="5119" w:type="dxa"/>
            <w:shd w:val="clear" w:color="auto" w:fill="auto"/>
            <w:vAlign w:val="center"/>
          </w:tcPr>
          <w:p w14:paraId="5B0C1236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▲主机：额定输入功率≥3kw</w:t>
            </w:r>
          </w:p>
          <w:p w14:paraId="6A4B53AB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控制系统：触摸屏操作界面、自动控温、控湿、自动开关机，设备可以数据监控。</w:t>
            </w:r>
          </w:p>
          <w:p w14:paraId="17B586DD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风机：高温风机≥1.6kw；</w:t>
            </w:r>
          </w:p>
          <w:p w14:paraId="562E1686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▲热风加热功率≥6kw；</w:t>
            </w:r>
          </w:p>
          <w:p w14:paraId="1607CBD1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单批次烘干量:≥150kg（鲜品）</w:t>
            </w:r>
          </w:p>
          <w:p w14:paraId="6C5F99B6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质保：整机质保≥1 年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1BD0922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台</w:t>
            </w:r>
          </w:p>
        </w:tc>
        <w:tc>
          <w:tcPr>
            <w:tcW w:w="976" w:type="dxa"/>
            <w:vAlign w:val="center"/>
          </w:tcPr>
          <w:p w14:paraId="7B3EEED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650" w:type="dxa"/>
          </w:tcPr>
          <w:p w14:paraId="070AA4A6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01D4B13B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76" w:type="dxa"/>
          </w:tcPr>
          <w:p w14:paraId="6D92B3FD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4796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3" w:hRule="atLeast"/>
        </w:trPr>
        <w:tc>
          <w:tcPr>
            <w:tcW w:w="777" w:type="dxa"/>
            <w:vAlign w:val="center"/>
          </w:tcPr>
          <w:p w14:paraId="0B626C6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692" w:type="dxa"/>
            <w:vAlign w:val="center"/>
          </w:tcPr>
          <w:p w14:paraId="68620DB1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防护围栏</w:t>
            </w:r>
          </w:p>
        </w:tc>
        <w:tc>
          <w:tcPr>
            <w:tcW w:w="5119" w:type="dxa"/>
            <w:shd w:val="clear" w:color="auto" w:fill="auto"/>
            <w:vAlign w:val="center"/>
          </w:tcPr>
          <w:p w14:paraId="68A52E71"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围栏高度≥1.2m、立柱为热镀锌钢管：直径≥48mm、壁厚≥2.0mm、间距≤3m；主线丝径：≥2.0mm；锌层重量：≥40g；刺线丝径：≥1.8mm；▲刺间距≤120mm</w:t>
            </w:r>
          </w:p>
          <w:p w14:paraId="612B7176"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围栏主体质保 2 年，锈蚀、松动免费维修加固。</w:t>
            </w:r>
          </w:p>
          <w:p w14:paraId="4475B20E"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工作范围：围栏安装、现场废料清运。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7DB3748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米</w:t>
            </w:r>
          </w:p>
        </w:tc>
        <w:tc>
          <w:tcPr>
            <w:tcW w:w="976" w:type="dxa"/>
            <w:vAlign w:val="center"/>
          </w:tcPr>
          <w:p w14:paraId="4533238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1000</w:t>
            </w:r>
          </w:p>
        </w:tc>
        <w:tc>
          <w:tcPr>
            <w:tcW w:w="1650" w:type="dxa"/>
          </w:tcPr>
          <w:p w14:paraId="0D0CA0AB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5BC16BC6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76" w:type="dxa"/>
          </w:tcPr>
          <w:p w14:paraId="267A00FC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8F57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3" w:hRule="atLeast"/>
        </w:trPr>
        <w:tc>
          <w:tcPr>
            <w:tcW w:w="777" w:type="dxa"/>
            <w:vAlign w:val="center"/>
          </w:tcPr>
          <w:p w14:paraId="5FBD184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692" w:type="dxa"/>
            <w:vAlign w:val="center"/>
          </w:tcPr>
          <w:p w14:paraId="58B55B73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80㎡生产用房</w:t>
            </w:r>
          </w:p>
        </w:tc>
        <w:tc>
          <w:tcPr>
            <w:tcW w:w="5119" w:type="dxa"/>
            <w:shd w:val="clear" w:color="auto" w:fill="auto"/>
            <w:vAlign w:val="center"/>
          </w:tcPr>
          <w:p w14:paraId="7BE3C264"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基础：C25 混凝土条形基础，地基夯实处理；</w:t>
            </w:r>
          </w:p>
          <w:p w14:paraId="4F1FEF2F"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厂房规格：长≥10m，宽≥8m，净高≥4.5m，烘干机进出通道宽度≥2.3m、高度≥3m。</w:t>
            </w:r>
          </w:p>
          <w:p w14:paraId="62817DAF"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墙体：1.5米以下240mm 标准红砖砌筑，1.5米以上100mm岩棉板封墙；红砖砌筑部分内外水泥砂浆抹灰；预留烘干机设备进出通道；</w:t>
            </w:r>
          </w:p>
          <w:p w14:paraId="519A474C"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屋面：钢结构 + 防水彩钢屋面，配套排水檐沟；</w:t>
            </w:r>
          </w:p>
          <w:p w14:paraId="7A15B562"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门洞：≥宽2.3m×高3m,铝合金卷闸门</w:t>
            </w:r>
          </w:p>
          <w:p w14:paraId="2A2666EA"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地面：5cm 厚水泥砂浆硬化找平；</w:t>
            </w:r>
          </w:p>
          <w:p w14:paraId="07F833DD"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配套简易水电：室内布设照明、插座，满足烘干机日常供电；</w:t>
            </w:r>
          </w:p>
          <w:p w14:paraId="4E4EBE71"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包工包料，包含材料运输、施工、建筑垃圾清运；</w:t>
            </w:r>
          </w:p>
          <w:p w14:paraId="33E12690"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质保期：自竣工验收合格之日起 12 个月，质保期内因材料、施工质量造成基础、墙体、屋面漏水、地面空鼓起砂、水电故障等缺陷，免费维修。</w:t>
            </w:r>
            <w:bookmarkStart w:id="0" w:name="_GoBack"/>
            <w:bookmarkEnd w:id="0"/>
          </w:p>
        </w:tc>
        <w:tc>
          <w:tcPr>
            <w:tcW w:w="1327" w:type="dxa"/>
            <w:shd w:val="clear" w:color="auto" w:fill="auto"/>
            <w:vAlign w:val="center"/>
          </w:tcPr>
          <w:p w14:paraId="28410A5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间</w:t>
            </w:r>
          </w:p>
        </w:tc>
        <w:tc>
          <w:tcPr>
            <w:tcW w:w="976" w:type="dxa"/>
            <w:vAlign w:val="center"/>
          </w:tcPr>
          <w:p w14:paraId="10DA895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650" w:type="dxa"/>
          </w:tcPr>
          <w:p w14:paraId="0B1EDDFB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1EB61AEA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76" w:type="dxa"/>
          </w:tcPr>
          <w:p w14:paraId="32D5196B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6641B752">
      <w:pPr>
        <w:jc w:val="both"/>
        <w:rPr>
          <w:rFonts w:hint="default"/>
          <w:sz w:val="32"/>
          <w:szCs w:val="40"/>
          <w:lang w:val="en-US" w:eastAsia="zh-CN"/>
        </w:rPr>
      </w:pPr>
    </w:p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240DAC"/>
    <w:rsid w:val="37E27DA9"/>
    <w:rsid w:val="45700D05"/>
    <w:rsid w:val="7224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864</Words>
  <Characters>991</Characters>
  <Lines>0</Lines>
  <Paragraphs>0</Paragraphs>
  <TotalTime>0</TotalTime>
  <ScaleCrop>false</ScaleCrop>
  <LinksUpToDate>false</LinksUpToDate>
  <CharactersWithSpaces>1009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2026-09-02T02:50:00Z</dcterms:created>
  <dc:creator>丁福瑞</dc:creator>
  <cp:lastModifiedBy>丁福瑞</cp:lastModifiedBy>
  <dcterms:modified xsi:type="dcterms:W3CDTF">2026-09-03T04:00:49Z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1D24C61A40504FD5B1C403AF5F529AF2_11</vt:lpwstr>
  </property>
  <property fmtid="{D5CDD505-2E9C-101B-9397-08002B2CF9AE}" pid="4" name="KSOTemplateDocerSaveRecord">
    <vt:lpwstr>eyJoZGlkIjoiYzI1NGM2MTNmZmI4YzE5ZmU2ZWM5NTFiZjUwNzRkMDgiLCJ1c2VySWQiOiIxNDQyNTgzMTM0In0=</vt:lpwstr>
  </property>
</Properties>
</file>