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120F8">
      <w:pPr>
        <w:spacing w:before="75" w:line="227" w:lineRule="auto"/>
        <w:jc w:val="center"/>
        <w:rPr>
          <w:rFonts w:hint="eastAsia" w:asciiTheme="minorEastAsia" w:hAnsiTheme="minorEastAsia" w:eastAsiaTheme="minorEastAsia" w:cstheme="minorEastAsia"/>
          <w:sz w:val="23"/>
          <w:szCs w:val="23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23"/>
          <w:szCs w:val="23"/>
          <w:highlight w:val="none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采</w:t>
      </w:r>
      <w:r>
        <w:rPr>
          <w:rFonts w:hint="eastAsia" w:asciiTheme="minorEastAsia" w:hAnsiTheme="minorEastAsia" w:eastAsiaTheme="minorEastAsia" w:cstheme="minorEastAsia"/>
          <w:spacing w:val="8"/>
          <w:sz w:val="23"/>
          <w:szCs w:val="23"/>
          <w:highlight w:val="none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购合同</w:t>
      </w:r>
    </w:p>
    <w:p w14:paraId="78E83CAC">
      <w:pPr>
        <w:spacing w:before="50" w:line="227" w:lineRule="auto"/>
        <w:jc w:val="center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24"/>
          <w:sz w:val="21"/>
          <w:szCs w:val="21"/>
          <w:highlight w:val="none"/>
        </w:rPr>
        <w:t>(</w:t>
      </w:r>
      <w:r>
        <w:rPr>
          <w:rFonts w:hint="eastAsia" w:asciiTheme="minorEastAsia" w:hAnsiTheme="minorEastAsia" w:eastAsiaTheme="minorEastAsia" w:cstheme="minorEastAsia"/>
          <w:spacing w:val="17"/>
          <w:sz w:val="21"/>
          <w:szCs w:val="21"/>
          <w:highlight w:val="none"/>
        </w:rPr>
        <w:t>甲乙双方可另行拟定)</w:t>
      </w:r>
    </w:p>
    <w:p w14:paraId="3A2BBA4E">
      <w:pPr>
        <w:spacing w:before="184" w:line="228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合同编号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：</w:t>
      </w:r>
    </w:p>
    <w:p w14:paraId="6F901301">
      <w:pPr>
        <w:spacing w:line="285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501B71E0">
      <w:pPr>
        <w:spacing w:before="76" w:line="227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买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highlight w:val="none"/>
        </w:rPr>
        <w:t>方：(以下简称甲方)</w:t>
      </w:r>
    </w:p>
    <w:p w14:paraId="1BA3D0EE">
      <w:pPr>
        <w:spacing w:line="286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155F5AB6">
      <w:pPr>
        <w:spacing w:before="75" w:line="227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0"/>
          <w:sz w:val="21"/>
          <w:szCs w:val="21"/>
          <w:highlight w:val="none"/>
        </w:rPr>
        <w:t>卖方</w:t>
      </w:r>
      <w:r>
        <w:rPr>
          <w:rFonts w:hint="eastAsia" w:asciiTheme="minorEastAsia" w:hAnsiTheme="minorEastAsia" w:eastAsiaTheme="minorEastAsia" w:cstheme="minorEastAsia"/>
          <w:spacing w:val="-5"/>
          <w:sz w:val="21"/>
          <w:szCs w:val="21"/>
          <w:highlight w:val="none"/>
        </w:rPr>
        <w:t>：(以下简称乙方)</w:t>
      </w:r>
    </w:p>
    <w:p w14:paraId="4BF47908">
      <w:pPr>
        <w:spacing w:line="285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6F3C0F16">
      <w:pPr>
        <w:spacing w:before="75" w:line="375" w:lineRule="auto"/>
        <w:ind w:right="813" w:firstLine="452" w:firstLineChars="2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甲方因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需要，就甲方向乙方购置事宜，经双方经协商一致签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订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本合同。</w:t>
      </w:r>
    </w:p>
    <w:p w14:paraId="531A816F">
      <w:pPr>
        <w:spacing w:line="311" w:lineRule="exact"/>
        <w:ind w:firstLine="460" w:firstLineChars="2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1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7"/>
          <w:position w:val="1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5"/>
          <w:position w:val="1"/>
          <w:sz w:val="21"/>
          <w:szCs w:val="21"/>
          <w:highlight w:val="none"/>
        </w:rPr>
        <w:t>供货范围及价款：</w:t>
      </w:r>
    </w:p>
    <w:tbl>
      <w:tblPr>
        <w:tblStyle w:val="4"/>
        <w:tblpPr w:leftFromText="180" w:rightFromText="180" w:vertAnchor="text" w:horzAnchor="page" w:tblpX="1165" w:tblpY="248"/>
        <w:tblOverlap w:val="never"/>
        <w:tblW w:w="99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825"/>
        <w:gridCol w:w="1124"/>
        <w:gridCol w:w="765"/>
        <w:gridCol w:w="870"/>
        <w:gridCol w:w="1095"/>
        <w:gridCol w:w="1244"/>
        <w:gridCol w:w="1246"/>
        <w:gridCol w:w="1152"/>
        <w:gridCol w:w="819"/>
      </w:tblGrid>
      <w:tr w14:paraId="5BAE9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84" w:type="dxa"/>
            <w:vAlign w:val="top"/>
          </w:tcPr>
          <w:p w14:paraId="32D60546">
            <w:pPr>
              <w:spacing w:before="152" w:line="230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825" w:type="dxa"/>
            <w:vAlign w:val="top"/>
          </w:tcPr>
          <w:p w14:paraId="3F83CCC9">
            <w:pPr>
              <w:spacing w:before="152" w:line="231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名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称</w:t>
            </w:r>
          </w:p>
        </w:tc>
        <w:tc>
          <w:tcPr>
            <w:tcW w:w="1124" w:type="dxa"/>
            <w:vAlign w:val="top"/>
          </w:tcPr>
          <w:p w14:paraId="74ED3CFD">
            <w:pPr>
              <w:spacing w:before="153" w:line="228" w:lineRule="auto"/>
              <w:ind w:left="111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765" w:type="dxa"/>
            <w:vAlign w:val="top"/>
          </w:tcPr>
          <w:p w14:paraId="46F2EA5A">
            <w:pPr>
              <w:spacing w:before="153" w:line="229" w:lineRule="auto"/>
              <w:ind w:left="114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单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位</w:t>
            </w:r>
          </w:p>
        </w:tc>
        <w:tc>
          <w:tcPr>
            <w:tcW w:w="870" w:type="dxa"/>
            <w:vAlign w:val="top"/>
          </w:tcPr>
          <w:p w14:paraId="0199C2A4">
            <w:pPr>
              <w:spacing w:before="153" w:line="228" w:lineRule="auto"/>
              <w:ind w:left="114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数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量</w:t>
            </w:r>
          </w:p>
        </w:tc>
        <w:tc>
          <w:tcPr>
            <w:tcW w:w="1095" w:type="dxa"/>
            <w:vAlign w:val="top"/>
          </w:tcPr>
          <w:p w14:paraId="633B5141">
            <w:pPr>
              <w:spacing w:before="153" w:line="227" w:lineRule="auto"/>
              <w:ind w:left="113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单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highlight w:val="none"/>
              </w:rPr>
              <w:t>价(元)</w:t>
            </w:r>
          </w:p>
        </w:tc>
        <w:tc>
          <w:tcPr>
            <w:tcW w:w="1244" w:type="dxa"/>
            <w:vAlign w:val="top"/>
          </w:tcPr>
          <w:p w14:paraId="58CC3B0D">
            <w:pPr>
              <w:spacing w:before="153" w:line="228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金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额(元)</w:t>
            </w:r>
          </w:p>
        </w:tc>
        <w:tc>
          <w:tcPr>
            <w:tcW w:w="1246" w:type="dxa"/>
            <w:vAlign w:val="top"/>
          </w:tcPr>
          <w:p w14:paraId="4F6F26F0">
            <w:pPr>
              <w:spacing w:before="153" w:line="229" w:lineRule="auto"/>
              <w:ind w:left="112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highlight w:val="none"/>
              </w:rPr>
              <w:t>运费(元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)</w:t>
            </w:r>
          </w:p>
        </w:tc>
        <w:tc>
          <w:tcPr>
            <w:tcW w:w="1152" w:type="dxa"/>
            <w:vAlign w:val="top"/>
          </w:tcPr>
          <w:p w14:paraId="0E3A85FE">
            <w:pPr>
              <w:spacing w:before="153" w:line="229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highlight w:val="none"/>
              </w:rPr>
              <w:t>合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计(元)</w:t>
            </w:r>
          </w:p>
        </w:tc>
        <w:tc>
          <w:tcPr>
            <w:tcW w:w="819" w:type="dxa"/>
            <w:vAlign w:val="top"/>
          </w:tcPr>
          <w:p w14:paraId="6F3198A2">
            <w:pPr>
              <w:spacing w:before="152" w:line="230" w:lineRule="auto"/>
              <w:ind w:left="117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备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注</w:t>
            </w:r>
          </w:p>
        </w:tc>
      </w:tr>
      <w:tr w14:paraId="1BCC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84" w:type="dxa"/>
            <w:vAlign w:val="top"/>
          </w:tcPr>
          <w:p w14:paraId="424444E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25" w:type="dxa"/>
            <w:vAlign w:val="top"/>
          </w:tcPr>
          <w:p w14:paraId="0DBB590D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24" w:type="dxa"/>
            <w:vAlign w:val="top"/>
          </w:tcPr>
          <w:p w14:paraId="753543E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4ED18C0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67D64671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499A42E7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2F9838B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6" w:type="dxa"/>
            <w:vAlign w:val="top"/>
          </w:tcPr>
          <w:p w14:paraId="56D2658A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3A525BC3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336A3E95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  <w:tr w14:paraId="662D4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84" w:type="dxa"/>
            <w:vAlign w:val="top"/>
          </w:tcPr>
          <w:p w14:paraId="5EA93FF2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25" w:type="dxa"/>
            <w:vAlign w:val="top"/>
          </w:tcPr>
          <w:p w14:paraId="3A1963E7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24" w:type="dxa"/>
            <w:vAlign w:val="top"/>
          </w:tcPr>
          <w:p w14:paraId="13330496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25E3700D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2310BB8E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3F86450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28607CA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6" w:type="dxa"/>
            <w:vAlign w:val="top"/>
          </w:tcPr>
          <w:p w14:paraId="171F74E5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1BCA10B9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0B88784E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  <w:tr w14:paraId="5A1B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609" w:type="dxa"/>
            <w:gridSpan w:val="2"/>
            <w:vAlign w:val="top"/>
          </w:tcPr>
          <w:p w14:paraId="08B26ED6">
            <w:pPr>
              <w:spacing w:before="125" w:line="230" w:lineRule="auto"/>
              <w:ind w:left="537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24" w:type="dxa"/>
            <w:vAlign w:val="top"/>
          </w:tcPr>
          <w:p w14:paraId="59B09761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20275EB0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1034F991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56570713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1A8E3EA5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6" w:type="dxa"/>
            <w:vAlign w:val="top"/>
          </w:tcPr>
          <w:p w14:paraId="4E188C99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17931A3A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7E651F76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</w:tbl>
    <w:p w14:paraId="33C9A386">
      <w:pPr>
        <w:keepNext w:val="0"/>
        <w:keepLines w:val="0"/>
        <w:pageBreakBefore w:val="0"/>
        <w:widowControl w:val="0"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0" w:lineRule="exact"/>
        <w:ind w:left="0" w:leftChars="0" w:right="0" w:firstLine="495" w:firstLineChars="0"/>
        <w:textAlignment w:val="baseline"/>
        <w:outlineLvl w:val="1"/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</w:pPr>
      <w:bookmarkStart w:id="0" w:name="_Toc3651"/>
      <w:r>
        <w:rPr>
          <w:rFonts w:hint="eastAsia" w:asciiTheme="minorEastAsia" w:hAnsiTheme="minorEastAsia" w:eastAsiaTheme="minorEastAsia" w:cstheme="minorEastAsia"/>
          <w:bCs/>
          <w:sz w:val="21"/>
          <w:szCs w:val="21"/>
          <w:highlight w:val="none"/>
        </w:rPr>
        <w:t>本合同范围内所供货物总价款为         元（大写人民币     元整）</w:t>
      </w:r>
    </w:p>
    <w:p w14:paraId="7C2A205B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rightChars="0" w:firstLine="360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5"/>
          <w:sz w:val="21"/>
          <w:szCs w:val="21"/>
          <w:highlight w:val="none"/>
        </w:rPr>
        <w:t>二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、随货资料</w:t>
      </w:r>
      <w:bookmarkEnd w:id="0"/>
    </w:p>
    <w:p w14:paraId="7015597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乙方在交货时应向甲方提供一套交货清单、产品合格证等随货资料(如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有)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，且提供的随货资料必须完整、真实，如无相关(应有)随货资料甲方将不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予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验收。</w:t>
      </w:r>
    </w:p>
    <w:p w14:paraId="390C375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6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1" w:name="_Toc23772"/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highlight w:val="none"/>
        </w:rPr>
        <w:t>三</w:t>
      </w:r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highlight w:val="none"/>
        </w:rPr>
        <w:t>、合同单价调整</w:t>
      </w:r>
      <w:bookmarkEnd w:id="1"/>
    </w:p>
    <w:p w14:paraId="2D38689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4"/>
          <w:sz w:val="21"/>
          <w:szCs w:val="21"/>
          <w:highlight w:val="none"/>
        </w:rPr>
        <w:t>(1)本合同总金额及单价不作调整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。</w:t>
      </w:r>
    </w:p>
    <w:p w14:paraId="1E533AC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2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2" w:name="_Toc25719"/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四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本合同所供货物的交货时间、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交货地点及交货验收：</w:t>
      </w:r>
      <w:bookmarkEnd w:id="2"/>
    </w:p>
    <w:p w14:paraId="2EF9275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、交货时间：本合同范围内所有货物必须在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</w:rPr>
        <w:t>年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</w:rPr>
        <w:t>月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  <w:u w:val="none" w:color="auto"/>
        </w:rPr>
        <w:t>日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前交货。</w:t>
      </w:r>
    </w:p>
    <w:p w14:paraId="778C633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4" w:firstLineChars="200"/>
        <w:textAlignment w:val="baseline"/>
        <w:rPr>
          <w:rFonts w:hint="eastAsia" w:asciiTheme="minorEastAsia" w:hAnsiTheme="minorEastAsia" w:eastAsiaTheme="minorEastAsia" w:cstheme="minorEastAsia"/>
          <w:spacing w:val="6"/>
          <w:position w:val="1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position w:val="1"/>
          <w:sz w:val="21"/>
          <w:szCs w:val="21"/>
          <w:highlight w:val="none"/>
        </w:rPr>
        <w:t>2、交货地点：</w:t>
      </w:r>
    </w:p>
    <w:p w14:paraId="4275AD3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3、交货验收：乙方按甲方本合同指定的交货地点交货，并由甲方指定的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收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货人，与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方交货人共同对货物进行质量及数量的交接，同时办理货物的移交验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收手续，作为交货结算凭证。</w:t>
      </w:r>
    </w:p>
    <w:p w14:paraId="2EBA081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60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3" w:name="_Toc20966"/>
      <w:r>
        <w:rPr>
          <w:rFonts w:hint="eastAsia" w:asciiTheme="minorEastAsia" w:hAnsiTheme="minorEastAsia" w:eastAsiaTheme="minorEastAsia" w:cstheme="minorEastAsia"/>
          <w:spacing w:val="-15"/>
          <w:sz w:val="21"/>
          <w:szCs w:val="21"/>
          <w:highlight w:val="none"/>
        </w:rPr>
        <w:t>五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、质量保证</w:t>
      </w:r>
      <w:bookmarkEnd w:id="3"/>
    </w:p>
    <w:p w14:paraId="06EC29C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1、乙方必须按照《中华人民共和国产品质量法》和相关产品国家标准的规</w:t>
      </w:r>
      <w:r>
        <w:rPr>
          <w:rFonts w:hint="eastAsia" w:asciiTheme="minorEastAsia" w:hAnsiTheme="minorEastAsia" w:eastAsiaTheme="minorEastAsia" w:cstheme="minorEastAsia"/>
          <w:spacing w:val="17"/>
          <w:sz w:val="21"/>
          <w:szCs w:val="21"/>
          <w:highlight w:val="none"/>
        </w:rPr>
        <w:t>定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提供合格的、全新的货物，其质量保证和产品规格必须符合本合同的规范。</w:t>
      </w:r>
    </w:p>
    <w:p w14:paraId="45A3BA6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、乙方应保证所供应的货物，在所有权移交给甲方指定的收货人时除符合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上述第1款要求外，还应符合甲方质量要求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。</w:t>
      </w:r>
    </w:p>
    <w:p w14:paraId="6834B2E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3、如果发现由于乙方责任造成任何货物缺损，或所交货物不符合其特性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和</w:t>
      </w:r>
      <w:r>
        <w:rPr>
          <w:rFonts w:hint="eastAsia" w:asciiTheme="minorEastAsia" w:hAnsiTheme="minorEastAsia" w:eastAsiaTheme="minorEastAsia" w:cstheme="minorEastAsia"/>
          <w:spacing w:val="16"/>
          <w:sz w:val="21"/>
          <w:szCs w:val="21"/>
          <w:highlight w:val="none"/>
        </w:rPr>
        <w:t>规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范要求，甲方有权根据本合同第八条的约定向乙方提出索赔。</w:t>
      </w:r>
    </w:p>
    <w:p w14:paraId="3C3D449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outlineLvl w:val="2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4" w:name="_Toc8580"/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4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、货物的质量保证期为货物验收合格后，甲方扣留本合同总价款</w:t>
      </w:r>
      <w:bookmarkEnd w:id="4"/>
    </w:p>
    <w:p w14:paraId="1CC70A06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的</w:t>
      </w: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%作为乙方所供货物的质量保证金，在质保期满并无乙方未能解决的产品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质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量问题的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前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提下，甲方在质保期满后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日内结清余款(可根据所供货物具体情况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确定是否需要约定本条并留质保金)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。</w:t>
      </w:r>
    </w:p>
    <w:p w14:paraId="74A5A66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6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5" w:name="_Toc15575"/>
      <w:r>
        <w:rPr>
          <w:rFonts w:hint="eastAsia" w:asciiTheme="minorEastAsia" w:hAnsiTheme="minorEastAsia" w:eastAsiaTheme="minorEastAsia" w:cstheme="minorEastAsia"/>
          <w:spacing w:val="-13"/>
          <w:sz w:val="21"/>
          <w:szCs w:val="21"/>
          <w:highlight w:val="none"/>
        </w:rPr>
        <w:t>六</w:t>
      </w:r>
      <w:r>
        <w:rPr>
          <w:rFonts w:hint="eastAsia" w:asciiTheme="minorEastAsia" w:hAnsiTheme="minorEastAsia" w:eastAsiaTheme="minorEastAsia" w:cstheme="minorEastAsia"/>
          <w:spacing w:val="-11"/>
          <w:sz w:val="21"/>
          <w:szCs w:val="21"/>
          <w:highlight w:val="none"/>
        </w:rPr>
        <w:t>、售后服务</w:t>
      </w:r>
      <w:bookmarkEnd w:id="5"/>
    </w:p>
    <w:p w14:paraId="7E85E87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乙方应提供并按承诺的售后服务条款执行，乙方的售后服务承诺书(须</w:t>
      </w:r>
      <w:r>
        <w:rPr>
          <w:rFonts w:hint="eastAsia" w:asciiTheme="minorEastAsia" w:hAnsiTheme="minorEastAsia" w:eastAsiaTheme="minorEastAsia" w:cstheme="minorEastAsia"/>
          <w:spacing w:val="16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方签字盖章)作为本合同附件，与本合同具有同等法律效力。</w:t>
      </w:r>
    </w:p>
    <w:p w14:paraId="321D66A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39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6" w:name="_Toc5769"/>
      <w:r>
        <w:rPr>
          <w:rFonts w:hint="eastAsia" w:asciiTheme="minorEastAsia" w:hAnsiTheme="minorEastAsia" w:eastAsiaTheme="minorEastAsia" w:cstheme="minorEastAsia"/>
          <w:spacing w:val="-7"/>
          <w:sz w:val="21"/>
          <w:szCs w:val="21"/>
          <w:highlight w:val="none"/>
        </w:rPr>
        <w:t>七</w:t>
      </w: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highlight w:val="none"/>
        </w:rPr>
        <w:t>、货款结算与支付</w:t>
      </w:r>
      <w:bookmarkEnd w:id="6"/>
    </w:p>
    <w:p w14:paraId="3FEA11D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1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highlight w:val="none"/>
        </w:rPr>
        <w:t>1、本合同货款结算支付方式为：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(根据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双方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约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定的具体货款结算支付方式确定)。</w:t>
      </w:r>
    </w:p>
    <w:p w14:paraId="606B639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、若本合同履行过程中遇甲方资金紧张，乙方无条件接受甲方按合同约定付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款期限适当延期付款。</w:t>
      </w:r>
    </w:p>
    <w:p w14:paraId="12D3D2A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3、乙方在向甲方交货后、办理货款结算支付前，必须向甲方提交所供货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物</w:t>
      </w:r>
      <w:r>
        <w:rPr>
          <w:rFonts w:hint="eastAsia" w:asciiTheme="minorEastAsia" w:hAnsiTheme="minorEastAsia" w:eastAsiaTheme="minorEastAsia" w:cstheme="minorEastAsia"/>
          <w:spacing w:val="16"/>
          <w:sz w:val="21"/>
          <w:szCs w:val="21"/>
          <w:highlight w:val="none"/>
        </w:rPr>
        <w:t>的足额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税务发票。乙方向甲方提交的票据必须符合国家税票管理的要求。</w:t>
      </w:r>
    </w:p>
    <w:p w14:paraId="489DC99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7" w:name="_Toc26596"/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八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、违约责任</w:t>
      </w:r>
      <w:bookmarkEnd w:id="7"/>
    </w:p>
    <w:p w14:paraId="4585556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如果由于乙方的原因未能按照合同规定的交货期交货，乙方延迟交货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的，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每天(不满1天按1天计算)按迟交货物价款的向甲方交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付违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约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金，最高不超过合同总价的。乙方支付迟延交货违约金并不解除乙</w:t>
      </w: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继续履行交货的义务。</w:t>
      </w:r>
    </w:p>
    <w:p w14:paraId="34541D1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乙方迟交货物达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7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天以上时，甲方有权解除本合同，并可对乙方已供货物按</w:t>
      </w:r>
    </w:p>
    <w:p w14:paraId="049782D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部分或全部退货处理。乙方无条件接受并承担由此而给甲方造成的一切费用和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损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highlight w:val="none"/>
        </w:rPr>
        <w:t>。</w:t>
      </w:r>
    </w:p>
    <w:p w14:paraId="278402E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position w:val="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position w:val="1"/>
          <w:sz w:val="21"/>
          <w:szCs w:val="21"/>
          <w:highlight w:val="none"/>
        </w:rPr>
        <w:t>、如果乙方所供货物在数量、品种规格等方面不符合国家标准和本合同规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定，乙方应根据甲方书面通知要求按照以下方式处理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：</w:t>
      </w:r>
    </w:p>
    <w:p w14:paraId="3496959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1"/>
          <w:szCs w:val="21"/>
          <w:highlight w:val="none"/>
        </w:rPr>
        <w:t>(1)乙方负责用符合国家标准规定和甲方要求规格、质量和性能的新货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物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更换有缺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陷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的货物，并承担由此而发生更换费用及给甲方造成的一切损失(包括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运杂费、检验费、仓储费、装卸费以及为更换有缺陷合同货物所造成的误工损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费等其他费用)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。</w:t>
      </w:r>
    </w:p>
    <w:p w14:paraId="0B022F8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50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20"/>
          <w:sz w:val="21"/>
          <w:szCs w:val="21"/>
          <w:highlight w:val="none"/>
        </w:rPr>
        <w:t>(</w:t>
      </w: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2)乙方无条件接受甲方验收不合格货物的退货(包括货物数量不符、货物型号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不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符、经检验货物存在质量缺陷、随货资料不全等)，并由乙方承担由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此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给甲方造成的一切损失。</w:t>
      </w:r>
    </w:p>
    <w:p w14:paraId="6C712D1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76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4"/>
          <w:sz w:val="21"/>
          <w:szCs w:val="21"/>
          <w:highlight w:val="none"/>
        </w:rPr>
        <w:t>(3)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方在收到甲方上述书面更换或退货通知后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天内未作出书面答复的，则应理解为乙方已接受甲方的通知要求。如收到甲方上述书面更换或退货通知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后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天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后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天内未按照甲方要求的上述任一方式来人(来函)处理相关事宜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则甲方有权确定单方解除合同，将乙方已供货物放置于甲方认为合理的位置，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并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理解为乙方已接收退货。由其而造成的货物毁损、灭失责任均由乙方承担，乙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同时应向甲方承担迟延交货的违约责任，并赔偿由此而给甲方造成的一切经济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损</w:t>
      </w:r>
      <w:r>
        <w:rPr>
          <w:rFonts w:hint="eastAsia" w:asciiTheme="minorEastAsia" w:hAnsiTheme="minorEastAsia" w:eastAsiaTheme="minorEastAsia" w:cstheme="minorEastAsia"/>
          <w:spacing w:val="-2"/>
          <w:sz w:val="21"/>
          <w:szCs w:val="21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-1"/>
          <w:sz w:val="21"/>
          <w:szCs w:val="21"/>
          <w:highlight w:val="none"/>
        </w:rPr>
        <w:t>。</w:t>
      </w:r>
    </w:p>
    <w:p w14:paraId="563BAF13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2"/>
          <w:sz w:val="21"/>
          <w:szCs w:val="21"/>
          <w:highlight w:val="none"/>
        </w:rPr>
        <w:t>九、乙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方未经甲方事先的书面同意，不得将合同履行义务全部或部分进行转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让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或分包。</w:t>
      </w:r>
    </w:p>
    <w:p w14:paraId="124E852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56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8" w:name="_Toc29738"/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十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、不可抗力</w:t>
      </w:r>
      <w:bookmarkEnd w:id="8"/>
    </w:p>
    <w:p w14:paraId="77E9BA3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1、</w:t>
      </w:r>
      <w:r>
        <w:rPr>
          <w:rFonts w:hint="eastAsia" w:asciiTheme="minorEastAsia" w:hAnsiTheme="minorEastAsia" w:eastAsiaTheme="minorEastAsia" w:cstheme="minorEastAsia"/>
          <w:spacing w:val="11"/>
          <w:sz w:val="21"/>
          <w:szCs w:val="21"/>
          <w:highlight w:val="none"/>
        </w:rPr>
        <w:t>签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约双方中的任何一方由于战争及严重的洪水、台风、地震、塌方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不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可抗力事件而影响合同的执行时，应及时通知对方请求延迟相应受影响部分的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履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行期限，延迟的时间应相当于事件影响的时间。不可抗力事件系指双方在缔结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合</w:t>
      </w: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同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时所不能预见的，并且它的发生及其后果是无法克服和无法避免的。</w:t>
      </w:r>
    </w:p>
    <w:p w14:paraId="033E661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2、对于本合同中未受不可抗力直接影响的其他义务，义务方应按合同继</w:t>
      </w:r>
      <w:r>
        <w:rPr>
          <w:rFonts w:hint="eastAsia" w:asciiTheme="minorEastAsia" w:hAnsiTheme="minorEastAsia" w:eastAsiaTheme="minorEastAsia" w:cstheme="minorEastAsia"/>
          <w:spacing w:val="2"/>
          <w:sz w:val="21"/>
          <w:szCs w:val="21"/>
          <w:highlight w:val="none"/>
        </w:rPr>
        <w:t>续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履行。如不可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抗力事件延续到10天以上时，双方可通过友好协商解决合同是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否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继续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履行问题。</w:t>
      </w:r>
    </w:p>
    <w:p w14:paraId="1FF621E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</w:pPr>
      <w:bookmarkStart w:id="9" w:name="_Toc15172"/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十一、仲裁</w:t>
      </w:r>
      <w:bookmarkEnd w:id="9"/>
    </w:p>
    <w:p w14:paraId="2248B5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32" w:firstLineChars="200"/>
        <w:textAlignment w:val="baseline"/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1、因执行本合同所发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生的或与本合同有关的一切争议，双方应通过友好协商解决。如协商不成，任何一方可将争议提交本合同交货地法院或仲裁委员会裁决。</w:t>
      </w:r>
    </w:p>
    <w:p w14:paraId="7AED72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2、在诉讼或仲裁期间，除提交裁决的争议事项外，甲方要求乙方仍继续履行合同的其他交货义务，乙方应无条件继续履行。</w:t>
      </w:r>
    </w:p>
    <w:p w14:paraId="530B49D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4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10" w:name="_Toc7008"/>
      <w:r>
        <w:rPr>
          <w:rFonts w:hint="eastAsia" w:asciiTheme="minorEastAsia" w:hAnsiTheme="minorEastAsia" w:eastAsiaTheme="minorEastAsia" w:cstheme="minorEastAsia"/>
          <w:spacing w:val="11"/>
          <w:position w:val="17"/>
          <w:sz w:val="21"/>
          <w:szCs w:val="21"/>
          <w:highlight w:val="none"/>
        </w:rPr>
        <w:t>十</w:t>
      </w:r>
      <w:r>
        <w:rPr>
          <w:rFonts w:hint="eastAsia" w:asciiTheme="minorEastAsia" w:hAnsiTheme="minorEastAsia" w:eastAsiaTheme="minorEastAsia" w:cstheme="minorEastAsia"/>
          <w:spacing w:val="8"/>
          <w:position w:val="17"/>
          <w:sz w:val="21"/>
          <w:szCs w:val="21"/>
          <w:highlight w:val="none"/>
        </w:rPr>
        <w:t>二、终止合同</w:t>
      </w:r>
      <w:bookmarkEnd w:id="10"/>
    </w:p>
    <w:p w14:paraId="7E67F1D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2"/>
          <w:position w:val="1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7"/>
          <w:position w:val="1"/>
          <w:sz w:val="21"/>
          <w:szCs w:val="21"/>
          <w:highlight w:val="none"/>
        </w:rPr>
        <w:t>、合同各项条款按约定履行完毕。</w:t>
      </w:r>
    </w:p>
    <w:p w14:paraId="4D1FA51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1"/>
          <w:sz w:val="21"/>
          <w:szCs w:val="21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9"/>
          <w:position w:val="1"/>
          <w:sz w:val="21"/>
          <w:szCs w:val="21"/>
          <w:highlight w:val="none"/>
        </w:rPr>
        <w:t>、因乙方违约，甲方按本合同第八条的约定通知乙方终止合同。</w:t>
      </w:r>
    </w:p>
    <w:p w14:paraId="357D8C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1"/>
          <w:szCs w:val="21"/>
          <w:highlight w:val="none"/>
        </w:rPr>
        <w:t>3</w:t>
      </w:r>
      <w:r>
        <w:rPr>
          <w:rFonts w:hint="eastAsia" w:asciiTheme="minorEastAsia" w:hAnsiTheme="minorEastAsia" w:eastAsiaTheme="minorEastAsia" w:cstheme="minorEastAsia"/>
          <w:spacing w:val="14"/>
          <w:sz w:val="21"/>
          <w:szCs w:val="21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因情势变更(如甲方所购产品因客户取消订单取消)导致本合同甲方所</w:t>
      </w:r>
    </w:p>
    <w:p w14:paraId="6011D81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购货物失去实际意义时，甲方应及时通知乙方协商办理相应的合同结算及终止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事</w:t>
      </w: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宜。对此双方均不属违约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。</w:t>
      </w:r>
    </w:p>
    <w:p w14:paraId="0FCE6A8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5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bookmarkStart w:id="11" w:name="_Toc12094"/>
      <w:r>
        <w:rPr>
          <w:rFonts w:hint="eastAsia" w:asciiTheme="minorEastAsia" w:hAnsiTheme="minorEastAsia" w:eastAsiaTheme="minorEastAsia" w:cstheme="minorEastAsia"/>
          <w:spacing w:val="8"/>
          <w:position w:val="17"/>
          <w:sz w:val="21"/>
          <w:szCs w:val="21"/>
          <w:highlight w:val="none"/>
        </w:rPr>
        <w:t>十三、其</w:t>
      </w:r>
      <w:r>
        <w:rPr>
          <w:rFonts w:hint="eastAsia" w:asciiTheme="minorEastAsia" w:hAnsiTheme="minorEastAsia" w:eastAsiaTheme="minorEastAsia" w:cstheme="minorEastAsia"/>
          <w:spacing w:val="7"/>
          <w:position w:val="17"/>
          <w:sz w:val="21"/>
          <w:szCs w:val="21"/>
          <w:highlight w:val="none"/>
        </w:rPr>
        <w:t>他</w:t>
      </w:r>
      <w:bookmarkEnd w:id="11"/>
    </w:p>
    <w:p w14:paraId="2EBCCC9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8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5"/>
          <w:position w:val="1"/>
          <w:sz w:val="21"/>
          <w:szCs w:val="21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8"/>
          <w:position w:val="1"/>
          <w:sz w:val="21"/>
          <w:szCs w:val="21"/>
          <w:highlight w:val="none"/>
        </w:rPr>
        <w:t>、本合同由双方法人或法人授权代表签字盖章后生效。</w:t>
      </w:r>
    </w:p>
    <w:p w14:paraId="7A7AF01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48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2、本合同一式份，甲乙双方各持份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。</w:t>
      </w:r>
    </w:p>
    <w:p w14:paraId="1629FB0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60" w:firstLineChars="200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sz w:val="21"/>
          <w:szCs w:val="21"/>
          <w:highlight w:val="none"/>
        </w:rPr>
        <w:t>3、本合同若有变更双方均应以书面形式通知对方，并形成书面补充协议</w:t>
      </w:r>
      <w:r>
        <w:rPr>
          <w:rFonts w:hint="eastAsia" w:asciiTheme="minorEastAsia" w:hAnsiTheme="minorEastAsia" w:eastAsiaTheme="minorEastAsia" w:cstheme="minorEastAsia"/>
          <w:spacing w:val="9"/>
          <w:sz w:val="21"/>
          <w:szCs w:val="21"/>
          <w:highlight w:val="none"/>
        </w:rPr>
        <w:t>作为本合同附件，与本合同具备同等法律效力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。</w:t>
      </w:r>
    </w:p>
    <w:p w14:paraId="6771EADA">
      <w:pP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0AC223BC">
      <w:pPr>
        <w:spacing w:line="156" w:lineRule="exact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1EDB7CE2">
      <w:pP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sectPr>
          <w:pgSz w:w="11907" w:h="16840"/>
          <w:pgMar w:top="1426" w:right="1786" w:bottom="1273" w:left="1786" w:header="0" w:footer="1060" w:gutter="0"/>
          <w:pgNumType w:fmt="decimal"/>
          <w:cols w:equalWidth="0" w:num="1">
            <w:col w:w="8335"/>
          </w:cols>
        </w:sectPr>
      </w:pPr>
    </w:p>
    <w:p w14:paraId="0F05C31C">
      <w:pPr>
        <w:spacing w:before="49" w:line="465" w:lineRule="exact"/>
        <w:ind w:left="536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position w:val="17"/>
          <w:sz w:val="21"/>
          <w:szCs w:val="21"/>
          <w:highlight w:val="none"/>
        </w:rPr>
        <w:t>甲</w:t>
      </w:r>
      <w:r>
        <w:rPr>
          <w:rFonts w:hint="eastAsia" w:asciiTheme="minorEastAsia" w:hAnsiTheme="minorEastAsia" w:eastAsiaTheme="minorEastAsia" w:cstheme="minorEastAsia"/>
          <w:spacing w:val="2"/>
          <w:position w:val="17"/>
          <w:sz w:val="21"/>
          <w:szCs w:val="21"/>
          <w:highlight w:val="none"/>
        </w:rPr>
        <w:t>方(盖章)：</w:t>
      </w:r>
    </w:p>
    <w:p w14:paraId="1F50BBF5">
      <w:pPr>
        <w:spacing w:line="228" w:lineRule="auto"/>
        <w:ind w:left="506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法人代表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：</w:t>
      </w:r>
    </w:p>
    <w:p w14:paraId="6CA928A9">
      <w:pPr>
        <w:spacing w:before="184" w:line="228" w:lineRule="auto"/>
        <w:ind w:left="504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授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权代表：</w:t>
      </w:r>
    </w:p>
    <w:p w14:paraId="71D7F7D0">
      <w:pPr>
        <w:spacing w:before="182" w:line="228" w:lineRule="auto"/>
        <w:ind w:left="516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8"/>
          <w:sz w:val="21"/>
          <w:szCs w:val="21"/>
          <w:highlight w:val="none"/>
        </w:rPr>
        <w:t>时</w:t>
      </w: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日</w:t>
      </w:r>
    </w:p>
    <w:p w14:paraId="3C93D7A2">
      <w:pPr>
        <w:spacing w:before="184" w:line="465" w:lineRule="exact"/>
        <w:ind w:left="505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position w:val="16"/>
          <w:sz w:val="21"/>
          <w:szCs w:val="21"/>
          <w:highlight w:val="none"/>
        </w:rPr>
        <w:t>地</w:t>
      </w:r>
      <w:r>
        <w:rPr>
          <w:rFonts w:hint="eastAsia" w:asciiTheme="minorEastAsia" w:hAnsiTheme="minorEastAsia" w:eastAsiaTheme="minorEastAsia" w:cstheme="minorEastAsia"/>
          <w:spacing w:val="3"/>
          <w:position w:val="16"/>
          <w:sz w:val="21"/>
          <w:szCs w:val="21"/>
          <w:highlight w:val="none"/>
        </w:rPr>
        <w:t>址：</w:t>
      </w:r>
    </w:p>
    <w:p w14:paraId="78A3298A">
      <w:pPr>
        <w:spacing w:before="1" w:line="230" w:lineRule="auto"/>
        <w:ind w:left="533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6"/>
          <w:sz w:val="21"/>
          <w:szCs w:val="21"/>
          <w:highlight w:val="none"/>
        </w:rPr>
        <w:t>电话：</w:t>
      </w:r>
    </w:p>
    <w:p w14:paraId="4F1C56E4">
      <w:pPr>
        <w:spacing w:before="181" w:line="193" w:lineRule="auto"/>
        <w:ind w:left="503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传真：</w:t>
      </w:r>
    </w:p>
    <w:p w14:paraId="41D0BF10">
      <w:pPr>
        <w:spacing w:line="14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</w:p>
    <w:p w14:paraId="2CF796F0">
      <w:pPr>
        <w:bidi w:val="0"/>
        <w:jc w:val="left"/>
        <w:rPr>
          <w:rFonts w:hint="eastAsia"/>
        </w:rPr>
      </w:pPr>
      <w:bookmarkStart w:id="12" w:name="_GoBack"/>
      <w:bookmarkEnd w:id="12"/>
      <w:r>
        <w:rPr>
          <w:rFonts w:hint="eastAsia"/>
        </w:rPr>
        <w:br w:type="column"/>
      </w:r>
    </w:p>
    <w:p w14:paraId="5C8952AB">
      <w:pPr>
        <w:spacing w:before="47" w:line="466" w:lineRule="exact"/>
        <w:ind w:left="139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position w:val="17"/>
          <w:sz w:val="21"/>
          <w:szCs w:val="21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5"/>
          <w:position w:val="17"/>
          <w:sz w:val="21"/>
          <w:szCs w:val="21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3"/>
          <w:position w:val="17"/>
          <w:sz w:val="21"/>
          <w:szCs w:val="21"/>
          <w:highlight w:val="none"/>
        </w:rPr>
        <w:t>(盖章)：</w:t>
      </w:r>
    </w:p>
    <w:p w14:paraId="3AA2B187">
      <w:pPr>
        <w:spacing w:line="228" w:lineRule="auto"/>
        <w:ind w:left="6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法人代表</w:t>
      </w:r>
      <w:r>
        <w:rPr>
          <w:rFonts w:hint="eastAsia" w:asciiTheme="minorEastAsia" w:hAnsiTheme="minorEastAsia" w:eastAsiaTheme="minorEastAsia" w:cstheme="minorEastAsia"/>
          <w:spacing w:val="5"/>
          <w:sz w:val="21"/>
          <w:szCs w:val="21"/>
          <w:highlight w:val="none"/>
        </w:rPr>
        <w:t>：</w:t>
      </w:r>
    </w:p>
    <w:p w14:paraId="1EC41A09">
      <w:pPr>
        <w:spacing w:before="184" w:line="228" w:lineRule="auto"/>
        <w:ind w:left="59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1"/>
          <w:szCs w:val="21"/>
          <w:highlight w:val="none"/>
        </w:rPr>
        <w:t>授</w:t>
      </w:r>
      <w:r>
        <w:rPr>
          <w:rFonts w:hint="eastAsia" w:asciiTheme="minorEastAsia" w:hAnsiTheme="minorEastAsia" w:eastAsiaTheme="minorEastAsia" w:cstheme="minorEastAsia"/>
          <w:spacing w:val="6"/>
          <w:sz w:val="21"/>
          <w:szCs w:val="21"/>
          <w:highlight w:val="none"/>
        </w:rPr>
        <w:t>权代表：</w:t>
      </w:r>
    </w:p>
    <w:p w14:paraId="4A7D9B2D">
      <w:pPr>
        <w:spacing w:before="181" w:line="228" w:lineRule="auto"/>
        <w:ind w:left="71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时间：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pacing w:val="1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t>日</w:t>
      </w:r>
    </w:p>
    <w:p w14:paraId="4B1540A7">
      <w:pPr>
        <w:spacing w:before="185" w:line="237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地</w:t>
      </w:r>
      <w:r>
        <w:rPr>
          <w:rFonts w:hint="eastAsia" w:asciiTheme="minorEastAsia" w:hAnsiTheme="minorEastAsia" w:eastAsiaTheme="minorEastAsia" w:cstheme="minorEastAsia"/>
          <w:spacing w:val="3"/>
          <w:sz w:val="21"/>
          <w:szCs w:val="21"/>
          <w:highlight w:val="none"/>
        </w:rPr>
        <w:t>址：</w:t>
      </w:r>
    </w:p>
    <w:p w14:paraId="62C0FAEB">
      <w:pPr>
        <w:spacing w:before="170" w:line="468" w:lineRule="exact"/>
        <w:ind w:left="28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6"/>
          <w:position w:val="17"/>
          <w:sz w:val="21"/>
          <w:szCs w:val="21"/>
          <w:highlight w:val="none"/>
        </w:rPr>
        <w:t>电话：</w:t>
      </w:r>
    </w:p>
    <w:p w14:paraId="76DBCC30">
      <w:pPr>
        <w:spacing w:line="193" w:lineRule="auto"/>
        <w:ind w:left="58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</w:rPr>
        <w:sectPr>
          <w:type w:val="continuous"/>
          <w:pgSz w:w="11907" w:h="16840"/>
          <w:pgMar w:top="1426" w:right="1786" w:bottom="1273" w:left="1786" w:header="0" w:footer="1060" w:gutter="0"/>
          <w:pgNumType w:fmt="decimal"/>
          <w:cols w:equalWidth="0" w:num="2">
            <w:col w:w="4726" w:space="100"/>
            <w:col w:w="3510"/>
          </w:cols>
        </w:sectPr>
      </w:pPr>
      <w:r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  <w:t>传真</w:t>
      </w:r>
    </w:p>
    <w:p w14:paraId="5F41D7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2327F"/>
    <w:multiLevelType w:val="singleLevel"/>
    <w:tmpl w:val="22D232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76ECE"/>
    <w:rsid w:val="10DD1C5D"/>
    <w:rsid w:val="51BE773E"/>
    <w:rsid w:val="6C777A67"/>
    <w:rsid w:val="6CE37C15"/>
    <w:rsid w:val="7F4C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2212</Words>
  <Characters>2223</Characters>
  <Lines>0</Lines>
  <Paragraphs>0</Paragraphs>
  <TotalTime>4</TotalTime>
  <ScaleCrop>false</ScaleCrop>
  <LinksUpToDate>false</LinksUpToDate>
  <CharactersWithSpaces>2266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2025-07-30T08:17:00Z</dcterms:created>
  <dc:creator>Administrator</dc:creator>
  <cp:lastModifiedBy>丁福瑞</cp:lastModifiedBy>
  <dcterms:modified xsi:type="dcterms:W3CDTF">2026-09-02T03:08:55Z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eyJoZGlkIjoiZWFiODg2MTBiOTExOGU2NjFkNzdmOTQ0YjdlMGRiNzQiLCJ1c2VySWQiOiIxNDQyNTgzMTM0In0=</vt:lpwstr>
  </property>
  <property fmtid="{D5CDD505-2E9C-101B-9397-08002B2CF9AE}" pid="4" name="ICV">
    <vt:lpwstr>082D4FEDE20E4210B90DC268A218E5CA_12</vt:lpwstr>
  </property>
</Properties>
</file>