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版本号：HLZB2026－12520260616001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大荔县沿黄公路区域人居环境整治项目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HLZB2026－125</w:t>
      </w:r>
      <w:r>
        <w:br/>
      </w:r>
      <w:r>
        <w:br/>
      </w:r>
      <w:r>
        <w:br/>
      </w:r>
    </w:p>
    <w:p>
      <w:pPr>
        <w:pStyle w:val="null3"/>
        <w:jc w:val="center"/>
        <w:outlineLvl w:val="2"/>
      </w:pPr>
      <w:r>
        <w:rPr>
          <w:rFonts w:ascii="仿宋_GB2312" w:hAnsi="仿宋_GB2312" w:cs="仿宋_GB2312" w:eastAsia="仿宋_GB2312"/>
          <w:sz w:val="28"/>
          <w:b/>
        </w:rPr>
        <w:t>大荔县农业农村局</w:t>
      </w:r>
    </w:p>
    <w:p>
      <w:pPr>
        <w:pStyle w:val="null3"/>
        <w:jc w:val="center"/>
        <w:outlineLvl w:val="2"/>
      </w:pPr>
      <w:r>
        <w:rPr>
          <w:rFonts w:ascii="仿宋_GB2312" w:hAnsi="仿宋_GB2312" w:cs="仿宋_GB2312" w:eastAsia="仿宋_GB2312"/>
          <w:sz w:val="28"/>
          <w:b/>
        </w:rPr>
        <w:t>陕西翰林招标有限公司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陕西翰林招标有限公司</w:t>
      </w:r>
      <w:r>
        <w:rPr>
          <w:rFonts w:ascii="仿宋_GB2312" w:hAnsi="仿宋_GB2312" w:cs="仿宋_GB2312" w:eastAsia="仿宋_GB2312"/>
        </w:rPr>
        <w:t>（以下简称“代理机构”）受</w:t>
      </w:r>
      <w:r>
        <w:rPr>
          <w:rFonts w:ascii="仿宋_GB2312" w:hAnsi="仿宋_GB2312" w:cs="仿宋_GB2312" w:eastAsia="仿宋_GB2312"/>
        </w:rPr>
        <w:t>大荔县农业农村局</w:t>
      </w:r>
      <w:r>
        <w:rPr>
          <w:rFonts w:ascii="仿宋_GB2312" w:hAnsi="仿宋_GB2312" w:cs="仿宋_GB2312" w:eastAsia="仿宋_GB2312"/>
        </w:rPr>
        <w:t>委托，拟对</w:t>
      </w:r>
      <w:r>
        <w:rPr>
          <w:rFonts w:ascii="仿宋_GB2312" w:hAnsi="仿宋_GB2312" w:cs="仿宋_GB2312" w:eastAsia="仿宋_GB2312"/>
        </w:rPr>
        <w:t>大荔县沿黄公路区域人居环境整治项目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HLZB2026－125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大荔县沿黄公路区域人居环境整治项目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大荔县沿黄公路区域人居环境整治项目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采购包1（大荔县沿黄公路区域人居环境整治项目）：属于专门面向中小企业采购。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3、税收缴纳证明：提供2026年1月1日至今任意一个月已缴纳的纳税证明或完税证明（包含增值税、企业所得税、营业税至少一种）；（依法免税的供应商应提供相关文件证明）</w:t>
      </w:r>
    </w:p>
    <w:p>
      <w:pPr>
        <w:pStyle w:val="null3"/>
      </w:pPr>
      <w:r>
        <w:rPr>
          <w:rFonts w:ascii="仿宋_GB2312" w:hAnsi="仿宋_GB2312" w:cs="仿宋_GB2312" w:eastAsia="仿宋_GB2312"/>
        </w:rPr>
        <w:t>4、社会保障资金缴纳证明：提供2026年1月1日至今任意一个月的社保缴费凭据或社保机构开具的社会保险参保缴费情况证明；（依法不需要缴纳社会保障资金的供应商应提供相关证明）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5、履约能力说明：提供具有履行本合同所必需的设备和专业技术能力的说明及承诺；（提供书面说明及承诺，加盖供应商公章）</w:t>
      </w:r>
    </w:p>
    <w:p>
      <w:pPr>
        <w:pStyle w:val="null3"/>
      </w:pPr>
      <w:r>
        <w:rPr>
          <w:rFonts w:ascii="仿宋_GB2312" w:hAnsi="仿宋_GB2312" w:cs="仿宋_GB2312" w:eastAsia="仿宋_GB2312"/>
        </w:rPr>
        <w:t>6、政府采购无重大违法记录声明：提供参加政府采购活动前三年内在经营活动中没有重大违法记录的书面声明；（格式自拟，加盖供应商公章）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8、法定代表人或负责人授权委托书：被授权人参与磋商时需提供法定代表人或负责人授权委托书；（附法定代表人或负责人及被授权人身份证复印件，被授权人需为本公司人员，提供相关证明材料或承诺书）</w:t>
      </w:r>
    </w:p>
    <w:p>
      <w:pPr>
        <w:pStyle w:val="null3"/>
      </w:pPr>
      <w:r>
        <w:rPr>
          <w:rFonts w:ascii="仿宋_GB2312" w:hAnsi="仿宋_GB2312" w:cs="仿宋_GB2312" w:eastAsia="仿宋_GB2312"/>
        </w:rPr>
        <w:t>9、企业资质：供应商具有建设行政主管部门颁发的市政公用工程施工总承包三级及以上资质，具有有效的安全生产许可证；</w:t>
      </w:r>
    </w:p>
    <w:p>
      <w:pPr>
        <w:pStyle w:val="null3"/>
      </w:pPr>
      <w:r>
        <w:rPr>
          <w:rFonts w:ascii="仿宋_GB2312" w:hAnsi="仿宋_GB2312" w:cs="仿宋_GB2312" w:eastAsia="仿宋_GB2312"/>
        </w:rPr>
        <w:t>10、拟派项目经理：拟派项目经理具有有效的市政公用工程专业二级及以上注册建造师资格和有效的安全生产考核合格证书，注册在本单位且无在建项目；（提供无在建承诺书）</w:t>
      </w:r>
    </w:p>
    <w:p>
      <w:pPr>
        <w:pStyle w:val="null3"/>
      </w:pPr>
      <w:r>
        <w:rPr>
          <w:rFonts w:ascii="仿宋_GB2312" w:hAnsi="仿宋_GB2312" w:cs="仿宋_GB2312" w:eastAsia="仿宋_GB2312"/>
        </w:rPr>
        <w:t>11、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12、控股管理关系承诺：单位负责人为同一人或者存在直接控股、管理关系的不同供应商，不得参加同一合同项下的政府采购活动；（提供书面承诺函，格式自拟加盖供应商公章）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13、非联合体承诺：本项目不接受联合体磋商；（提供书面承诺函，格式自拟加盖供应商公章）</w:t>
      </w:r>
    </w:p>
    <w:p>
      <w:pPr>
        <w:pStyle w:val="null3"/>
      </w:pPr>
      <w:r>
        <w:rPr>
          <w:rFonts w:ascii="仿宋_GB2312" w:hAnsi="仿宋_GB2312" w:cs="仿宋_GB2312" w:eastAsia="仿宋_GB2312"/>
        </w:rPr>
        <w:t>14、本项目专门面向中小企业采购：本项目专门面向中小企业采购；须符合《政府采购促进中小企业发展管理办法》（财库〔2020〕46号）规定的中小企业参加。(提供《中小企业声明函》，式样见磋商文件格式)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大荔县北环路78号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陕西翰林招标有限公司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西安市雁塔区西部国际广场B座28层2803室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029-89640570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采购包1：3,885,300.00元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采购项目中标价为基数，成交单位在领取成交通知书时，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向陕西翰林招标有限公司交纳招标服务费。 2、招标代理服务费应采用转账形式交纳。 3、服务费交纳账户： 开户名称：陕西翰林招标有限公司 开户银行：中国民生银行股份有限公司西安雁塔路支行 银行账号：154810956。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大荔县农业农村局</w:t>
      </w:r>
      <w:r>
        <w:rPr>
          <w:rFonts w:ascii="仿宋_GB2312" w:hAnsi="仿宋_GB2312" w:cs="仿宋_GB2312" w:eastAsia="仿宋_GB2312"/>
        </w:rPr>
        <w:t>和</w:t>
      </w:r>
      <w:r>
        <w:rPr>
          <w:rFonts w:ascii="仿宋_GB2312" w:hAnsi="仿宋_GB2312" w:cs="仿宋_GB2312" w:eastAsia="仿宋_GB2312"/>
        </w:rPr>
        <w:t>陕西翰林招标有限公司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陕西翰林招标有限公司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陕西翰林招标有限公司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陕西翰林招标有限公司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陕西翰林招标有限公司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陕西翰林招标有限公司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联系电话：029-89640570</w:t>
      </w:r>
    </w:p>
    <w:p>
      <w:pPr>
        <w:pStyle w:val="null3"/>
      </w:pPr>
      <w:r>
        <w:rPr>
          <w:rFonts w:ascii="仿宋_GB2312" w:hAnsi="仿宋_GB2312" w:cs="仿宋_GB2312" w:eastAsia="仿宋_GB2312"/>
        </w:rPr>
        <w:t>地址：西安市雁塔区西部国际广场B座28层2803室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3,885,300.00</w:t>
      </w:r>
    </w:p>
    <w:p>
      <w:pPr>
        <w:pStyle w:val="null3"/>
      </w:pPr>
      <w:r>
        <w:rPr>
          <w:rFonts w:ascii="仿宋_GB2312" w:hAnsi="仿宋_GB2312" w:cs="仿宋_GB2312" w:eastAsia="仿宋_GB2312"/>
        </w:rPr>
        <w:t>采购包最高限价（元）: 3,885,300.00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大荔县沿黄公路区域人居环境整治项目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3,885,300.00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标的名称：大荔县沿黄公路区域人居环境整治项目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按照国家相关标准、规范执行。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满足竞争性磋商文件、工程量清单要求。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1.成交供应商拟投入的项目经理必须驻场。 2.在质保期内保证草绿树活，如有枯死及时补栽。 3.成交供应商在中标结果公告发布后 3个工作日内提供肆套纸质响应文件（经编标工具生成的文件直接打印并加盖公章），递交的纸质版文件内容确保与线上电子文件保持一致，不允许修改和补充。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监狱企业证明文件.docx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提供2026年1月1日至今任意一个月已缴纳的纳税证明或完税证明（包含增值税、企业所得税、营业税至少一种）；（依法免税的供应商应提供相关文件证明）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政府采购无重大违法记录声明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被授权人参与磋商时需提供法定代表人或负责人授权委托书；（附法定代表人或负责人及被授权人身份证复印件，被授权人需为本公司人员，提供相关证明材料或承诺书）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拟派项目经理具有有效的市政公用工程专业二级及以上注册建造师资格和有效的安全生产考核合格证书，注册在本单位且无在建项目；（提供无在建承诺书）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本项目专门面向中小企业采购；须符合《政府采购促进中小企业发展管理办法》（财库〔2020〕46号）规定的中小企业参加。(提供《中小企业声明函》，式样见磋商文件格式)</w:t>
            </w:r>
          </w:p>
        </w:tc>
        <w:tc>
          <w:tcPr>
            <w:tcW w:type="dxa" w:w="1661"/>
          </w:tcPr>
          <w:p>
            <w:pPr>
              <w:pStyle w:val="null3"/>
            </w:pPr>
            <w:r>
              <w:rPr>
                <w:rFonts w:ascii="仿宋_GB2312" w:hAnsi="仿宋_GB2312" w:cs="仿宋_GB2312" w:eastAsia="仿宋_GB2312"/>
              </w:rPr>
              <w:t>中小企业声明函.docx 监狱企业证明文件.docx 残疾人福利性单位声明函.docx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供应商磋商报价未出现选择性报价，未超出采购预算或最高限价</w:t>
            </w:r>
          </w:p>
        </w:tc>
        <w:tc>
          <w:tcPr>
            <w:tcW w:type="dxa" w:w="1661"/>
          </w:tcPr>
          <w:p>
            <w:pPr>
              <w:pStyle w:val="null3"/>
            </w:pPr>
            <w:r>
              <w:rPr>
                <w:rFonts w:ascii="仿宋_GB2312" w:hAnsi="仿宋_GB2312" w:cs="仿宋_GB2312" w:eastAsia="仿宋_GB2312"/>
              </w:rPr>
              <w:t>已标价工程量清单 已标价工程量清单.docx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满足或优于磋商文件要求</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已标价工程量清单 已标价工程量清单.docx 中小企业声明函.docx 响应文件封面.docx 拒绝政府采购领域商业贿赂承诺书.docx 响应函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施工方案，包含①主要施工工艺②施工总平面布置③施工进度计划表④施工机械设备配备计划和劳动力安排计划⑤重点难点工程分析及解决措施等。二、评审标准：提供详细、合理、科学可行的方案，方案符合本项目采购需求有针对性，以上 5 项，以序号① 、② 、③ 、④ 、⑤为项数， 内容无缺项、无漏项且无缺陷的得25分，其中每有一项内容存在缺项或漏项的扣5 分，每项内容中每有一处存在缺陷的扣 1 分，该项分值扣完为止，未提供不得分。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确保工程进度、质量的技术组织措施</w:t>
            </w:r>
          </w:p>
        </w:tc>
        <w:tc>
          <w:tcPr>
            <w:tcW w:type="dxa" w:w="2492"/>
          </w:tcPr>
          <w:p>
            <w:pPr>
              <w:pStyle w:val="null3"/>
            </w:pPr>
            <w:r>
              <w:rPr>
                <w:rFonts w:ascii="仿宋_GB2312" w:hAnsi="仿宋_GB2312" w:cs="仿宋_GB2312" w:eastAsia="仿宋_GB2312"/>
              </w:rPr>
              <w:t>一、评审内容：供应商针对本项目制定确保工程进度、质量的技术组织措施，包含①确保工程进度的技术组织措施②确保工程质量的技术组织措施； 二、评审标准：提供详细、合理、科学可行的方案，方案符合本项目采购需求有针对性，以上2项，以序号① 、②为项数，内容无缺项、无漏项且无缺陷的得 8 分，其中每有一项内容存在缺项或漏项的扣4 分，每项内容中每有一处存在缺陷的扣 1 分，该项分值扣完为止，未提供不得分。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确保工程进度、质量的技术组织措施.docx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确保安全生产及文明施工的技术组织措施</w:t>
            </w:r>
          </w:p>
        </w:tc>
        <w:tc>
          <w:tcPr>
            <w:tcW w:type="dxa" w:w="2492"/>
          </w:tcPr>
          <w:p>
            <w:pPr>
              <w:pStyle w:val="null3"/>
            </w:pPr>
            <w:r>
              <w:rPr>
                <w:rFonts w:ascii="仿宋_GB2312" w:hAnsi="仿宋_GB2312" w:cs="仿宋_GB2312" w:eastAsia="仿宋_GB2312"/>
              </w:rPr>
              <w:t>一、评审内容：针对本项目特点制定确保安全生产及文明施工的技术组织措施，包含：①确保安全生产的技术组织措施及突发事件的应急预案和措施；②确保文明施工的技术组织措施。 二、评审标准：提供详细、合理、科学可行的方案，方案符合 本项目采购需求有针对性，以上 2 项，以序号① 、②为项数， 内容无缺项、无漏项且无缺陷的得8 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确保安全生产及文明施工的技术组织措施.docx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一、评审内容：供应商提供针对本项目的管理机构，包括但不限于：①拟投入人员配备②项目管理组织架构③岗位安排及职责④人员管理制度。 二、评审标准：提供详细、合理、科学可行的方案，方案符合本项目采购需求有针对性， 以上 4 项， 以序号① 、② 、③、④为项数，内容无缺项、无漏项且无缺陷的得16分，其中每有一项内容存在缺项或漏项的扣4分，每项内容中每有一处存在缺陷的扣1分，该项分值扣完为止，未提供不得分。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一、评审内容：供应商提供针对本项目的承诺及建议，包括但不限于：①实质性承诺②合理化建议。 二、评审标准：提供详细、合理、科学可行的方案，方案符合本项目采购需求有针对性， 以上 2 项， 以序号① 、② 为项数，内容无缺项、无漏项且无缺陷的得8分，其中每有一项内容存在缺项或漏项的扣4分，每项内容中每有一处存在缺陷的扣1分，该项分值扣完为止，未提供不得分。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承诺书及建议.docx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以合同复印件形式提供供应商2023年1月1日至今类似业绩，每份计2.5分，计满5分为止。 注：供应商需提供施工合同（须含施工内容页、签字盖章页）复印件，否则业绩不予认可。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价格分采用低价优先法计算，即满足磋商文件要求且投标价格最低的磋商报价为评审基准价，其价格分为满分。其他供应商的价格得分统一按照下列公式计算： 磋商报价得分=（评审基准价/有效报价） ×价格权重（30%）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详见附件：确保工程进度、质量的技术组织措施.docx</w:t>
      </w:r>
    </w:p>
    <w:p>
      <w:pPr>
        <w:pStyle w:val="null3"/>
        <w:ind w:firstLine="960"/>
      </w:pPr>
      <w:r>
        <w:rPr>
          <w:rFonts w:ascii="仿宋_GB2312" w:hAnsi="仿宋_GB2312" w:cs="仿宋_GB2312" w:eastAsia="仿宋_GB2312"/>
        </w:rPr>
        <w:t>详见附件：确保安全生产及文明施工的技术组织措施.docx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详见附件：承诺书及建议.docx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详见附件：监狱企业证明文件.docx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详见附件：大荔县沿黄公路区域人居环境整治项目合同范本.docx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