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版本号：KY2026-1-64220260717001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咸阳市中小企业数字化转型试点城市综合服务（全流程监理服务）项目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KY2026-1-642</w:t>
      </w:r>
      <w:r>
        <w:br/>
      </w:r>
      <w:r>
        <w:br/>
      </w:r>
      <w:r>
        <w:br/>
      </w:r>
    </w:p>
    <w:p>
      <w:pPr>
        <w:pStyle w:val="null3"/>
        <w:jc w:val="center"/>
        <w:outlineLvl w:val="2"/>
      </w:pPr>
      <w:r>
        <w:rPr>
          <w:rFonts w:ascii="仿宋_GB2312" w:hAnsi="仿宋_GB2312" w:cs="仿宋_GB2312" w:eastAsia="仿宋_GB2312"/>
          <w:sz w:val="28"/>
          <w:b/>
        </w:rPr>
        <w:t>咸阳市工业和信息化局</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咸阳市工业和信息化局</w:t>
      </w:r>
      <w:r>
        <w:rPr>
          <w:rFonts w:ascii="仿宋_GB2312" w:hAnsi="仿宋_GB2312" w:cs="仿宋_GB2312" w:eastAsia="仿宋_GB2312"/>
        </w:rPr>
        <w:t>委托，拟对</w:t>
      </w:r>
      <w:r>
        <w:rPr>
          <w:rFonts w:ascii="仿宋_GB2312" w:hAnsi="仿宋_GB2312" w:cs="仿宋_GB2312" w:eastAsia="仿宋_GB2312"/>
        </w:rPr>
        <w:t>咸阳市中小企业数字化转型试点城市综合服务（全流程监理服务）项目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KY2026-1-642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咸阳市中小企业数字化转型试点城市综合服务（全流程监理服务）项目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咸阳市中小企业数字化转型试点城市综合服务（全流程监理服务）项目，1项，具体内容详见招标文件第三部分。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的至少一个月的依法缴纳税款的相关凭据（时间以税款所属日期为准），凭据应有税务机关或代收机关的公章或业务专用章。依法免税或无须缴纳税款的投标人，应提供相应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 ：法定代表人授权书及被授权人身份证明。（法定代表人直接投标只须提供其身份证明）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咸阳市工业和信息化局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陕西省咸阳市秦都区金华路1号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029-32086694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温虎、丁嘉伟、刘金柯、吕江涛、卢韶华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成交服务费，参照“国家计委关于印发《招标代理服务收费管理暂行办法的通知》（计价格[2002]1980号）”及“《国家发展改革委关于降低部分建设项目收费标准规范收费行为等有关问题的通知》（发改价格[2011]534号）”规定收费标准计取。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咸阳市工业和信息化局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咸阳市工业和信息化局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咸阳市工业和信息化局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联系人：温虎、丁嘉伟</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咸阳市中小企业数字化转型试点城市综合服务（全流程监理服务）项目，1项，具体内容详见服务内容及服务要求。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3,900,000.00</w:t>
      </w:r>
    </w:p>
    <w:p>
      <w:pPr>
        <w:pStyle w:val="null3"/>
      </w:pPr>
      <w:r>
        <w:rPr>
          <w:rFonts w:ascii="仿宋_GB2312" w:hAnsi="仿宋_GB2312" w:cs="仿宋_GB2312" w:eastAsia="仿宋_GB2312"/>
        </w:rPr>
        <w:t>采购包最高限价（元）: 3,900,000.00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咸阳市中小企业数字化转型试点城市综合服务（全流程监理服务）项目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标的名称：咸阳市中小企业数字化转型试点城市综合服务（全流程监理服务）项目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为落实</w:t>
            </w:r>
            <w:r>
              <w:rPr>
                <w:rFonts w:ascii="仿宋_GB2312" w:hAnsi="仿宋_GB2312" w:cs="仿宋_GB2312" w:eastAsia="仿宋_GB2312"/>
                <w:sz w:val="24"/>
              </w:rPr>
              <w:t>“一企一档”全流程监管，强化成效评估，拟聘请第三方专业机构独立、公正开展全流程综合监理。采取科学的监督管理措施和评价方法，对试点企业数字化转型前、改造中、改造后各阶段实施全流程管理和指导服务，强化质量、进度、投资、合同、信息 “五控管理”。确保改造全过程科学规范、有序进行，支撑主管部门完成申报方案中提出的390家企业改造工作目标，改造结果符合国家相关部门要求的等级评测标准和实施效果评估。为每家试点企业建立“一企一档”全流程工作档案资料，建立数字化转型改造进度工作明细台账，保证数据实时可查可用，对整体工作实施情况进行总结，形成390 份《数字化转型改造质量监督报告》、《试点企业数字化转型全流程监督报告》《试点企业数字化转型全流程监督月报》，最终出具一份关于本次数字化转型《咸阳市中小企业数字化转型全流程服务工作总结报告》。</w:t>
            </w:r>
            <w:r>
              <w:rPr>
                <w:rFonts w:ascii="仿宋_GB2312" w:hAnsi="仿宋_GB2312" w:cs="仿宋_GB2312" w:eastAsia="仿宋_GB2312"/>
                <w:sz w:val="24"/>
              </w:rPr>
              <w:t>对咸阳市中小企业数字化转型公共服务平台建设及数据资源建设一体化服务提供全过程监理服务。</w:t>
            </w:r>
          </w:p>
          <w:p>
            <w:pPr>
              <w:pStyle w:val="null3"/>
              <w:jc w:val="both"/>
            </w:pPr>
            <w:r>
              <w:rPr>
                <w:rFonts w:ascii="仿宋_GB2312" w:hAnsi="仿宋_GB2312" w:cs="仿宋_GB2312" w:eastAsia="仿宋_GB2312"/>
                <w:sz w:val="24"/>
                <w:b/>
              </w:rPr>
              <w:t>二、服务标准及要求</w:t>
            </w:r>
          </w:p>
          <w:p>
            <w:pPr>
              <w:pStyle w:val="null3"/>
              <w:ind w:firstLine="480"/>
              <w:jc w:val="both"/>
            </w:pPr>
            <w:r>
              <w:rPr>
                <w:rFonts w:ascii="仿宋_GB2312" w:hAnsi="仿宋_GB2312" w:cs="仿宋_GB2312" w:eastAsia="仿宋_GB2312"/>
                <w:sz w:val="24"/>
              </w:rPr>
              <w:t>1、全流程监管服务主要参照标准。主要应参照《财政部工业和信息化部关于开展中小企业数字化转型城市试点工作的通知》（财建〔2023〕117号），《中小企业数字化转型试点城市试点企业数字化水平评测指南（2024年版）》《中小企业数字化水平评测指标（2024年版）》等标准文件，为企业提供全流程监管服务。</w:t>
            </w:r>
          </w:p>
          <w:p>
            <w:pPr>
              <w:pStyle w:val="null3"/>
              <w:ind w:firstLine="480"/>
              <w:jc w:val="both"/>
            </w:pPr>
            <w:r>
              <w:rPr>
                <w:rFonts w:ascii="仿宋_GB2312" w:hAnsi="仿宋_GB2312" w:cs="仿宋_GB2312" w:eastAsia="仿宋_GB2312"/>
                <w:sz w:val="24"/>
              </w:rPr>
              <w:t>2、主要服务内容</w:t>
            </w:r>
            <w:r>
              <w:rPr>
                <w:rFonts w:ascii="仿宋_GB2312" w:hAnsi="仿宋_GB2312" w:cs="仿宋_GB2312" w:eastAsia="仿宋_GB2312"/>
                <w:sz w:val="24"/>
              </w:rPr>
              <w:t>。应组织专业人员依据企业或服务商通过</w:t>
            </w:r>
            <w:r>
              <w:rPr>
                <w:rFonts w:ascii="仿宋_GB2312" w:hAnsi="仿宋_GB2312" w:cs="仿宋_GB2312" w:eastAsia="仿宋_GB2312"/>
                <w:sz w:val="24"/>
              </w:rPr>
              <w:t>“咸阳市中小企业数字化转型公共服务平台”提交的相关材料，进行可行性及合规性审核，对于企业是否有资格纳入本次数字化转型项目，进行最初的判定；</w:t>
            </w:r>
            <w:r>
              <w:rPr>
                <w:rFonts w:ascii="仿宋_GB2312" w:hAnsi="仿宋_GB2312" w:cs="仿宋_GB2312" w:eastAsia="仿宋_GB2312"/>
                <w:sz w:val="24"/>
              </w:rPr>
              <w:t>对于纳入企业与服务商提交的合同</w:t>
            </w:r>
            <w:r>
              <w:rPr>
                <w:rFonts w:ascii="仿宋_GB2312" w:hAnsi="仿宋_GB2312" w:cs="仿宋_GB2312" w:eastAsia="仿宋_GB2312"/>
                <w:sz w:val="24"/>
              </w:rPr>
              <w:t>、</w:t>
            </w:r>
            <w:r>
              <w:rPr>
                <w:rFonts w:ascii="仿宋_GB2312" w:hAnsi="仿宋_GB2312" w:cs="仿宋_GB2312" w:eastAsia="仿宋_GB2312"/>
                <w:sz w:val="24"/>
              </w:rPr>
              <w:t>诊改方案，进行合理性及有效性检查；对于实施改造过程中的企业，需赴企业现场（不少于</w:t>
            </w:r>
            <w:r>
              <w:rPr>
                <w:rFonts w:ascii="仿宋_GB2312" w:hAnsi="仿宋_GB2312" w:cs="仿宋_GB2312" w:eastAsia="仿宋_GB2312"/>
                <w:sz w:val="24"/>
              </w:rPr>
              <w:t>2次/企业）开展项目实施真实性查验工作；对于已竣工企业最终验收环节，应联合改造服务商、试点企业一同对改造内容进行初验，初验通过后与验收专家组一同入企验收，对验收结果及成效进行监管；对于企业端提出的奖补资金申请，需配合工信局、会计师事务所对金额及票据的真实性进行监督和查验。</w:t>
            </w:r>
            <w:r>
              <w:rPr>
                <w:rFonts w:ascii="仿宋_GB2312" w:hAnsi="仿宋_GB2312" w:cs="仿宋_GB2312" w:eastAsia="仿宋_GB2312"/>
                <w:sz w:val="24"/>
              </w:rPr>
              <w:t>对咸阳市中小企业数字化转型公共服务平台建设及数据资源建设一体化服务提供全过程监理服务。</w:t>
            </w:r>
          </w:p>
          <w:p>
            <w:pPr>
              <w:pStyle w:val="null3"/>
              <w:ind w:firstLine="480"/>
              <w:jc w:val="both"/>
            </w:pPr>
            <w:r>
              <w:rPr>
                <w:rFonts w:ascii="仿宋_GB2312" w:hAnsi="仿宋_GB2312" w:cs="仿宋_GB2312" w:eastAsia="仿宋_GB2312"/>
                <w:sz w:val="24"/>
              </w:rPr>
              <w:t>3、明确监管流程。在全流程监管服务计划中明确监管流程，监管流程遵循合规原则，但不得缺少以下步骤：审核企业准入资质、审核数字化诊断报告、审核数字化改造合同、开展入企监督、及时督办纠偏、形成监督月报、项目竣工结项评估、项目跟踪整改、建立“一企一档”、配合“回头看”查验等，每个企业形成数字化转型改造质量监督报告。</w:t>
            </w:r>
          </w:p>
          <w:p>
            <w:pPr>
              <w:pStyle w:val="null3"/>
              <w:ind w:firstLine="480"/>
              <w:jc w:val="both"/>
            </w:pPr>
            <w:r>
              <w:rPr>
                <w:rFonts w:ascii="仿宋_GB2312" w:hAnsi="仿宋_GB2312" w:cs="仿宋_GB2312" w:eastAsia="仿宋_GB2312"/>
                <w:sz w:val="24"/>
              </w:rPr>
              <w:t>4、全流程监管报告。全流程监管服务期间，应按照工信局要求，对服务企业的过程进度及时上报，并负责编制《试点企业数字化转型全流程监督报告》、《试点企业数字化转型全流程监督月报》和《中小企业数字化转型全流程服务工作总结报告》。</w:t>
            </w:r>
          </w:p>
          <w:p>
            <w:pPr>
              <w:pStyle w:val="null3"/>
              <w:ind w:firstLine="480"/>
              <w:jc w:val="both"/>
            </w:pPr>
            <w:r>
              <w:rPr>
                <w:rFonts w:ascii="仿宋_GB2312" w:hAnsi="仿宋_GB2312" w:cs="仿宋_GB2312" w:eastAsia="仿宋_GB2312"/>
                <w:sz w:val="24"/>
              </w:rPr>
              <w:t>5、团队要求：项目承担单位投入的服务人员不少于5人（服务团队由总监理工程师牵头，且具备信息</w:t>
            </w:r>
            <w:r>
              <w:rPr>
                <w:rFonts w:ascii="仿宋_GB2312" w:hAnsi="仿宋_GB2312" w:cs="仿宋_GB2312" w:eastAsia="仿宋_GB2312"/>
                <w:sz w:val="24"/>
              </w:rPr>
              <w:t>系统</w:t>
            </w:r>
            <w:r>
              <w:rPr>
                <w:rFonts w:ascii="仿宋_GB2312" w:hAnsi="仿宋_GB2312" w:cs="仿宋_GB2312" w:eastAsia="仿宋_GB2312"/>
                <w:sz w:val="24"/>
              </w:rPr>
              <w:t>监理师资质</w:t>
            </w:r>
            <w:r>
              <w:rPr>
                <w:rFonts w:ascii="仿宋_GB2312" w:hAnsi="仿宋_GB2312" w:cs="仿宋_GB2312" w:eastAsia="仿宋_GB2312"/>
                <w:sz w:val="24"/>
              </w:rPr>
              <w:t>，</w:t>
            </w:r>
            <w:r>
              <w:rPr>
                <w:rFonts w:ascii="仿宋_GB2312" w:hAnsi="仿宋_GB2312" w:cs="仿宋_GB2312" w:eastAsia="仿宋_GB2312"/>
                <w:sz w:val="24"/>
              </w:rPr>
              <w:t>联合行业专家组构成），应全面熟悉国家、省市关于中小企业数字化转型相关政策文件，并在中小企业数字化、信息化改造方面有丰富的实践经验；服务团队需确保成员数量充足、专业能力突出，人员配置合理，能够为本项目提供强有力的支撑，切实保障服务成果的高质量实施。</w:t>
            </w:r>
          </w:p>
          <w:p>
            <w:pPr>
              <w:pStyle w:val="null3"/>
              <w:jc w:val="both"/>
            </w:pPr>
            <w:r>
              <w:rPr>
                <w:rFonts w:ascii="仿宋_GB2312" w:hAnsi="仿宋_GB2312" w:cs="仿宋_GB2312" w:eastAsia="仿宋_GB2312"/>
                <w:sz w:val="24"/>
              </w:rPr>
              <w:t xml:space="preserve">  6、保密要求：建立严格的保密制度，要求相关人员（签订保密承诺书），明确其对全流程服务工作中收集的各类文档、资料、数据及相关信息承担保密责任和法律责任。承诺未经书面许可，绝不以任何形式将相关材料泄露给任何个人、单位、团体、公司及其他组织；未经书面审核批准，不得将相关材料用于任何宣传活动或商业事项；对于企业数据，未经企业书面授权，同样不得擅自用于任何宣传或商业用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合同签订之日起至甲方验收结束。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咸阳市工业和信息化局指定地点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预付款，合同签订后，甲方按照财务制度，达到付款条件起10个工作日内，支付合同总金额的40.0%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进度款，工信部、财政部中期考核后，甲方按照财务制度，达到付款条件起10个工作日内，支付合同总金额的30.0%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其他，服务内容完成并甲方验收通过后，甲方按照财务制度，达到付款条件起10个工作日内，支付合同总金额的30.0%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结果发布后，中标（成交）供应商在2个工作日内向采购代理机构提供一正二副（和上传文件保持一致的）、电子版一份（U盘壹份注明单位名称）,纸质投标（响应）文件用于备案及档案保存。纸质响应文件正副本分别胶装（纸质响应文件建议采用双面打印）。如需邮寄标书，仅接受顺丰速运（联系人：温虎、联系电话：029-81206622-820）。 2、采购人应按照采购文件和中标人投标文件，在中标通知书发出之日起25日内签订合同。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提供2025年7月至今已缴纳的至少一个月的依法缴纳税款的相关凭据（时间以税款所属日期为准），凭据应有税务机关或代收机关的公章或业务专用章。依法免税或无须缴纳税款的投标人，应提供相应证明文件。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投标函 投标人资格证明文件.docx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开标一览表 投标方案说明-11组织协调管理制度.docx 投标方案说明-10合同管理的方法和措施.docx 投标方案说明-8安全控制的方法和措施.docx 投标方案说明-13拟派本项目总监理工程师.docx 商务条款响应说明.docx 投标方案说明-12企业实力.docx 投标方案说明-15业绩.docx 投标方案说明-1项目理解.docx 投标方案说明-4进度控制措施.docx 分项报价表.docx 投标方案说明-14监理人员配备.docx 投标函 标的清单 投标人资格证明文件.docx 服务内容及服务要求应答表.docx 投标文件封面 投标方案说明-7变更控制的方法和措施.docx 投标方案说明-6投资控制措施.docx 投标人承诺书.docx 投标方案说明-2整体监理实施方案.docx 投标方案说明-9信息文档管理的方法和措施.docx 投标方案说明-3质量控制措施.docx 投标方案说明-5项目团队.docx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投标方案说明-11组织协调管理制度.docx 投标方案说明-10合同管理的方法和措施.docx 投标方案说明-8安全控制的方法和措施.docx 投标方案说明-13拟派本项目总监理工程师.docx 商务条款响应说明.docx 投标方案说明-12企业实力.docx 投标方案说明-15业绩.docx 投标方案说明-1项目理解.docx 投标方案说明-4进度控制措施.docx 分项报价表.docx 投标方案说明-14监理人员配备.docx 投标函 标的清单 投标人资格证明文件.docx 投标文件封面 服务内容及服务要求应答表.docx 投标方案说明-7变更控制的方法和措施.docx 投标方案说明-6投资控制措施.docx 投标人承诺书.docx 投标方案说明-2整体监理实施方案.docx 投标方案说明-9信息文档管理的方法和措施.docx 投标方案说明-3质量控制措施.docx 投标方案说明-5项目团队.docx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投标人提出针对本项目的整体理解思路及建议，内容包括但不限于：①项目监理服务分析、②重难点部位分析及解决措施。 评审标准各项内容全面详细、阐述条理清晰，难点部位分析准确、解决措施内容科学合理，符合本项目采购要求，能有效保障本项目实施计4分，每有一项缺项扣2分，每有一项内容存在一处缺陷扣0.5分,扣完为止。 备注：评审标准“缺陷”是指：内容粗略、逻辑混乱、描述过于简单、与项目特点不匹配、凭空编造、逻辑漏洞、出现常识性错误、存在不适用项目实际情况的情形或只有标题没有实质性内容等。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投标方案说明-1项目理解.docx</w:t>
            </w:r>
          </w:p>
        </w:tc>
      </w:tr>
      <w:tr>
        <w:tc>
          <w:tcPr>
            <w:tcW w:type="dxa" w:w="831"/>
            <w:vMerge/>
          </w:tcPr>
          <w:p/>
        </w:tc>
        <w:tc>
          <w:tcPr>
            <w:tcW w:type="dxa" w:w="1661"/>
          </w:tcPr>
          <w:p>
            <w:pPr>
              <w:pStyle w:val="null3"/>
            </w:pPr>
            <w:r>
              <w:rPr>
                <w:rFonts w:ascii="仿宋_GB2312" w:hAnsi="仿宋_GB2312" w:cs="仿宋_GB2312" w:eastAsia="仿宋_GB2312"/>
              </w:rPr>
              <w:t>整体监理实施方案</w:t>
            </w:r>
          </w:p>
        </w:tc>
        <w:tc>
          <w:tcPr>
            <w:tcW w:type="dxa" w:w="2492"/>
          </w:tcPr>
          <w:p>
            <w:pPr>
              <w:pStyle w:val="null3"/>
            </w:pPr>
            <w:r>
              <w:rPr>
                <w:rFonts w:ascii="仿宋_GB2312" w:hAnsi="仿宋_GB2312" w:cs="仿宋_GB2312" w:eastAsia="仿宋_GB2312"/>
              </w:rPr>
              <w:t>投标人对本项目采购需求有充分理解与认识，提供明确齐全、科学合理的监理实施方案，内容包含但不限于：①监理工作目标、②工作程序、③工作制度等。 评审标准：整体监理实施方案各部分内容全面完整，工作目标明确、工作程序科学合理、工作制度齐全，阐述条理清晰详尽、符合本项目采购需求计6分，每缺少一项内容扣2分，每有一项内容存在一处缺陷扣0.5分，扣完为止。 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投标方案说明-2整体监理实施方案.docx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投标人针对本项目提供目标明确、合理可行的质量保障措施，内容包括但不限于：①质量目标、②质量保证措施等。 评审标准：质量保障措施各部分内容完善、目标明确、措施合理、可行，阐述条理清晰详尽、符合本项目采购需求计4分，每缺一项内容扣2分，每有一项内容存在一处缺陷扣0.5分，扣完为止。 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投标方案说明-3质量控制措施.docx</w:t>
            </w:r>
          </w:p>
        </w:tc>
      </w:tr>
      <w:tr>
        <w:tc>
          <w:tcPr>
            <w:tcW w:type="dxa" w:w="831"/>
            <w:vMerge/>
          </w:tcPr>
          <w:p/>
        </w:tc>
        <w:tc>
          <w:tcPr>
            <w:tcW w:type="dxa" w:w="1661"/>
          </w:tcPr>
          <w:p>
            <w:pPr>
              <w:pStyle w:val="null3"/>
            </w:pPr>
            <w:r>
              <w:rPr>
                <w:rFonts w:ascii="仿宋_GB2312" w:hAnsi="仿宋_GB2312" w:cs="仿宋_GB2312" w:eastAsia="仿宋_GB2312"/>
              </w:rPr>
              <w:t>进度控制措施</w:t>
            </w:r>
          </w:p>
        </w:tc>
        <w:tc>
          <w:tcPr>
            <w:tcW w:type="dxa" w:w="2492"/>
          </w:tcPr>
          <w:p>
            <w:pPr>
              <w:pStyle w:val="null3"/>
            </w:pPr>
            <w:r>
              <w:rPr>
                <w:rFonts w:ascii="仿宋_GB2312" w:hAnsi="仿宋_GB2312" w:cs="仿宋_GB2312" w:eastAsia="仿宋_GB2312"/>
              </w:rPr>
              <w:t>投标人针对本项目提供完善明确、合理可行的进度控制措施，内容包括但不限于：①工期目标、②进度保证措施、③工期优化和补救措施等。 评审标准：进度控制措施各部分内容完善、目标明确、措施合理、可行，阐述条理清晰详尽、符合本项目采购需求计3分，每缺一项内容扣1分，每有一项内容存在一处缺陷扣0.5分，扣完为止。 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投标方案说明-4进度控制措施.docx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投标人针对本项目提供服务人员的配备情况，内容包括但不限于：①拟投入的服务团队人员结构；②人员职责与明确分工；③人员专业性及工作经验、④人员管理制度。 评审标准：项目团队配置各部分内容全面详细、阐述条理清晰详尽、符合本项目采购需求计4分，每缺一项内容扣1分，每有一项内容存在一处缺陷扣0.5分，扣完为止。 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投标方案说明-5项目团队.docx</w:t>
            </w:r>
          </w:p>
        </w:tc>
      </w:tr>
      <w:tr>
        <w:tc>
          <w:tcPr>
            <w:tcW w:type="dxa" w:w="831"/>
            <w:vMerge/>
          </w:tcPr>
          <w:p/>
        </w:tc>
        <w:tc>
          <w:tcPr>
            <w:tcW w:type="dxa" w:w="1661"/>
          </w:tcPr>
          <w:p>
            <w:pPr>
              <w:pStyle w:val="null3"/>
            </w:pPr>
            <w:r>
              <w:rPr>
                <w:rFonts w:ascii="仿宋_GB2312" w:hAnsi="仿宋_GB2312" w:cs="仿宋_GB2312" w:eastAsia="仿宋_GB2312"/>
              </w:rPr>
              <w:t>投资控制措施</w:t>
            </w:r>
          </w:p>
        </w:tc>
        <w:tc>
          <w:tcPr>
            <w:tcW w:type="dxa" w:w="2492"/>
          </w:tcPr>
          <w:p>
            <w:pPr>
              <w:pStyle w:val="null3"/>
            </w:pPr>
            <w:r>
              <w:rPr>
                <w:rFonts w:ascii="仿宋_GB2312" w:hAnsi="仿宋_GB2312" w:cs="仿宋_GB2312" w:eastAsia="仿宋_GB2312"/>
              </w:rPr>
              <w:t>投标人针对本项目提供完善明确、合理可行的投资控制措施，内容包括但不限于：①投资控制措施、②造价风险分析、③防索赔措施等。 评审标准：投资控制措施各部分内容完善、目标明确、措施合理、可行，阐述条理清晰详尽、符合本项目采购需求计3分，每缺一项内容扣1分，每有一项内容存在一处缺陷扣0.5分，扣完为止。 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投标方案说明-6投资控制措施.docx</w:t>
            </w:r>
          </w:p>
        </w:tc>
      </w:tr>
      <w:tr>
        <w:tc>
          <w:tcPr>
            <w:tcW w:type="dxa" w:w="831"/>
            <w:vMerge/>
          </w:tcPr>
          <w:p/>
        </w:tc>
        <w:tc>
          <w:tcPr>
            <w:tcW w:type="dxa" w:w="1661"/>
          </w:tcPr>
          <w:p>
            <w:pPr>
              <w:pStyle w:val="null3"/>
            </w:pPr>
            <w:r>
              <w:rPr>
                <w:rFonts w:ascii="仿宋_GB2312" w:hAnsi="仿宋_GB2312" w:cs="仿宋_GB2312" w:eastAsia="仿宋_GB2312"/>
              </w:rPr>
              <w:t>变更控制的方法和措施</w:t>
            </w:r>
          </w:p>
        </w:tc>
        <w:tc>
          <w:tcPr>
            <w:tcW w:type="dxa" w:w="2492"/>
          </w:tcPr>
          <w:p>
            <w:pPr>
              <w:pStyle w:val="null3"/>
            </w:pPr>
            <w:r>
              <w:rPr>
                <w:rFonts w:ascii="仿宋_GB2312" w:hAnsi="仿宋_GB2312" w:cs="仿宋_GB2312" w:eastAsia="仿宋_GB2312"/>
              </w:rPr>
              <w:t>投标人提出针对本项目的变更控制的方法和措施，项目变更控制的方法和措施合理可行，流程规范。包括工程变更、需求变更、设计变更、费用变更等，由专人负责，具有相应的措施等，确保项目变更的必要性、可行性、合理性、科学性。 评审标准：内容全面详细、阐述条理清晰、符合本项目采购要求，能有效保障本项目实施计3分，内容存在缺陷扣0.5分，扣完为止。 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投标方案说明-7变更控制的方法和措施.docx</w:t>
            </w:r>
          </w:p>
        </w:tc>
      </w:tr>
      <w:tr>
        <w:tc>
          <w:tcPr>
            <w:tcW w:type="dxa" w:w="831"/>
            <w:vMerge/>
          </w:tcPr>
          <w:p/>
        </w:tc>
        <w:tc>
          <w:tcPr>
            <w:tcW w:type="dxa" w:w="1661"/>
          </w:tcPr>
          <w:p>
            <w:pPr>
              <w:pStyle w:val="null3"/>
            </w:pPr>
            <w:r>
              <w:rPr>
                <w:rFonts w:ascii="仿宋_GB2312" w:hAnsi="仿宋_GB2312" w:cs="仿宋_GB2312" w:eastAsia="仿宋_GB2312"/>
              </w:rPr>
              <w:t>安全控制的方法和措施</w:t>
            </w:r>
          </w:p>
        </w:tc>
        <w:tc>
          <w:tcPr>
            <w:tcW w:type="dxa" w:w="2492"/>
          </w:tcPr>
          <w:p>
            <w:pPr>
              <w:pStyle w:val="null3"/>
            </w:pPr>
            <w:r>
              <w:rPr>
                <w:rFonts w:ascii="仿宋_GB2312" w:hAnsi="仿宋_GB2312" w:cs="仿宋_GB2312" w:eastAsia="仿宋_GB2312"/>
              </w:rPr>
              <w:t>投标人提出针对本项目的安全控制的方法和措施，项目信息安全和施工安全控制措施满足项目要求和信息安全标准，符合项目特点。 评审标准：内容全面详细、阐述条理清晰、符合本项目采购要求，能有效保障本项目实施计3分，内容存在缺陷扣0.5分，扣完为止。 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投标方案说明-8安全控制的方法和措施.docx</w:t>
            </w:r>
          </w:p>
        </w:tc>
      </w:tr>
      <w:tr>
        <w:tc>
          <w:tcPr>
            <w:tcW w:type="dxa" w:w="831"/>
            <w:vMerge/>
          </w:tcPr>
          <w:p/>
        </w:tc>
        <w:tc>
          <w:tcPr>
            <w:tcW w:type="dxa" w:w="1661"/>
          </w:tcPr>
          <w:p>
            <w:pPr>
              <w:pStyle w:val="null3"/>
            </w:pPr>
            <w:r>
              <w:rPr>
                <w:rFonts w:ascii="仿宋_GB2312" w:hAnsi="仿宋_GB2312" w:cs="仿宋_GB2312" w:eastAsia="仿宋_GB2312"/>
              </w:rPr>
              <w:t>信息文档管理的方法和措施</w:t>
            </w:r>
          </w:p>
        </w:tc>
        <w:tc>
          <w:tcPr>
            <w:tcW w:type="dxa" w:w="2492"/>
          </w:tcPr>
          <w:p>
            <w:pPr>
              <w:pStyle w:val="null3"/>
            </w:pPr>
            <w:r>
              <w:rPr>
                <w:rFonts w:ascii="仿宋_GB2312" w:hAnsi="仿宋_GB2312" w:cs="仿宋_GB2312" w:eastAsia="仿宋_GB2312"/>
              </w:rPr>
              <w:t>投标人提出针对本项目的信息文档管理的方法和措施，信息文档管理的内容完整、明确；方法和措施、流程合理可行，符合项目特点，满足后期项目运行维护和项目审计的需要。 评审标准：内容全面详细、阐述条理清晰、符合本项目采购要求，能有效保障本项目实施计3分，内容存在缺陷扣0.5分，扣完为止。 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投标方案说明-9信息文档管理的方法和措施.docx</w:t>
            </w:r>
          </w:p>
        </w:tc>
      </w:tr>
      <w:tr>
        <w:tc>
          <w:tcPr>
            <w:tcW w:type="dxa" w:w="831"/>
            <w:vMerge/>
          </w:tcPr>
          <w:p/>
        </w:tc>
        <w:tc>
          <w:tcPr>
            <w:tcW w:type="dxa" w:w="1661"/>
          </w:tcPr>
          <w:p>
            <w:pPr>
              <w:pStyle w:val="null3"/>
            </w:pPr>
            <w:r>
              <w:rPr>
                <w:rFonts w:ascii="仿宋_GB2312" w:hAnsi="仿宋_GB2312" w:cs="仿宋_GB2312" w:eastAsia="仿宋_GB2312"/>
              </w:rPr>
              <w:t>合同管理的方法和措施</w:t>
            </w:r>
          </w:p>
        </w:tc>
        <w:tc>
          <w:tcPr>
            <w:tcW w:type="dxa" w:w="2492"/>
          </w:tcPr>
          <w:p>
            <w:pPr>
              <w:pStyle w:val="null3"/>
            </w:pPr>
            <w:r>
              <w:rPr>
                <w:rFonts w:ascii="仿宋_GB2312" w:hAnsi="仿宋_GB2312" w:cs="仿宋_GB2312" w:eastAsia="仿宋_GB2312"/>
              </w:rPr>
              <w:t>投标人提出针对本项目的合同管理的方法和措施，合同管理的内容完整、明确；方法和措施、流程合理可行，符合项目特点，满足后期项目运行维护和项目审计的需要。 评审标准：内容全面详细、阐述条理清晰、符合本项目采购要求，能有效保障本项目实施计3分，内容存在缺陷扣0.5分，扣完为止。 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投标方案说明-10合同管理的方法和措施.docx</w:t>
            </w:r>
          </w:p>
        </w:tc>
      </w:tr>
      <w:tr>
        <w:tc>
          <w:tcPr>
            <w:tcW w:type="dxa" w:w="831"/>
            <w:vMerge/>
          </w:tcPr>
          <w:p/>
        </w:tc>
        <w:tc>
          <w:tcPr>
            <w:tcW w:type="dxa" w:w="1661"/>
          </w:tcPr>
          <w:p>
            <w:pPr>
              <w:pStyle w:val="null3"/>
            </w:pPr>
            <w:r>
              <w:rPr>
                <w:rFonts w:ascii="仿宋_GB2312" w:hAnsi="仿宋_GB2312" w:cs="仿宋_GB2312" w:eastAsia="仿宋_GB2312"/>
              </w:rPr>
              <w:t>组织协调管理制度</w:t>
            </w:r>
          </w:p>
        </w:tc>
        <w:tc>
          <w:tcPr>
            <w:tcW w:type="dxa" w:w="2492"/>
          </w:tcPr>
          <w:p>
            <w:pPr>
              <w:pStyle w:val="null3"/>
            </w:pPr>
            <w:r>
              <w:rPr>
                <w:rFonts w:ascii="仿宋_GB2312" w:hAnsi="仿宋_GB2312" w:cs="仿宋_GB2312" w:eastAsia="仿宋_GB2312"/>
              </w:rPr>
              <w:t>投标人针对本项目提供施工中各种矛盾组织协调及保修阶段的服务工作，包括但不限于：①矛盾分析及化解措施、②完整的保修阶段监理服务工作计划等。 评审标准：各部分内容完善、目标明确、措施合理、可行，阐述条理清晰详尽、符合本项目采购需求计4分，每缺一项内容扣2分，每有一项内容存在一处缺陷扣0.5分，扣完为止。 注：评审标准“缺陷”是指：内容粗略、逻辑混乱、描述过于简单、与项目特点不匹配、凭空编造、逻辑漏洞、出现常识性错误、存在不适用项目实际情况的情形或只有标题没有实质性内容等。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投标方案说明-11组织协调管理制度.docx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1、具有中国电子企业协会颁发的信息系统工程监理服务标准贯标证书乙级及以上计5分； 2、投标人具有ITSS信息技术服务咨询设计标准符合性证书的，计2分； 3、投标人具有ITSS信息技术服务运行维护标准符合性证书的，计2分； 4、投标人具有ISO9001质量管理体系认证证书且认证范围包含有关信息系统工程咨询、监理服务，计2分； 5、投标人具有ISO27001信息安全管理体系认证证书且认证范围包含有关信息工程咨询、监理服务，计2分； 6、投标人具有ISO20000信息技术服务管理体系认证证书且认证范围包含有关信息工程咨询、监理服务，计2分； 7、投标人具有ISO14001环境管理体系认证证书且认证范围包含有关信息工程咨询、监理服务，计1分； 8、投标人具有ISO45001职业健康安全管理体系认证证书且认证范围包含有关信息工程咨询、监理服务，计1分； 9、投标人具有软件造价评估机构服务能力等级证书，计1分 注：提供相关材料扫描件并加盖投标人公章。未提供不计分。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投标方案说明-12企业实力.docx</w:t>
            </w:r>
          </w:p>
        </w:tc>
      </w:tr>
      <w:tr>
        <w:tc>
          <w:tcPr>
            <w:tcW w:type="dxa" w:w="831"/>
            <w:vMerge/>
          </w:tcPr>
          <w:p/>
        </w:tc>
        <w:tc>
          <w:tcPr>
            <w:tcW w:type="dxa" w:w="1661"/>
          </w:tcPr>
          <w:p>
            <w:pPr>
              <w:pStyle w:val="null3"/>
            </w:pPr>
            <w:r>
              <w:rPr>
                <w:rFonts w:ascii="仿宋_GB2312" w:hAnsi="仿宋_GB2312" w:cs="仿宋_GB2312" w:eastAsia="仿宋_GB2312"/>
              </w:rPr>
              <w:t>拟派本项目总监理工程师</w:t>
            </w:r>
          </w:p>
        </w:tc>
        <w:tc>
          <w:tcPr>
            <w:tcW w:type="dxa" w:w="2492"/>
          </w:tcPr>
          <w:p>
            <w:pPr>
              <w:pStyle w:val="null3"/>
            </w:pPr>
            <w:r>
              <w:rPr>
                <w:rFonts w:ascii="仿宋_GB2312" w:hAnsi="仿宋_GB2312" w:cs="仿宋_GB2312" w:eastAsia="仿宋_GB2312"/>
              </w:rPr>
              <w:t>1、拟派总监理工程师按以下具体要求得分： （1）具有信息系统监理师中级及以上证书计2分； （2）具有信息系统项目管理师证书（高级）计2分； 注： 需提供相应的资格证书复印件及在本单位缴纳的近半年内任意一个月社保证明或本单位在职证明（须加盖单位公章）。未提供不计分。 2、提供拟派总监理工程师2021年1月1日至今参与的类似项目业绩，每提供1份计1分，最高3分。 注： ①需提供项目合同或协议的关键页（包括但不限于合同首尾页、项目内容页，签字盖章页，签订日期页）扫描件，加盖公章，未提供或复印件模糊不清、无法辨析的不得分。 ②业绩证明材料须体现总监理工程师姓名，可与企业业绩重复。</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投标方案说明-13拟派本项目总监理工程师.docx</w:t>
            </w:r>
          </w:p>
        </w:tc>
      </w:tr>
      <w:tr>
        <w:tc>
          <w:tcPr>
            <w:tcW w:type="dxa" w:w="831"/>
            <w:vMerge/>
          </w:tcPr>
          <w:p/>
        </w:tc>
        <w:tc>
          <w:tcPr>
            <w:tcW w:type="dxa" w:w="1661"/>
          </w:tcPr>
          <w:p>
            <w:pPr>
              <w:pStyle w:val="null3"/>
            </w:pPr>
            <w:r>
              <w:rPr>
                <w:rFonts w:ascii="仿宋_GB2312" w:hAnsi="仿宋_GB2312" w:cs="仿宋_GB2312" w:eastAsia="仿宋_GB2312"/>
              </w:rPr>
              <w:t>监理人员配备</w:t>
            </w:r>
          </w:p>
        </w:tc>
        <w:tc>
          <w:tcPr>
            <w:tcW w:type="dxa" w:w="2492"/>
          </w:tcPr>
          <w:p>
            <w:pPr>
              <w:pStyle w:val="null3"/>
            </w:pPr>
            <w:r>
              <w:rPr>
                <w:rFonts w:ascii="仿宋_GB2312" w:hAnsi="仿宋_GB2312" w:cs="仿宋_GB2312" w:eastAsia="仿宋_GB2312"/>
              </w:rPr>
              <w:t>投标人拟派本项目人员团队中（除项目总监理工程师外）具有以下资格证书的，每具备一个按以下具体要求计分，最高计17分。 1、具有信息系统监理师中级及以上证书，每有1人计2分，最高8分； 2、具有软件工程造价师证书，每有1人计2分，最高4分，没有不得分； 3、具有软件造价评估师证书，每有1人计2分，最高2分； 4、具有网络工程师证书，每有1人计2分，最高2分 5、具有系统集成项目管理工程师，每有1人计1分，最高1分。 注：需提供相应的资格证书复印件及在本单位缴纳的近半年内任意一个月社保证明或本单位在职证明（须加盖单位公章）。未提供不计分。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投标方案说明-14监理人员配备.docx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投标人提供2023年1月1日至今（以合同签订时间为准）类似项目业绩，每提供1份计2分，最高8分。 注：需提供项目合同或协议的关键页（包括但不限于合同首尾页、项目内容页，签字盖章页，签订日期页）扫描件，加盖公章，未提供或复印件模糊不清、无法辨析的不得分。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投标方案说明-15业绩.docx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详见附件：投标方案说明-1项目理解.docx</w:t>
      </w:r>
    </w:p>
    <w:p>
      <w:pPr>
        <w:pStyle w:val="null3"/>
        <w:ind w:firstLine="960"/>
      </w:pPr>
      <w:r>
        <w:rPr>
          <w:rFonts w:ascii="仿宋_GB2312" w:hAnsi="仿宋_GB2312" w:cs="仿宋_GB2312" w:eastAsia="仿宋_GB2312"/>
        </w:rPr>
        <w:t>详见附件：投标方案说明-2整体监理实施方案.docx</w:t>
      </w:r>
    </w:p>
    <w:p>
      <w:pPr>
        <w:pStyle w:val="null3"/>
        <w:ind w:firstLine="960"/>
      </w:pPr>
      <w:r>
        <w:rPr>
          <w:rFonts w:ascii="仿宋_GB2312" w:hAnsi="仿宋_GB2312" w:cs="仿宋_GB2312" w:eastAsia="仿宋_GB2312"/>
        </w:rPr>
        <w:t>详见附件：投标方案说明-3质量控制措施.docx</w:t>
      </w:r>
    </w:p>
    <w:p>
      <w:pPr>
        <w:pStyle w:val="null3"/>
        <w:ind w:firstLine="960"/>
      </w:pPr>
      <w:r>
        <w:rPr>
          <w:rFonts w:ascii="仿宋_GB2312" w:hAnsi="仿宋_GB2312" w:cs="仿宋_GB2312" w:eastAsia="仿宋_GB2312"/>
        </w:rPr>
        <w:t>详见附件：投标方案说明-4进度控制措施.docx</w:t>
      </w:r>
    </w:p>
    <w:p>
      <w:pPr>
        <w:pStyle w:val="null3"/>
        <w:ind w:firstLine="960"/>
      </w:pPr>
      <w:r>
        <w:rPr>
          <w:rFonts w:ascii="仿宋_GB2312" w:hAnsi="仿宋_GB2312" w:cs="仿宋_GB2312" w:eastAsia="仿宋_GB2312"/>
        </w:rPr>
        <w:t>详见附件：投标方案说明-5项目团队.docx</w:t>
      </w:r>
    </w:p>
    <w:p>
      <w:pPr>
        <w:pStyle w:val="null3"/>
        <w:ind w:firstLine="960"/>
      </w:pPr>
      <w:r>
        <w:rPr>
          <w:rFonts w:ascii="仿宋_GB2312" w:hAnsi="仿宋_GB2312" w:cs="仿宋_GB2312" w:eastAsia="仿宋_GB2312"/>
        </w:rPr>
        <w:t>详见附件：投标方案说明-6投资控制措施.docx</w:t>
      </w:r>
    </w:p>
    <w:p>
      <w:pPr>
        <w:pStyle w:val="null3"/>
        <w:ind w:firstLine="960"/>
      </w:pPr>
      <w:r>
        <w:rPr>
          <w:rFonts w:ascii="仿宋_GB2312" w:hAnsi="仿宋_GB2312" w:cs="仿宋_GB2312" w:eastAsia="仿宋_GB2312"/>
        </w:rPr>
        <w:t>详见附件：投标方案说明-7变更控制的方法和措施.docx</w:t>
      </w:r>
    </w:p>
    <w:p>
      <w:pPr>
        <w:pStyle w:val="null3"/>
        <w:ind w:firstLine="960"/>
      </w:pPr>
      <w:r>
        <w:rPr>
          <w:rFonts w:ascii="仿宋_GB2312" w:hAnsi="仿宋_GB2312" w:cs="仿宋_GB2312" w:eastAsia="仿宋_GB2312"/>
        </w:rPr>
        <w:t>详见附件：投标方案说明-8安全控制的方法和措施.docx</w:t>
      </w:r>
    </w:p>
    <w:p>
      <w:pPr>
        <w:pStyle w:val="null3"/>
        <w:ind w:firstLine="960"/>
      </w:pPr>
      <w:r>
        <w:rPr>
          <w:rFonts w:ascii="仿宋_GB2312" w:hAnsi="仿宋_GB2312" w:cs="仿宋_GB2312" w:eastAsia="仿宋_GB2312"/>
        </w:rPr>
        <w:t>详见附件：投标方案说明-9信息文档管理的方法和措施.docx</w:t>
      </w:r>
    </w:p>
    <w:p>
      <w:pPr>
        <w:pStyle w:val="null3"/>
        <w:ind w:firstLine="960"/>
      </w:pPr>
      <w:r>
        <w:rPr>
          <w:rFonts w:ascii="仿宋_GB2312" w:hAnsi="仿宋_GB2312" w:cs="仿宋_GB2312" w:eastAsia="仿宋_GB2312"/>
        </w:rPr>
        <w:t>详见附件：投标方案说明-10合同管理的方法和措施.docx</w:t>
      </w:r>
    </w:p>
    <w:p>
      <w:pPr>
        <w:pStyle w:val="null3"/>
        <w:ind w:firstLine="960"/>
      </w:pPr>
      <w:r>
        <w:rPr>
          <w:rFonts w:ascii="仿宋_GB2312" w:hAnsi="仿宋_GB2312" w:cs="仿宋_GB2312" w:eastAsia="仿宋_GB2312"/>
        </w:rPr>
        <w:t>详见附件：投标方案说明-11组织协调管理制度.docx</w:t>
      </w:r>
    </w:p>
    <w:p>
      <w:pPr>
        <w:pStyle w:val="null3"/>
        <w:ind w:firstLine="960"/>
      </w:pPr>
      <w:r>
        <w:rPr>
          <w:rFonts w:ascii="仿宋_GB2312" w:hAnsi="仿宋_GB2312" w:cs="仿宋_GB2312" w:eastAsia="仿宋_GB2312"/>
        </w:rPr>
        <w:t>详见附件：投标方案说明-12企业实力.docx</w:t>
      </w:r>
    </w:p>
    <w:p>
      <w:pPr>
        <w:pStyle w:val="null3"/>
        <w:ind w:firstLine="960"/>
      </w:pPr>
      <w:r>
        <w:rPr>
          <w:rFonts w:ascii="仿宋_GB2312" w:hAnsi="仿宋_GB2312" w:cs="仿宋_GB2312" w:eastAsia="仿宋_GB2312"/>
        </w:rPr>
        <w:t>详见附件：投标方案说明-13拟派本项目总监理工程师.docx</w:t>
      </w:r>
    </w:p>
    <w:p>
      <w:pPr>
        <w:pStyle w:val="null3"/>
        <w:ind w:firstLine="960"/>
      </w:pPr>
      <w:r>
        <w:rPr>
          <w:rFonts w:ascii="仿宋_GB2312" w:hAnsi="仿宋_GB2312" w:cs="仿宋_GB2312" w:eastAsia="仿宋_GB2312"/>
        </w:rPr>
        <w:t>详见附件：投标方案说明-14监理人员配备.docx</w:t>
      </w:r>
    </w:p>
    <w:p>
      <w:pPr>
        <w:pStyle w:val="null3"/>
        <w:ind w:firstLine="960"/>
      </w:pPr>
      <w:r>
        <w:rPr>
          <w:rFonts w:ascii="仿宋_GB2312" w:hAnsi="仿宋_GB2312" w:cs="仿宋_GB2312" w:eastAsia="仿宋_GB2312"/>
        </w:rPr>
        <w:t>详见附件：投标方案说明-15业绩.docx</w:t>
      </w:r>
    </w:p>
    <w:p>
      <w:pPr>
        <w:pStyle w:val="null3"/>
        <w:ind w:firstLine="960"/>
      </w:pPr>
      <w:r>
        <w:rPr>
          <w:rFonts w:ascii="仿宋_GB2312" w:hAnsi="仿宋_GB2312" w:cs="仿宋_GB2312" w:eastAsia="仿宋_GB2312"/>
        </w:rPr>
        <w:t>详见附件：投标人承诺书.docx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