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809A7">
      <w:pPr>
        <w:pStyle w:val="2"/>
        <w:pageBreakBefore w:val="0"/>
        <w:overflowPunct/>
        <w:topLinePunct w:val="0"/>
        <w:bidi w:val="0"/>
        <w:spacing w:beforeAutospacing="0" w:afterAutospacing="0" w:line="460" w:lineRule="exact"/>
        <w:ind w:left="0" w:leftChars="0" w:right="0" w:rightChars="0" w:firstLine="0" w:firstLineChars="0"/>
        <w:jc w:val="center"/>
        <w:rPr>
          <w:rFonts w:hint="default"/>
          <w:sz w:val="36"/>
          <w:szCs w:val="36"/>
          <w:highlight w:val="none"/>
        </w:rPr>
      </w:pPr>
      <w:r>
        <w:rPr>
          <w:sz w:val="36"/>
          <w:szCs w:val="36"/>
          <w:highlight w:val="none"/>
        </w:rPr>
        <w:t>拟签订</w:t>
      </w:r>
      <w:bookmarkStart w:id="0" w:name="_GoBack"/>
      <w:bookmarkEnd w:id="0"/>
      <w:r>
        <w:rPr>
          <w:sz w:val="36"/>
          <w:szCs w:val="36"/>
          <w:highlight w:val="none"/>
        </w:rPr>
        <w:t>合同主要条款</w:t>
      </w:r>
    </w:p>
    <w:p w14:paraId="6544FBE4">
      <w:pPr>
        <w:pageBreakBefore w:val="0"/>
        <w:overflowPunct/>
        <w:topLinePunct w:val="0"/>
        <w:bidi w:val="0"/>
        <w:spacing w:beforeAutospacing="0" w:afterAutospacing="0" w:line="460" w:lineRule="exact"/>
        <w:ind w:right="0" w:rightChars="0"/>
        <w:jc w:val="center"/>
        <w:rPr>
          <w:rFonts w:hint="eastAsia" w:ascii="Times New Roman" w:hAnsi="Times New Roman" w:eastAsia="仿宋" w:cs="Times New Roman"/>
          <w:kern w:val="0"/>
          <w:sz w:val="20"/>
          <w:szCs w:val="20"/>
          <w:highlight w:val="none"/>
          <w:lang w:val="en-US" w:eastAsia="zh-CN" w:bidi="ar"/>
        </w:rPr>
      </w:pPr>
      <w:r>
        <w:rPr>
          <w:rFonts w:hint="eastAsia" w:ascii="Times New Roman" w:hAnsi="Times New Roman" w:eastAsia="仿宋" w:cs="Times New Roman"/>
          <w:kern w:val="0"/>
          <w:sz w:val="20"/>
          <w:szCs w:val="20"/>
          <w:highlight w:val="none"/>
          <w:lang w:val="en-US" w:eastAsia="zh-CN" w:bidi="ar"/>
        </w:rPr>
        <w:t>（本合同为合同样稿，最终稿由双方协商后确定）</w:t>
      </w:r>
    </w:p>
    <w:p w14:paraId="79351448">
      <w:pPr>
        <w:spacing w:line="360" w:lineRule="auto"/>
        <w:ind w:firstLine="482" w:firstLineChars="200"/>
        <w:rPr>
          <w:rFonts w:hint="eastAsia" w:ascii="宋体" w:hAnsi="宋体" w:eastAsia="宋体" w:cs="宋体"/>
          <w:color w:val="auto"/>
          <w:sz w:val="24"/>
          <w:highlight w:val="none"/>
        </w:rPr>
      </w:pPr>
      <w:r>
        <w:rPr>
          <w:rFonts w:hint="eastAsia" w:ascii="仿宋" w:hAnsi="仿宋" w:eastAsia="仿宋" w:cs="仿宋"/>
          <w:b/>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（以下简称甲方）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采购，在</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的监督管理下，由</w:t>
      </w:r>
      <w:r>
        <w:rPr>
          <w:rFonts w:hint="eastAsia" w:ascii="宋体" w:hAnsi="宋体" w:eastAsia="宋体" w:cs="宋体"/>
          <w:color w:val="auto"/>
          <w:sz w:val="24"/>
          <w:highlight w:val="none"/>
          <w:u w:val="single"/>
        </w:rPr>
        <w:t>陕西开源招标有限公司</w:t>
      </w:r>
      <w:r>
        <w:rPr>
          <w:rFonts w:hint="eastAsia" w:ascii="宋体" w:hAnsi="宋体" w:eastAsia="宋体" w:cs="宋体"/>
          <w:color w:val="auto"/>
          <w:sz w:val="24"/>
          <w:highlight w:val="none"/>
        </w:rPr>
        <w:t>组织采购，选定</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(以下简称乙方）为该项目成交供应商。</w:t>
      </w:r>
      <w:r>
        <w:rPr>
          <w:rFonts w:hint="eastAsia" w:ascii="宋体" w:hAnsi="宋体" w:eastAsia="宋体" w:cs="宋体"/>
          <w:color w:val="auto"/>
          <w:sz w:val="24"/>
          <w:highlight w:val="none"/>
          <w:lang w:val="en-US" w:eastAsia="zh-CN"/>
        </w:rPr>
        <w:t>根据</w:t>
      </w:r>
      <w:r>
        <w:rPr>
          <w:rFonts w:hint="eastAsia" w:ascii="宋体" w:hAnsi="宋体" w:eastAsia="宋体" w:cs="宋体"/>
          <w:color w:val="auto"/>
          <w:sz w:val="24"/>
          <w:highlight w:val="none"/>
        </w:rPr>
        <w:t>《中华人民共和国民法典》和《中华人民共和国政府采购法》，经甲、乙双方共同协商，按下述条款和条件签署本合同。</w:t>
      </w:r>
    </w:p>
    <w:p w14:paraId="3E7FA88D">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一、合同内容</w:t>
      </w:r>
    </w:p>
    <w:p w14:paraId="34348FD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乙方负责按照合同确定的服务内容及</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标准进行服务，确保</w:t>
      </w:r>
      <w:r>
        <w:rPr>
          <w:rFonts w:hint="eastAsia" w:ascii="宋体" w:hAnsi="宋体" w:eastAsia="宋体" w:cs="宋体"/>
          <w:color w:val="auto"/>
          <w:sz w:val="24"/>
          <w:highlight w:val="none"/>
          <w:lang w:val="en-US" w:eastAsia="zh-CN"/>
        </w:rPr>
        <w:t>项目实施进度及服务质量</w:t>
      </w:r>
      <w:r>
        <w:rPr>
          <w:rFonts w:hint="eastAsia" w:ascii="宋体" w:hAnsi="宋体" w:eastAsia="宋体" w:cs="宋体"/>
          <w:color w:val="auto"/>
          <w:sz w:val="24"/>
          <w:highlight w:val="none"/>
        </w:rPr>
        <w:t>。</w:t>
      </w:r>
    </w:p>
    <w:p w14:paraId="3B47E4D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二、合同价格</w:t>
      </w:r>
    </w:p>
    <w:p w14:paraId="468740D1">
      <w:pPr>
        <w:spacing w:line="4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w:t>
      </w:r>
      <w:r>
        <w:rPr>
          <w:rFonts w:hint="eastAsia" w:ascii="宋体" w:hAnsi="宋体" w:eastAsia="宋体" w:cs="宋体"/>
          <w:color w:val="auto"/>
          <w:sz w:val="24"/>
          <w:highlight w:val="none"/>
          <w:lang w:val="en-US" w:eastAsia="zh-CN"/>
        </w:rPr>
        <w:t>价格</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人民币       元整（¥         元） </w:t>
      </w:r>
    </w:p>
    <w:p w14:paraId="7831B48C">
      <w:pPr>
        <w:spacing w:line="4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72F2E1BF">
      <w:pPr>
        <w:numPr>
          <w:ilvl w:val="0"/>
          <w:numId w:val="1"/>
        </w:numPr>
        <w:spacing w:line="460" w:lineRule="exact"/>
        <w:ind w:left="360" w:leftChars="0" w:firstLine="28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w:t>
      </w:r>
      <w:r>
        <w:rPr>
          <w:rFonts w:hint="eastAsia" w:ascii="宋体" w:hAnsi="宋体" w:eastAsia="宋体" w:cs="宋体"/>
          <w:color w:val="auto"/>
          <w:sz w:val="24"/>
          <w:highlight w:val="none"/>
          <w:lang w:val="en-US" w:eastAsia="zh-CN"/>
        </w:rPr>
        <w:t>价格</w:t>
      </w:r>
      <w:r>
        <w:rPr>
          <w:rFonts w:hint="eastAsia" w:ascii="宋体" w:hAnsi="宋体" w:eastAsia="宋体" w:cs="宋体"/>
          <w:color w:val="auto"/>
          <w:sz w:val="24"/>
          <w:highlight w:val="none"/>
        </w:rPr>
        <w:t>包含项目报价、其他费用及应缴纳的全部税款等费用</w:t>
      </w:r>
      <w:r>
        <w:rPr>
          <w:rFonts w:hint="eastAsia" w:ascii="宋体" w:hAnsi="宋体" w:eastAsia="宋体" w:cs="宋体"/>
          <w:color w:val="auto"/>
          <w:sz w:val="24"/>
          <w:highlight w:val="none"/>
          <w:lang w:eastAsia="zh-CN"/>
        </w:rPr>
        <w:t>；</w:t>
      </w:r>
    </w:p>
    <w:p w14:paraId="2108F60B">
      <w:pPr>
        <w:numPr>
          <w:ilvl w:val="0"/>
          <w:numId w:val="1"/>
        </w:numPr>
        <w:spacing w:line="460" w:lineRule="exact"/>
        <w:ind w:left="360" w:leftChars="0" w:firstLine="28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w:t>
      </w:r>
      <w:r>
        <w:rPr>
          <w:rFonts w:hint="eastAsia" w:ascii="宋体" w:hAnsi="宋体" w:eastAsia="宋体" w:cs="宋体"/>
          <w:color w:val="auto"/>
          <w:sz w:val="24"/>
          <w:highlight w:val="none"/>
          <w:lang w:val="en-US" w:eastAsia="zh-CN"/>
        </w:rPr>
        <w:t>价格</w:t>
      </w:r>
      <w:r>
        <w:rPr>
          <w:rFonts w:hint="eastAsia" w:ascii="宋体" w:hAnsi="宋体" w:eastAsia="宋体" w:cs="宋体"/>
          <w:color w:val="auto"/>
          <w:sz w:val="24"/>
          <w:highlight w:val="none"/>
        </w:rPr>
        <w:t>一次包死，不受市场价格变化的影响，并作为结算的唯一依据。</w:t>
      </w:r>
    </w:p>
    <w:p w14:paraId="7B900E10">
      <w:pPr>
        <w:spacing w:line="5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三、合同款项支付</w:t>
      </w:r>
    </w:p>
    <w:p w14:paraId="7108629B">
      <w:pPr>
        <w:tabs>
          <w:tab w:val="left" w:pos="840"/>
        </w:tabs>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（一）结算单位：采购人结算，在付款前，必须开具等额发票给采购人。</w:t>
      </w:r>
    </w:p>
    <w:p w14:paraId="580AD24A">
      <w:pPr>
        <w:tabs>
          <w:tab w:val="left" w:pos="840"/>
        </w:tabs>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（二）付款方式：</w:t>
      </w:r>
      <w:r>
        <w:rPr>
          <w:rFonts w:hint="eastAsia" w:ascii="宋体" w:hAnsi="宋体" w:eastAsia="宋体" w:cs="宋体"/>
          <w:color w:val="auto"/>
          <w:sz w:val="24"/>
          <w:highlight w:val="none"/>
          <w:lang w:val="en-US" w:eastAsia="zh-CN"/>
        </w:rPr>
        <w:t xml:space="preserve"> </w:t>
      </w:r>
    </w:p>
    <w:p w14:paraId="68FE28A7">
      <w:pPr>
        <w:tabs>
          <w:tab w:val="left" w:pos="840"/>
        </w:tabs>
        <w:spacing w:line="50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合同签订后，达到付款条件10个工作日后，甲方按照财务制度支付合同总额40%款项；</w:t>
      </w:r>
    </w:p>
    <w:p w14:paraId="10B6EEB7">
      <w:pPr>
        <w:tabs>
          <w:tab w:val="left" w:pos="840"/>
        </w:tabs>
        <w:spacing w:line="50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（2）工信部、财政部中期考核后，达到付款条件10个工作日后，甲方按照财务制度支付合同总额30%款项；</w:t>
      </w:r>
    </w:p>
    <w:p w14:paraId="7381073D">
      <w:pPr>
        <w:tabs>
          <w:tab w:val="left" w:pos="840"/>
        </w:tabs>
        <w:spacing w:line="50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（3）服务内容完成并甲方验收通过后，达到付款条件10个工作日后，甲方按照财务制度支付合同总额30%款项；</w:t>
      </w:r>
    </w:p>
    <w:p w14:paraId="46B1E1C5">
      <w:pPr>
        <w:keepNext w:val="0"/>
        <w:keepLines w:val="0"/>
        <w:pageBreakBefore w:val="0"/>
        <w:widowControl w:val="0"/>
        <w:kinsoku/>
        <w:wordWrap/>
        <w:overflowPunct/>
        <w:topLinePunct w:val="0"/>
        <w:bidi w:val="0"/>
        <w:spacing w:line="460" w:lineRule="exact"/>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四、履约保证金</w:t>
      </w:r>
    </w:p>
    <w:p w14:paraId="40EB7299">
      <w:pPr>
        <w:pStyle w:val="4"/>
        <w:spacing w:line="42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（一）是否</w:t>
      </w:r>
      <w:r>
        <w:rPr>
          <w:rFonts w:hint="eastAsia" w:ascii="宋体" w:hAnsi="宋体" w:eastAsia="宋体" w:cs="宋体"/>
          <w:color w:val="auto"/>
          <w:sz w:val="24"/>
          <w:szCs w:val="24"/>
          <w:highlight w:val="none"/>
        </w:rPr>
        <w:t>要求提供履约保证金：</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是/</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hAnsi="宋体" w:eastAsia="宋体" w:cs="宋体"/>
          <w:color w:val="auto"/>
          <w:sz w:val="24"/>
          <w:szCs w:val="24"/>
          <w:highlight w:val="none"/>
          <w:lang w:eastAsia="zh-CN"/>
        </w:rPr>
        <w:instrText xml:space="preserve">,</w:instrText>
      </w:r>
      <w:r>
        <w:rPr>
          <w:rFonts w:hint="eastAsia" w:hAnsi="宋体" w:eastAsia="宋体" w:cs="宋体"/>
          <w:color w:val="auto"/>
          <w:position w:val="2"/>
          <w:sz w:val="16"/>
          <w:szCs w:val="24"/>
          <w:highlight w:val="none"/>
          <w:lang w:eastAsia="zh-CN"/>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p w14:paraId="4D3121DC">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五</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项目实施</w:t>
      </w:r>
      <w:r>
        <w:rPr>
          <w:rFonts w:hint="eastAsia" w:ascii="宋体" w:hAnsi="宋体" w:eastAsia="宋体" w:cs="宋体"/>
          <w:b/>
          <w:color w:val="auto"/>
          <w:sz w:val="24"/>
          <w:highlight w:val="none"/>
        </w:rPr>
        <w:t>条件</w:t>
      </w:r>
    </w:p>
    <w:p w14:paraId="032F25FE">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（一）</w:t>
      </w:r>
      <w:r>
        <w:rPr>
          <w:rFonts w:hint="eastAsia" w:ascii="宋体" w:hAnsi="宋体" w:eastAsia="宋体" w:cs="宋体"/>
          <w:color w:val="auto"/>
          <w:sz w:val="24"/>
          <w:highlight w:val="none"/>
          <w:lang w:val="en-US" w:eastAsia="zh-CN"/>
        </w:rPr>
        <w:t>服务地点</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咸阳市工业和信息化局</w:t>
      </w:r>
      <w:r>
        <w:rPr>
          <w:rFonts w:hint="eastAsia" w:ascii="宋体" w:hAnsi="宋体" w:eastAsia="宋体" w:cs="宋体"/>
          <w:color w:val="auto"/>
          <w:sz w:val="24"/>
          <w:highlight w:val="none"/>
        </w:rPr>
        <w:t>指定</w:t>
      </w:r>
      <w:r>
        <w:rPr>
          <w:rFonts w:hint="eastAsia" w:ascii="宋体" w:hAnsi="宋体" w:eastAsia="宋体" w:cs="宋体"/>
          <w:color w:val="auto"/>
          <w:sz w:val="24"/>
          <w:highlight w:val="none"/>
          <w:lang w:val="en-US" w:eastAsia="zh-CN"/>
        </w:rPr>
        <w:t>地点</w:t>
      </w:r>
      <w:r>
        <w:rPr>
          <w:rFonts w:hint="eastAsia" w:ascii="宋体" w:hAnsi="宋体" w:eastAsia="宋体" w:cs="宋体"/>
          <w:color w:val="auto"/>
          <w:sz w:val="24"/>
          <w:highlight w:val="none"/>
          <w:lang w:eastAsia="zh-CN"/>
        </w:rPr>
        <w:t>。</w:t>
      </w:r>
    </w:p>
    <w:p w14:paraId="3B6A9F2C">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（二）</w:t>
      </w:r>
      <w:r>
        <w:rPr>
          <w:rFonts w:hint="eastAsia" w:ascii="宋体" w:hAnsi="宋体" w:eastAsia="宋体" w:cs="宋体"/>
          <w:color w:val="auto"/>
          <w:sz w:val="24"/>
          <w:highlight w:val="none"/>
          <w:lang w:val="en-US" w:eastAsia="zh-CN"/>
        </w:rPr>
        <w:t>服务期限</w:t>
      </w:r>
      <w:r>
        <w:rPr>
          <w:rFonts w:hint="eastAsia" w:ascii="宋体" w:hAnsi="宋体" w:eastAsia="宋体" w:cs="宋体"/>
          <w:color w:val="auto"/>
          <w:sz w:val="24"/>
          <w:highlight w:val="none"/>
        </w:rPr>
        <w:t>：合同签订之日起至甲方验收结束</w:t>
      </w:r>
      <w:r>
        <w:rPr>
          <w:rFonts w:hint="eastAsia" w:cs="宋体"/>
          <w:b w:val="0"/>
          <w:bCs w:val="0"/>
          <w:color w:val="000000" w:themeColor="text1"/>
          <w:sz w:val="24"/>
          <w:szCs w:val="24"/>
          <w:highlight w:val="none"/>
          <w:lang w:val="en-US" w:eastAsia="zh-CN"/>
          <w14:textFill>
            <w14:solidFill>
              <w14:schemeClr w14:val="tx1"/>
            </w14:solidFill>
          </w14:textFill>
        </w:rPr>
        <w:t>。</w:t>
      </w:r>
    </w:p>
    <w:p w14:paraId="68D298D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六</w:t>
      </w:r>
      <w:r>
        <w:rPr>
          <w:rFonts w:hint="eastAsia" w:ascii="宋体" w:hAnsi="宋体" w:eastAsia="宋体" w:cs="宋体"/>
          <w:b/>
          <w:color w:val="auto"/>
          <w:sz w:val="24"/>
          <w:highlight w:val="none"/>
        </w:rPr>
        <w:t>、质量保证</w:t>
      </w:r>
    </w:p>
    <w:p w14:paraId="44A4BC78">
      <w:pPr>
        <w:tabs>
          <w:tab w:val="left" w:pos="426"/>
          <w:tab w:val="left" w:pos="709"/>
        </w:tabs>
        <w:spacing w:line="500" w:lineRule="exact"/>
        <w:ind w:firstLine="480" w:firstLineChars="200"/>
        <w:jc w:val="left"/>
        <w:rPr>
          <w:rFonts w:hint="eastAsia" w:ascii="宋体" w:hAnsi="宋体" w:eastAsia="宋体" w:cs="宋体"/>
          <w:b/>
          <w:color w:val="auto"/>
          <w:sz w:val="24"/>
          <w:highlight w:val="none"/>
        </w:rPr>
      </w:pPr>
      <w:r>
        <w:rPr>
          <w:rFonts w:hint="eastAsia" w:ascii="宋体" w:hAnsi="宋体" w:eastAsia="宋体" w:cs="宋体"/>
          <w:color w:val="auto"/>
          <w:sz w:val="24"/>
          <w:highlight w:val="none"/>
        </w:rPr>
        <w:t>（一）乙方应当保证</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质量完全符合合同规定的要求，并对</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质量问题负责。</w:t>
      </w:r>
    </w:p>
    <w:p w14:paraId="798051D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（二）如因</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质量不明确而对</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造成损失的，甲方将保留依法索赔的权利。</w:t>
      </w:r>
    </w:p>
    <w:p w14:paraId="6A7287E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（三）甲方有权对该</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进行验收，其主要的</w:t>
      </w:r>
      <w:r>
        <w:rPr>
          <w:rFonts w:hint="eastAsia" w:ascii="宋体" w:hAnsi="宋体" w:eastAsia="宋体" w:cs="宋体"/>
          <w:color w:val="auto"/>
          <w:sz w:val="24"/>
          <w:highlight w:val="none"/>
          <w:lang w:val="en-US" w:eastAsia="zh-CN"/>
        </w:rPr>
        <w:t>服务内容及要求</w:t>
      </w:r>
      <w:r>
        <w:rPr>
          <w:rFonts w:hint="eastAsia" w:ascii="宋体" w:hAnsi="宋体" w:eastAsia="宋体" w:cs="宋体"/>
          <w:color w:val="auto"/>
          <w:sz w:val="24"/>
          <w:highlight w:val="none"/>
        </w:rPr>
        <w:t>达不到标准时，甲方有权依据有关法律索赔。</w:t>
      </w:r>
    </w:p>
    <w:p w14:paraId="5FBB9B0C">
      <w:pPr>
        <w:spacing w:after="0" w:line="500" w:lineRule="exact"/>
        <w:jc w:val="left"/>
        <w:rPr>
          <w:rFonts w:hint="eastAsia" w:ascii="宋体" w:hAnsi="宋体"/>
          <w:b/>
          <w:sz w:val="24"/>
        </w:rPr>
      </w:pPr>
      <w:r>
        <w:rPr>
          <w:rFonts w:hint="eastAsia" w:ascii="宋体" w:hAnsi="宋体"/>
          <w:b/>
          <w:sz w:val="24"/>
        </w:rPr>
        <w:t>七、双方的权利义务</w:t>
      </w:r>
    </w:p>
    <w:p w14:paraId="6E523CB1">
      <w:pPr>
        <w:spacing w:after="0" w:line="500" w:lineRule="exact"/>
        <w:ind w:firstLine="480" w:firstLineChars="200"/>
        <w:jc w:val="left"/>
        <w:rPr>
          <w:rFonts w:hint="eastAsia" w:ascii="宋体" w:hAnsi="宋体"/>
          <w:sz w:val="24"/>
        </w:rPr>
      </w:pPr>
      <w:r>
        <w:rPr>
          <w:rFonts w:hint="eastAsia" w:ascii="宋体" w:hAnsi="宋体"/>
          <w:sz w:val="24"/>
        </w:rPr>
        <w:t>（一）甲方的权利和义务</w:t>
      </w:r>
    </w:p>
    <w:p w14:paraId="2BEDBA85">
      <w:pPr>
        <w:spacing w:after="0" w:line="500" w:lineRule="exact"/>
        <w:ind w:firstLine="480" w:firstLineChars="200"/>
        <w:jc w:val="left"/>
        <w:rPr>
          <w:rFonts w:hint="eastAsia" w:ascii="宋体" w:hAnsi="宋体"/>
          <w:sz w:val="24"/>
        </w:rPr>
      </w:pPr>
      <w:r>
        <w:rPr>
          <w:rFonts w:hint="eastAsia" w:ascii="宋体" w:hAnsi="宋体"/>
          <w:sz w:val="24"/>
        </w:rPr>
        <w:t>1.甲方有权指派专门人员或者单位对乙方的工作进行全程监督管理；</w:t>
      </w:r>
    </w:p>
    <w:p w14:paraId="0A2AF0D3">
      <w:pPr>
        <w:spacing w:after="0" w:line="500" w:lineRule="exact"/>
        <w:ind w:firstLine="480" w:firstLineChars="200"/>
        <w:jc w:val="left"/>
        <w:rPr>
          <w:rFonts w:hint="eastAsia" w:ascii="宋体" w:hAnsi="宋体"/>
          <w:sz w:val="24"/>
        </w:rPr>
      </w:pPr>
      <w:r>
        <w:rPr>
          <w:rFonts w:hint="eastAsia" w:ascii="宋体" w:hAnsi="宋体"/>
          <w:sz w:val="24"/>
        </w:rPr>
        <w:t>2.甲方应按合同约定向乙方支付服务费用。如乙方服务未达到合同要求，甲方有权拒付未达到要求部分的款项；</w:t>
      </w:r>
    </w:p>
    <w:p w14:paraId="23A9F45C">
      <w:pPr>
        <w:spacing w:after="0" w:line="500" w:lineRule="exact"/>
        <w:ind w:firstLine="480" w:firstLineChars="200"/>
        <w:jc w:val="left"/>
        <w:rPr>
          <w:rFonts w:hint="eastAsia" w:ascii="宋体" w:hAnsi="宋体"/>
          <w:sz w:val="24"/>
        </w:rPr>
      </w:pPr>
      <w:r>
        <w:rPr>
          <w:rFonts w:hint="eastAsia" w:ascii="宋体" w:hAnsi="宋体"/>
          <w:sz w:val="24"/>
        </w:rPr>
        <w:t>3.甲方有权要求乙方提供与相关服务内容有关的相关信息；</w:t>
      </w:r>
    </w:p>
    <w:p w14:paraId="68A395E7">
      <w:pPr>
        <w:spacing w:after="0" w:line="500" w:lineRule="exact"/>
        <w:ind w:firstLine="480" w:firstLineChars="200"/>
        <w:jc w:val="left"/>
        <w:rPr>
          <w:rFonts w:hint="eastAsia" w:ascii="宋体" w:hAnsi="宋体"/>
          <w:sz w:val="24"/>
        </w:rPr>
      </w:pPr>
      <w:r>
        <w:rPr>
          <w:rFonts w:hint="eastAsia" w:ascii="宋体" w:hAnsi="宋体"/>
          <w:sz w:val="24"/>
        </w:rPr>
        <w:t>4.甲方有权得到符合合同要求的所有服务；</w:t>
      </w:r>
    </w:p>
    <w:p w14:paraId="571973D3">
      <w:pPr>
        <w:spacing w:after="0" w:line="500" w:lineRule="exact"/>
        <w:ind w:firstLine="480" w:firstLineChars="200"/>
        <w:jc w:val="left"/>
        <w:rPr>
          <w:rFonts w:hint="eastAsia" w:ascii="宋体" w:hAnsi="宋体"/>
          <w:sz w:val="24"/>
        </w:rPr>
      </w:pPr>
      <w:r>
        <w:rPr>
          <w:rFonts w:hint="eastAsia" w:ascii="宋体" w:hAnsi="宋体"/>
          <w:sz w:val="24"/>
        </w:rPr>
        <w:t>5.乙方完成所有协议约定内容后，甲方根据项目实施情况出具的客观公正的书面用户验收意见。</w:t>
      </w:r>
    </w:p>
    <w:p w14:paraId="035E9052">
      <w:pPr>
        <w:spacing w:after="0" w:line="500" w:lineRule="exact"/>
        <w:ind w:firstLine="480" w:firstLineChars="200"/>
        <w:jc w:val="left"/>
        <w:rPr>
          <w:rFonts w:hint="eastAsia" w:ascii="宋体" w:hAnsi="宋体"/>
          <w:sz w:val="24"/>
        </w:rPr>
      </w:pPr>
      <w:r>
        <w:rPr>
          <w:rFonts w:hint="eastAsia" w:ascii="宋体" w:hAnsi="宋体"/>
          <w:sz w:val="24"/>
        </w:rPr>
        <w:t>（二）乙方的权利和义务</w:t>
      </w:r>
    </w:p>
    <w:p w14:paraId="44777104">
      <w:pPr>
        <w:spacing w:after="0" w:line="500" w:lineRule="exact"/>
        <w:ind w:firstLine="480" w:firstLineChars="200"/>
        <w:jc w:val="left"/>
        <w:rPr>
          <w:rFonts w:hint="eastAsia" w:ascii="宋体" w:hAnsi="宋体"/>
          <w:sz w:val="24"/>
        </w:rPr>
      </w:pPr>
      <w:r>
        <w:rPr>
          <w:rFonts w:hint="eastAsia" w:ascii="宋体" w:hAnsi="宋体"/>
          <w:sz w:val="24"/>
        </w:rPr>
        <w:t>1.乙方应向甲方提供与本项目服务有关的资料，包括项目服务单位、人员的资质证书及承担本合同业务的专业人员名单、项目服务工作计划等，并按合同约定的范围、时间、工作依据、工作标准等，出具内容齐全、规范、准确的相关报告等；</w:t>
      </w:r>
    </w:p>
    <w:p w14:paraId="51265735">
      <w:pPr>
        <w:spacing w:after="0" w:line="500" w:lineRule="exact"/>
        <w:ind w:firstLine="480" w:firstLineChars="200"/>
        <w:jc w:val="left"/>
        <w:rPr>
          <w:rFonts w:hint="eastAsia" w:ascii="宋体" w:hAnsi="宋体"/>
          <w:sz w:val="24"/>
        </w:rPr>
      </w:pPr>
      <w:r>
        <w:rPr>
          <w:rFonts w:hint="eastAsia" w:ascii="宋体" w:hAnsi="宋体"/>
          <w:sz w:val="24"/>
        </w:rPr>
        <w:t>2.合作过程中乙方应指派专门的业务负责人负责合作事项的全程沟通及协调工作；</w:t>
      </w:r>
    </w:p>
    <w:p w14:paraId="351CB4C3">
      <w:pPr>
        <w:spacing w:after="0" w:line="500" w:lineRule="exact"/>
        <w:ind w:firstLine="480" w:firstLineChars="200"/>
        <w:jc w:val="left"/>
        <w:rPr>
          <w:rFonts w:hint="eastAsia" w:ascii="宋体" w:hAnsi="宋体"/>
          <w:sz w:val="24"/>
        </w:rPr>
      </w:pPr>
      <w:r>
        <w:rPr>
          <w:rFonts w:hint="eastAsia" w:ascii="宋体" w:hAnsi="宋体"/>
          <w:sz w:val="24"/>
        </w:rPr>
        <w:t>3.乙方应遵守甲方有关合作事项的各项管理规定，及时报告工作进度，在规定时间内完成相应工作；</w:t>
      </w:r>
    </w:p>
    <w:p w14:paraId="7728422F">
      <w:pPr>
        <w:spacing w:after="0" w:line="500" w:lineRule="exact"/>
        <w:ind w:firstLine="480" w:firstLineChars="200"/>
        <w:jc w:val="left"/>
        <w:rPr>
          <w:rFonts w:hint="eastAsia" w:ascii="宋体" w:hAnsi="宋体"/>
          <w:sz w:val="24"/>
        </w:rPr>
      </w:pPr>
      <w:r>
        <w:rPr>
          <w:rFonts w:hint="eastAsia" w:ascii="宋体" w:hAnsi="宋体"/>
          <w:sz w:val="24"/>
        </w:rPr>
        <w:t>4.甲方在工作质量、工作进度、工作内容等方面提出意见及建议，乙方应及时响应并有效改进；</w:t>
      </w:r>
    </w:p>
    <w:p w14:paraId="199E3241">
      <w:pPr>
        <w:spacing w:after="0" w:line="500" w:lineRule="exact"/>
        <w:ind w:firstLine="480" w:firstLineChars="200"/>
        <w:jc w:val="left"/>
        <w:rPr>
          <w:rFonts w:hint="eastAsia" w:ascii="宋体" w:hAnsi="宋体"/>
          <w:sz w:val="24"/>
        </w:rPr>
      </w:pPr>
      <w:r>
        <w:rPr>
          <w:rFonts w:hint="eastAsia" w:ascii="宋体" w:hAnsi="宋体"/>
          <w:sz w:val="24"/>
        </w:rPr>
        <w:t>5.乙方应对本项目所提供服务结果的可靠性、准确性、全面性向甲方负责，由于服务结果的可靠性、准确性、全面性不足而导致甲方工作偏差或失误，乙方应承担责任；</w:t>
      </w:r>
    </w:p>
    <w:p w14:paraId="092A8ADC">
      <w:pPr>
        <w:spacing w:after="0" w:line="500" w:lineRule="exact"/>
        <w:ind w:firstLine="480" w:firstLineChars="200"/>
        <w:jc w:val="left"/>
        <w:rPr>
          <w:rFonts w:hint="eastAsia" w:ascii="宋体" w:hAnsi="宋体"/>
          <w:sz w:val="24"/>
        </w:rPr>
      </w:pPr>
      <w:r>
        <w:rPr>
          <w:rFonts w:hint="eastAsia" w:ascii="宋体" w:hAnsi="宋体"/>
          <w:sz w:val="24"/>
        </w:rPr>
        <w:t>6.乙方应与其参与本项目的工作人员建立劳动关系或劳务关系，乙方工作人员的社保、工伤、疾病、请休假等均与甲方无关。乙方人员在工作期间如果发生疾病、工伤或其他人身意外伤害等由乙方负责，甲方不承担任何责任和义务，如果导致甲方承担责任的，甲方有权向乙方追偿，包括但不限于赔偿费用、诉讼费用、律师费等所有费用；</w:t>
      </w:r>
    </w:p>
    <w:p w14:paraId="0846ED97">
      <w:pPr>
        <w:spacing w:after="0" w:line="500" w:lineRule="exact"/>
        <w:ind w:firstLine="480" w:firstLineChars="200"/>
        <w:jc w:val="left"/>
        <w:rPr>
          <w:rFonts w:hint="eastAsia" w:ascii="宋体" w:hAnsi="宋体"/>
          <w:sz w:val="24"/>
        </w:rPr>
      </w:pPr>
      <w:r>
        <w:rPr>
          <w:rFonts w:hint="eastAsia" w:ascii="宋体" w:hAnsi="宋体"/>
          <w:sz w:val="24"/>
        </w:rPr>
        <w:t>7.不得转包、分包。</w:t>
      </w:r>
    </w:p>
    <w:p w14:paraId="62200183">
      <w:pPr>
        <w:spacing w:line="5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八</w:t>
      </w:r>
      <w:r>
        <w:rPr>
          <w:rFonts w:hint="eastAsia" w:ascii="宋体" w:hAnsi="宋体" w:eastAsia="宋体" w:cs="宋体"/>
          <w:b/>
          <w:color w:val="auto"/>
          <w:sz w:val="24"/>
          <w:highlight w:val="none"/>
        </w:rPr>
        <w:t>、技术服务</w:t>
      </w:r>
    </w:p>
    <w:p w14:paraId="3B81671F">
      <w:pPr>
        <w:spacing w:line="500" w:lineRule="exact"/>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w:t>
      </w:r>
      <w:r>
        <w:rPr>
          <w:rFonts w:hint="eastAsia" w:ascii="宋体" w:hAnsi="宋体" w:eastAsia="宋体" w:cs="宋体"/>
          <w:b/>
          <w:color w:val="auto"/>
          <w:sz w:val="24"/>
          <w:highlight w:val="none"/>
          <w:lang w:val="en-US" w:eastAsia="zh-CN"/>
        </w:rPr>
        <w:t>项目</w:t>
      </w:r>
      <w:r>
        <w:rPr>
          <w:rFonts w:hint="eastAsia" w:ascii="宋体" w:hAnsi="宋体" w:eastAsia="宋体" w:cs="宋体"/>
          <w:b/>
          <w:color w:val="auto"/>
          <w:sz w:val="24"/>
          <w:highlight w:val="none"/>
        </w:rPr>
        <w:t>资料：</w:t>
      </w:r>
      <w:r>
        <w:rPr>
          <w:rFonts w:hint="eastAsia" w:ascii="宋体" w:hAnsi="宋体" w:eastAsia="宋体" w:cs="宋体"/>
          <w:color w:val="auto"/>
          <w:sz w:val="24"/>
          <w:highlight w:val="none"/>
          <w:u w:val="single"/>
        </w:rPr>
        <w:t xml:space="preserve">        </w:t>
      </w:r>
    </w:p>
    <w:p w14:paraId="18D8FC5C">
      <w:pPr>
        <w:spacing w:line="500" w:lineRule="exact"/>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（二）服务承诺：</w:t>
      </w:r>
      <w:r>
        <w:rPr>
          <w:rFonts w:hint="eastAsia" w:ascii="宋体" w:hAnsi="宋体" w:eastAsia="宋体" w:cs="宋体"/>
          <w:color w:val="auto"/>
          <w:sz w:val="24"/>
          <w:highlight w:val="none"/>
          <w:u w:val="single"/>
        </w:rPr>
        <w:t xml:space="preserve">        </w:t>
      </w:r>
    </w:p>
    <w:p w14:paraId="2731E0B1">
      <w:pPr>
        <w:spacing w:line="5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九</w:t>
      </w:r>
      <w:r>
        <w:rPr>
          <w:rFonts w:hint="eastAsia" w:ascii="宋体" w:hAnsi="宋体" w:eastAsia="宋体" w:cs="宋体"/>
          <w:b/>
          <w:color w:val="auto"/>
          <w:sz w:val="24"/>
          <w:highlight w:val="none"/>
        </w:rPr>
        <w:t>、违约责任</w:t>
      </w:r>
    </w:p>
    <w:p w14:paraId="5CB286B7">
      <w:pPr>
        <w:spacing w:line="5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（一）按《中华人民共和国民法典》中的相关条款执行。</w:t>
      </w:r>
    </w:p>
    <w:p w14:paraId="05263DFE">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（二）未按合同要求提供服务</w:t>
      </w:r>
      <w:r>
        <w:rPr>
          <w:rFonts w:hint="eastAsia" w:ascii="宋体" w:hAnsi="宋体" w:eastAsia="宋体" w:cs="宋体"/>
          <w:color w:val="auto"/>
          <w:sz w:val="24"/>
          <w:highlight w:val="none"/>
          <w:lang w:val="en-US" w:eastAsia="zh-CN"/>
        </w:rPr>
        <w:t>或提供的服务</w:t>
      </w:r>
      <w:r>
        <w:rPr>
          <w:rFonts w:hint="eastAsia" w:ascii="宋体" w:hAnsi="宋体" w:eastAsia="宋体" w:cs="宋体"/>
          <w:color w:val="auto"/>
          <w:sz w:val="24"/>
          <w:highlight w:val="none"/>
        </w:rPr>
        <w:t>不能满足</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要求，</w:t>
      </w:r>
      <w:r>
        <w:rPr>
          <w:rFonts w:hint="eastAsia" w:ascii="宋体" w:hAnsi="宋体" w:eastAsia="宋体" w:cs="宋体"/>
          <w:color w:val="auto"/>
          <w:sz w:val="24"/>
          <w:highlight w:val="none"/>
          <w:lang w:val="en-US" w:eastAsia="zh-CN"/>
        </w:rPr>
        <w:t>甲方</w:t>
      </w:r>
      <w:r>
        <w:rPr>
          <w:rFonts w:hint="eastAsia" w:ascii="宋体" w:hAnsi="宋体" w:eastAsia="宋体" w:cs="宋体"/>
          <w:color w:val="auto"/>
          <w:sz w:val="24"/>
          <w:highlight w:val="none"/>
        </w:rPr>
        <w:t>有权终止合同，甚至对供方违约行为进行追究。</w:t>
      </w:r>
    </w:p>
    <w:p w14:paraId="1E945931">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（三）如有纠纷，双方友好协商解决，协商不成时可诉讼到甲方所在地人民法院解决。</w:t>
      </w:r>
    </w:p>
    <w:p w14:paraId="076EF18D">
      <w:pPr>
        <w:spacing w:line="50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（四）甲方未按照合同约定支付合同价款或退还履约保证金的，每逾期一日，按照相应金额的万分之一承担违约责任。</w:t>
      </w:r>
    </w:p>
    <w:p w14:paraId="5150D7EA">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十</w:t>
      </w:r>
      <w:r>
        <w:rPr>
          <w:rFonts w:hint="eastAsia" w:ascii="宋体" w:hAnsi="宋体" w:eastAsia="宋体" w:cs="宋体"/>
          <w:b/>
          <w:color w:val="auto"/>
          <w:sz w:val="24"/>
          <w:highlight w:val="none"/>
        </w:rPr>
        <w:t>、验收</w:t>
      </w:r>
    </w:p>
    <w:p w14:paraId="6603CC7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（一）项目服务完成后，由成交供应商向采购人递交验收申请及相关资料，经采购人确认后，组织专家对供应商的履约能力、项目质量等进行验收。验收合格后，填写项目验收单作为对该项目的最终认可。</w:t>
      </w:r>
    </w:p>
    <w:p w14:paraId="6F86282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（二）验收依据</w:t>
      </w:r>
    </w:p>
    <w:p w14:paraId="7D693A6F">
      <w:pPr>
        <w:spacing w:line="360" w:lineRule="auto"/>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 xml:space="preserve">1、合同文本及合同补充文件（条款）。 </w:t>
      </w:r>
    </w:p>
    <w:p w14:paraId="5AD6308F">
      <w:pPr>
        <w:spacing w:line="360" w:lineRule="auto"/>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询价文件</w:t>
      </w:r>
      <w:r>
        <w:rPr>
          <w:rFonts w:hint="eastAsia" w:ascii="宋体" w:hAnsi="宋体" w:eastAsia="宋体" w:cs="宋体"/>
          <w:sz w:val="24"/>
          <w:highlight w:val="none"/>
        </w:rPr>
        <w:t>。</w:t>
      </w:r>
    </w:p>
    <w:p w14:paraId="1E586602">
      <w:pPr>
        <w:spacing w:line="360" w:lineRule="auto"/>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3、成交供应商的响应文件。</w:t>
      </w:r>
    </w:p>
    <w:p w14:paraId="33054915">
      <w:pPr>
        <w:spacing w:line="360" w:lineRule="auto"/>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4、技术内容。</w:t>
      </w:r>
    </w:p>
    <w:p w14:paraId="3C526A7D">
      <w:pPr>
        <w:spacing w:line="360" w:lineRule="auto"/>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5、技术标准。</w:t>
      </w:r>
    </w:p>
    <w:p w14:paraId="6BF3EAC5">
      <w:pPr>
        <w:spacing w:after="0" w:line="500" w:lineRule="exact"/>
        <w:jc w:val="left"/>
        <w:rPr>
          <w:rFonts w:hint="eastAsia" w:ascii="宋体" w:hAnsi="宋体"/>
          <w:b/>
          <w:bCs/>
          <w:sz w:val="24"/>
        </w:rPr>
      </w:pPr>
      <w:r>
        <w:rPr>
          <w:rFonts w:hint="eastAsia" w:ascii="宋体" w:hAnsi="宋体"/>
          <w:b/>
          <w:bCs/>
          <w:sz w:val="24"/>
        </w:rPr>
        <w:t>十一、知识产权</w:t>
      </w:r>
    </w:p>
    <w:p w14:paraId="42D8A9FA">
      <w:pPr>
        <w:spacing w:after="0" w:line="500" w:lineRule="exact"/>
        <w:ind w:firstLine="480" w:firstLineChars="200"/>
        <w:jc w:val="left"/>
        <w:rPr>
          <w:rFonts w:hint="eastAsia" w:ascii="宋体" w:hAnsi="宋体"/>
          <w:sz w:val="24"/>
        </w:rPr>
      </w:pPr>
      <w:r>
        <w:rPr>
          <w:rFonts w:hint="eastAsia" w:ascii="宋体" w:hAnsi="宋体"/>
          <w:sz w:val="24"/>
        </w:rPr>
        <w:t>（一）乙方应保证在本项目中使用的任何技术、产品和服务（包括部分使用），不会产生因第三方提出侵犯其专利权、商标权或其它知识产权而引起的法律和经济纠纷，如因专利权、商标权或其它知识产权而引起法律和经济纠纷，由乙方承担所有相关责任。采购人享有本项目实施过程中产生的知识成果及知识产权。</w:t>
      </w:r>
    </w:p>
    <w:p w14:paraId="2C08AAA7">
      <w:pPr>
        <w:spacing w:after="0" w:line="500" w:lineRule="exact"/>
        <w:ind w:firstLine="480" w:firstLineChars="200"/>
        <w:jc w:val="left"/>
        <w:rPr>
          <w:rFonts w:hint="eastAsia" w:ascii="宋体" w:hAnsi="宋体"/>
          <w:sz w:val="24"/>
        </w:rPr>
      </w:pPr>
      <w:r>
        <w:rPr>
          <w:rFonts w:hint="eastAsia" w:ascii="宋体" w:hAnsi="宋体"/>
          <w:sz w:val="24"/>
        </w:rPr>
        <w:t>（二）乙方将在采购项目实施过程中采用自有或者第三方知识成果的，使用该知识成果后，乙方需提供开发接口和开发手册等技术资料，并承诺提供无限期支持，采购人享有使用权（含采购人委托第三方在该项目后续开发的使用权）。</w:t>
      </w:r>
    </w:p>
    <w:p w14:paraId="27A444E1">
      <w:pPr>
        <w:spacing w:after="0" w:line="500" w:lineRule="exact"/>
        <w:ind w:firstLine="480" w:firstLineChars="200"/>
        <w:jc w:val="left"/>
        <w:rPr>
          <w:rFonts w:hint="eastAsia" w:ascii="宋体" w:hAnsi="宋体"/>
          <w:sz w:val="24"/>
        </w:rPr>
      </w:pPr>
      <w:r>
        <w:rPr>
          <w:rFonts w:hint="eastAsia" w:ascii="宋体" w:hAnsi="宋体"/>
          <w:sz w:val="24"/>
        </w:rPr>
        <w:t>（三）如采用乙方所不拥有的知识产权，则在投标报价中必须包括合法使用该知识产权的相关费用。</w:t>
      </w:r>
    </w:p>
    <w:p w14:paraId="07D0167F">
      <w:pPr>
        <w:spacing w:after="0" w:line="500" w:lineRule="exact"/>
        <w:jc w:val="left"/>
        <w:rPr>
          <w:rFonts w:hint="eastAsia" w:ascii="宋体" w:hAnsi="宋体"/>
          <w:b/>
          <w:bCs/>
          <w:sz w:val="24"/>
        </w:rPr>
      </w:pPr>
      <w:r>
        <w:rPr>
          <w:rFonts w:hint="eastAsia" w:ascii="宋体" w:hAnsi="宋体"/>
          <w:b/>
          <w:bCs/>
          <w:sz w:val="24"/>
        </w:rPr>
        <w:t>十二、保密条款</w:t>
      </w:r>
    </w:p>
    <w:p w14:paraId="20F53BB5">
      <w:pPr>
        <w:spacing w:after="0" w:line="500" w:lineRule="exact"/>
        <w:ind w:firstLine="480" w:firstLineChars="200"/>
        <w:jc w:val="left"/>
        <w:rPr>
          <w:rFonts w:hint="eastAsia" w:ascii="宋体" w:hAnsi="宋体"/>
          <w:sz w:val="24"/>
        </w:rPr>
      </w:pPr>
      <w:r>
        <w:rPr>
          <w:rFonts w:hint="eastAsia" w:ascii="宋体" w:hAnsi="宋体"/>
          <w:sz w:val="24"/>
        </w:rPr>
        <w:t>（一）自合同签订之日起，乙方有责任对甲方提供的各种文件（服务内容、资料、报告）、工作业务信息、中间过程数据、结果数据进行保密，未经甲方书面批准不得提供给任何第三方。如有违反包括故意泄露、管理不善、过失等原因造成的泄露，均视为乙方未执行好保密措施，乙方应承担相应的法律责任。此保密义务不因合同的终止而免除；</w:t>
      </w:r>
    </w:p>
    <w:p w14:paraId="18846B9B">
      <w:pPr>
        <w:spacing w:after="0" w:line="500" w:lineRule="exact"/>
        <w:ind w:firstLine="480" w:firstLineChars="200"/>
        <w:jc w:val="left"/>
        <w:rPr>
          <w:rFonts w:hint="eastAsia" w:ascii="宋体" w:hAnsi="宋体"/>
          <w:sz w:val="24"/>
        </w:rPr>
      </w:pPr>
      <w:r>
        <w:rPr>
          <w:rFonts w:hint="eastAsia" w:ascii="宋体" w:hAnsi="宋体"/>
          <w:sz w:val="24"/>
        </w:rPr>
        <w:t>（二）乙方应采取有效措施对甲方提供的资料和数据实施合乎规定（该类规定包括但不限于相关的保密法律、法规、规定、通知等）的保密处理措施，并对此负责；</w:t>
      </w:r>
    </w:p>
    <w:p w14:paraId="7B62DE75">
      <w:pPr>
        <w:spacing w:after="0" w:line="500" w:lineRule="exact"/>
        <w:ind w:firstLine="480" w:firstLineChars="200"/>
        <w:jc w:val="left"/>
        <w:rPr>
          <w:rFonts w:hint="eastAsia" w:ascii="宋体" w:hAnsi="宋体"/>
          <w:sz w:val="24"/>
        </w:rPr>
      </w:pPr>
      <w:r>
        <w:rPr>
          <w:rFonts w:hint="eastAsia" w:ascii="宋体" w:hAnsi="宋体"/>
          <w:sz w:val="24"/>
        </w:rPr>
        <w:t>（三）乙方有义务遵守和配合执行甲方的保密管理规定与保密措施，并在项目实施完成后，归还甲方提供的全部资料。</w:t>
      </w:r>
    </w:p>
    <w:p w14:paraId="00C2F4E4">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十三</w:t>
      </w:r>
      <w:r>
        <w:rPr>
          <w:rFonts w:hint="eastAsia" w:ascii="宋体" w:hAnsi="宋体" w:eastAsia="宋体" w:cs="宋体"/>
          <w:b/>
          <w:color w:val="auto"/>
          <w:sz w:val="24"/>
          <w:highlight w:val="none"/>
        </w:rPr>
        <w:t>、其他事项</w:t>
      </w:r>
    </w:p>
    <w:p w14:paraId="3AE57E2D">
      <w:pPr>
        <w:spacing w:after="0" w:line="360" w:lineRule="auto"/>
        <w:ind w:firstLine="480" w:firstLineChars="200"/>
        <w:jc w:val="left"/>
        <w:rPr>
          <w:rFonts w:hint="eastAsia" w:ascii="宋体" w:hAnsi="宋体"/>
          <w:sz w:val="24"/>
        </w:rPr>
      </w:pPr>
      <w:r>
        <w:rPr>
          <w:rFonts w:hint="eastAsia" w:ascii="宋体" w:hAnsi="宋体"/>
          <w:sz w:val="24"/>
        </w:rPr>
        <w:t>（一）陕西省财政厅政府采购管理处在合同的履行期间以及履行期后，可以随时检查项目的执行情况，对采购标准、采购内容进行调查核实，并对发现的问题进行处理。</w:t>
      </w:r>
    </w:p>
    <w:p w14:paraId="7157F10E">
      <w:pPr>
        <w:spacing w:after="0" w:line="360" w:lineRule="auto"/>
        <w:ind w:left="105" w:leftChars="50" w:firstLine="360" w:firstLineChars="150"/>
        <w:jc w:val="left"/>
        <w:rPr>
          <w:rFonts w:hint="eastAsia" w:ascii="宋体" w:hAnsi="宋体"/>
          <w:sz w:val="24"/>
        </w:rPr>
      </w:pPr>
      <w:r>
        <w:rPr>
          <w:rFonts w:hint="eastAsia" w:ascii="宋体" w:hAnsi="宋体"/>
          <w:sz w:val="24"/>
        </w:rPr>
        <w:t>（二）本合同一式六份，甲方四份，乙方一份，采购</w:t>
      </w:r>
      <w:r>
        <w:rPr>
          <w:rFonts w:ascii="宋体" w:hAnsi="宋体"/>
          <w:sz w:val="24"/>
        </w:rPr>
        <w:t>代理机构</w:t>
      </w:r>
      <w:r>
        <w:rPr>
          <w:rFonts w:hint="eastAsia" w:ascii="宋体" w:hAnsi="宋体"/>
          <w:sz w:val="24"/>
        </w:rPr>
        <w:t>一份，甲乙双方法定代表人或其授权代表签字、盖章并加盖公章之日后生效。</w:t>
      </w:r>
    </w:p>
    <w:p w14:paraId="34B2AE2D">
      <w:pPr>
        <w:spacing w:after="0" w:line="360" w:lineRule="auto"/>
        <w:ind w:firstLine="480" w:firstLineChars="200"/>
        <w:jc w:val="left"/>
        <w:rPr>
          <w:rFonts w:hint="eastAsia" w:ascii="宋体" w:hAnsi="宋体"/>
          <w:sz w:val="24"/>
        </w:rPr>
      </w:pPr>
      <w:r>
        <w:rPr>
          <w:rFonts w:hint="eastAsia" w:ascii="宋体" w:hAnsi="宋体"/>
          <w:sz w:val="24"/>
        </w:rPr>
        <w:t>（三）</w:t>
      </w:r>
      <w:r>
        <w:rPr>
          <w:rFonts w:hint="eastAsia" w:ascii="宋体" w:hAnsi="宋体"/>
          <w:bCs/>
          <w:sz w:val="24"/>
        </w:rPr>
        <w:t>招标文件、投标文件也是合同的组成部分，合同中未约定的以招标文件、投标文件为准。</w:t>
      </w:r>
    </w:p>
    <w:p w14:paraId="3C5553F9">
      <w:pPr>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合同签订地点：   </w:t>
      </w:r>
    </w:p>
    <w:p w14:paraId="2FAE743D">
      <w:pPr>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合同签订时间：    年   月    日</w:t>
      </w:r>
    </w:p>
    <w:p w14:paraId="66D8959C">
      <w:pPr>
        <w:spacing w:line="360" w:lineRule="auto"/>
        <w:ind w:firstLine="600" w:firstLineChars="250"/>
        <w:jc w:val="left"/>
        <w:rPr>
          <w:rFonts w:hint="eastAsia" w:ascii="宋体" w:hAnsi="宋体" w:eastAsia="宋体" w:cs="宋体"/>
          <w:color w:val="auto"/>
          <w:sz w:val="24"/>
          <w:highlight w:val="none"/>
        </w:rPr>
      </w:pPr>
    </w:p>
    <w:p w14:paraId="65C1B1FE">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764F5202">
      <w:pPr>
        <w:spacing w:line="360" w:lineRule="auto"/>
        <w:ind w:firstLine="600" w:firstLineChars="250"/>
        <w:jc w:val="left"/>
        <w:rPr>
          <w:rFonts w:hint="eastAsia" w:ascii="宋体" w:hAnsi="宋体" w:eastAsia="宋体" w:cs="宋体"/>
          <w:color w:val="auto"/>
          <w:sz w:val="24"/>
          <w:highlight w:val="none"/>
        </w:rPr>
      </w:pPr>
    </w:p>
    <w:tbl>
      <w:tblPr>
        <w:tblStyle w:val="8"/>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2905"/>
        <w:gridCol w:w="1179"/>
        <w:gridCol w:w="2971"/>
      </w:tblGrid>
      <w:tr w14:paraId="60FB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4150" w:type="dxa"/>
            <w:gridSpan w:val="2"/>
            <w:noWrap w:val="0"/>
            <w:vAlign w:val="center"/>
          </w:tcPr>
          <w:p w14:paraId="4B06DE9D">
            <w:pPr>
              <w:spacing w:line="300" w:lineRule="auto"/>
              <w:jc w:val="center"/>
              <w:rPr>
                <w:rFonts w:hint="eastAsia" w:ascii="宋体" w:hAnsi="宋体" w:eastAsia="宋体" w:cs="宋体"/>
                <w:b/>
                <w:bCs/>
                <w:color w:val="auto"/>
                <w:sz w:val="32"/>
                <w:szCs w:val="32"/>
                <w:highlight w:val="none"/>
                <w:vertAlign w:val="baseline"/>
                <w:lang w:val="en-US" w:eastAsia="zh-CN"/>
              </w:rPr>
            </w:pPr>
            <w:r>
              <w:rPr>
                <w:rFonts w:hint="eastAsia" w:ascii="宋体" w:hAnsi="宋体" w:eastAsia="宋体" w:cs="宋体"/>
                <w:b/>
                <w:bCs/>
                <w:color w:val="auto"/>
                <w:sz w:val="32"/>
                <w:szCs w:val="32"/>
                <w:highlight w:val="none"/>
                <w:vertAlign w:val="baseline"/>
                <w:lang w:val="en-US" w:eastAsia="zh-CN"/>
              </w:rPr>
              <w:t>甲  方</w:t>
            </w:r>
          </w:p>
        </w:tc>
        <w:tc>
          <w:tcPr>
            <w:tcW w:w="4150" w:type="dxa"/>
            <w:gridSpan w:val="2"/>
            <w:noWrap w:val="0"/>
            <w:vAlign w:val="center"/>
          </w:tcPr>
          <w:p w14:paraId="29571A83">
            <w:pPr>
              <w:spacing w:line="300" w:lineRule="auto"/>
              <w:jc w:val="center"/>
              <w:rPr>
                <w:rFonts w:hint="eastAsia" w:ascii="宋体" w:hAnsi="宋体" w:eastAsia="宋体" w:cs="宋体"/>
                <w:b/>
                <w:bCs/>
                <w:color w:val="auto"/>
                <w:sz w:val="32"/>
                <w:szCs w:val="32"/>
                <w:highlight w:val="none"/>
                <w:vertAlign w:val="baseline"/>
                <w:lang w:val="en-US" w:eastAsia="zh-CN"/>
              </w:rPr>
            </w:pPr>
            <w:r>
              <w:rPr>
                <w:rFonts w:hint="eastAsia" w:ascii="宋体" w:hAnsi="宋体" w:eastAsia="宋体" w:cs="宋体"/>
                <w:b/>
                <w:bCs/>
                <w:color w:val="auto"/>
                <w:sz w:val="32"/>
                <w:szCs w:val="32"/>
                <w:highlight w:val="none"/>
                <w:vertAlign w:val="baseline"/>
                <w:lang w:val="en-US" w:eastAsia="zh-CN"/>
              </w:rPr>
              <w:t>乙  方</w:t>
            </w:r>
          </w:p>
        </w:tc>
      </w:tr>
      <w:tr w14:paraId="5E64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1" w:hRule="exact"/>
          <w:jc w:val="center"/>
        </w:trPr>
        <w:tc>
          <w:tcPr>
            <w:tcW w:w="1245" w:type="dxa"/>
            <w:noWrap w:val="0"/>
            <w:vAlign w:val="center"/>
          </w:tcPr>
          <w:p w14:paraId="164BD24D">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单位名称（盖章）</w:t>
            </w:r>
          </w:p>
        </w:tc>
        <w:tc>
          <w:tcPr>
            <w:tcW w:w="2905" w:type="dxa"/>
            <w:noWrap w:val="0"/>
            <w:vAlign w:val="center"/>
          </w:tcPr>
          <w:p w14:paraId="68AB84A4">
            <w:pPr>
              <w:pStyle w:val="3"/>
              <w:keepNext w:val="0"/>
              <w:keepLines w:val="0"/>
              <w:pageBreakBefore w:val="0"/>
              <w:widowControl w:val="0"/>
              <w:kinsoku/>
              <w:wordWrap/>
              <w:overflowPunct/>
              <w:topLinePunct w:val="0"/>
              <w:autoSpaceDE/>
              <w:autoSpaceDN/>
              <w:bidi w:val="0"/>
              <w:spacing w:line="0" w:lineRule="atLeast"/>
              <w:ind w:left="0" w:leftChars="0" w:firstLine="0" w:firstLineChars="0"/>
              <w:jc w:val="center"/>
              <w:textAlignment w:val="auto"/>
              <w:rPr>
                <w:rFonts w:hint="eastAsia" w:ascii="宋体" w:hAnsi="宋体" w:eastAsia="宋体" w:cs="宋体"/>
                <w:color w:val="auto"/>
                <w:highlight w:val="none"/>
                <w:lang w:val="en-US" w:eastAsia="zh-CN"/>
              </w:rPr>
            </w:pPr>
          </w:p>
        </w:tc>
        <w:tc>
          <w:tcPr>
            <w:tcW w:w="1179" w:type="dxa"/>
            <w:noWrap w:val="0"/>
            <w:vAlign w:val="center"/>
          </w:tcPr>
          <w:p w14:paraId="0C08A1CE">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单位名称（盖章）</w:t>
            </w:r>
          </w:p>
        </w:tc>
        <w:tc>
          <w:tcPr>
            <w:tcW w:w="2971" w:type="dxa"/>
            <w:noWrap w:val="0"/>
            <w:vAlign w:val="center"/>
          </w:tcPr>
          <w:p w14:paraId="6DE0F247">
            <w:pPr>
              <w:keepNext w:val="0"/>
              <w:keepLines w:val="0"/>
              <w:pageBreakBefore w:val="0"/>
              <w:widowControl w:val="0"/>
              <w:kinsoku/>
              <w:wordWrap/>
              <w:overflowPunct/>
              <w:topLinePunct w:val="0"/>
              <w:autoSpaceDE/>
              <w:autoSpaceDN/>
              <w:bidi w:val="0"/>
              <w:spacing w:line="0" w:lineRule="atLeast"/>
              <w:jc w:val="center"/>
              <w:textAlignment w:val="auto"/>
              <w:rPr>
                <w:rFonts w:hint="eastAsia" w:ascii="宋体" w:hAnsi="宋体" w:eastAsia="宋体" w:cs="宋体"/>
                <w:color w:val="auto"/>
                <w:sz w:val="24"/>
                <w:highlight w:val="none"/>
                <w:vertAlign w:val="baseline"/>
              </w:rPr>
            </w:pPr>
          </w:p>
        </w:tc>
      </w:tr>
      <w:tr w14:paraId="7C8E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exact"/>
          <w:jc w:val="center"/>
        </w:trPr>
        <w:tc>
          <w:tcPr>
            <w:tcW w:w="1245" w:type="dxa"/>
            <w:noWrap w:val="0"/>
            <w:vAlign w:val="center"/>
          </w:tcPr>
          <w:p w14:paraId="13F31AC8">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法人或委托代理人（签字）</w:t>
            </w:r>
          </w:p>
        </w:tc>
        <w:tc>
          <w:tcPr>
            <w:tcW w:w="2905" w:type="dxa"/>
            <w:noWrap w:val="0"/>
            <w:vAlign w:val="center"/>
          </w:tcPr>
          <w:p w14:paraId="71D6977E">
            <w:pPr>
              <w:spacing w:line="300" w:lineRule="auto"/>
              <w:jc w:val="center"/>
              <w:rPr>
                <w:rFonts w:hint="eastAsia" w:ascii="宋体" w:hAnsi="宋体" w:eastAsia="宋体" w:cs="宋体"/>
                <w:color w:val="auto"/>
                <w:sz w:val="24"/>
                <w:highlight w:val="none"/>
                <w:vertAlign w:val="baseline"/>
              </w:rPr>
            </w:pPr>
          </w:p>
        </w:tc>
        <w:tc>
          <w:tcPr>
            <w:tcW w:w="1179" w:type="dxa"/>
            <w:noWrap w:val="0"/>
            <w:vAlign w:val="center"/>
          </w:tcPr>
          <w:p w14:paraId="5E721D1C">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法人或委托代理人（签字）</w:t>
            </w:r>
          </w:p>
        </w:tc>
        <w:tc>
          <w:tcPr>
            <w:tcW w:w="2971" w:type="dxa"/>
            <w:noWrap w:val="0"/>
            <w:vAlign w:val="center"/>
          </w:tcPr>
          <w:p w14:paraId="12870BBD">
            <w:pPr>
              <w:spacing w:line="300" w:lineRule="auto"/>
              <w:jc w:val="center"/>
              <w:rPr>
                <w:rFonts w:hint="eastAsia" w:ascii="宋体" w:hAnsi="宋体" w:eastAsia="宋体" w:cs="宋体"/>
                <w:color w:val="auto"/>
                <w:sz w:val="24"/>
                <w:highlight w:val="none"/>
                <w:vertAlign w:val="baseline"/>
              </w:rPr>
            </w:pPr>
          </w:p>
        </w:tc>
      </w:tr>
      <w:tr w14:paraId="6281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77CAE208">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联系人</w:t>
            </w:r>
          </w:p>
        </w:tc>
        <w:tc>
          <w:tcPr>
            <w:tcW w:w="2905" w:type="dxa"/>
            <w:noWrap w:val="0"/>
            <w:vAlign w:val="center"/>
          </w:tcPr>
          <w:p w14:paraId="4FF24032">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5A03C11A">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联系人</w:t>
            </w:r>
          </w:p>
        </w:tc>
        <w:tc>
          <w:tcPr>
            <w:tcW w:w="2971" w:type="dxa"/>
            <w:noWrap w:val="0"/>
            <w:vAlign w:val="center"/>
          </w:tcPr>
          <w:p w14:paraId="1D49FD6B">
            <w:pPr>
              <w:spacing w:line="300" w:lineRule="auto"/>
              <w:jc w:val="center"/>
              <w:rPr>
                <w:rFonts w:hint="eastAsia" w:ascii="宋体" w:hAnsi="宋体" w:eastAsia="宋体" w:cs="宋体"/>
                <w:color w:val="auto"/>
                <w:sz w:val="24"/>
                <w:highlight w:val="none"/>
                <w:vertAlign w:val="baseline"/>
              </w:rPr>
            </w:pPr>
          </w:p>
        </w:tc>
      </w:tr>
      <w:tr w14:paraId="2A9BF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0413B7F7">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纳税人识别号</w:t>
            </w:r>
          </w:p>
        </w:tc>
        <w:tc>
          <w:tcPr>
            <w:tcW w:w="2905" w:type="dxa"/>
            <w:noWrap w:val="0"/>
            <w:vAlign w:val="center"/>
          </w:tcPr>
          <w:p w14:paraId="5BF95F8F">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48415C83">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纳税人识别号</w:t>
            </w:r>
          </w:p>
        </w:tc>
        <w:tc>
          <w:tcPr>
            <w:tcW w:w="2971" w:type="dxa"/>
            <w:noWrap w:val="0"/>
            <w:vAlign w:val="center"/>
          </w:tcPr>
          <w:p w14:paraId="4FE24C18">
            <w:pPr>
              <w:spacing w:line="300" w:lineRule="auto"/>
              <w:jc w:val="center"/>
              <w:rPr>
                <w:rFonts w:hint="eastAsia" w:ascii="宋体" w:hAnsi="宋体" w:eastAsia="宋体" w:cs="宋体"/>
                <w:color w:val="auto"/>
                <w:sz w:val="24"/>
                <w:highlight w:val="none"/>
                <w:vertAlign w:val="baseline"/>
              </w:rPr>
            </w:pPr>
          </w:p>
        </w:tc>
      </w:tr>
      <w:tr w14:paraId="5F86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jc w:val="center"/>
        </w:trPr>
        <w:tc>
          <w:tcPr>
            <w:tcW w:w="1245" w:type="dxa"/>
            <w:noWrap w:val="0"/>
            <w:vAlign w:val="center"/>
          </w:tcPr>
          <w:p w14:paraId="3C160A36">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通讯地址</w:t>
            </w:r>
          </w:p>
        </w:tc>
        <w:tc>
          <w:tcPr>
            <w:tcW w:w="2905" w:type="dxa"/>
            <w:noWrap w:val="0"/>
            <w:vAlign w:val="center"/>
          </w:tcPr>
          <w:p w14:paraId="6CCE2B0C">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000BB27C">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通讯地址</w:t>
            </w:r>
          </w:p>
        </w:tc>
        <w:tc>
          <w:tcPr>
            <w:tcW w:w="2971" w:type="dxa"/>
            <w:noWrap w:val="0"/>
            <w:vAlign w:val="center"/>
          </w:tcPr>
          <w:p w14:paraId="07340497">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auto"/>
                <w:sz w:val="24"/>
                <w:highlight w:val="none"/>
                <w:vertAlign w:val="baseline"/>
              </w:rPr>
            </w:pPr>
          </w:p>
        </w:tc>
      </w:tr>
      <w:tr w14:paraId="45991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exact"/>
          <w:jc w:val="center"/>
        </w:trPr>
        <w:tc>
          <w:tcPr>
            <w:tcW w:w="1245" w:type="dxa"/>
            <w:noWrap w:val="0"/>
            <w:vAlign w:val="center"/>
          </w:tcPr>
          <w:p w14:paraId="034BF368">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电话</w:t>
            </w:r>
          </w:p>
          <w:p w14:paraId="20A43129">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（传真）</w:t>
            </w:r>
          </w:p>
        </w:tc>
        <w:tc>
          <w:tcPr>
            <w:tcW w:w="2905" w:type="dxa"/>
            <w:noWrap w:val="0"/>
            <w:vAlign w:val="center"/>
          </w:tcPr>
          <w:p w14:paraId="67CAF604">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06B0C1A3">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电话</w:t>
            </w:r>
          </w:p>
          <w:p w14:paraId="29A040BC">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（传真）</w:t>
            </w:r>
          </w:p>
        </w:tc>
        <w:tc>
          <w:tcPr>
            <w:tcW w:w="2971" w:type="dxa"/>
            <w:noWrap w:val="0"/>
            <w:vAlign w:val="center"/>
          </w:tcPr>
          <w:p w14:paraId="3C021830">
            <w:pPr>
              <w:spacing w:line="300" w:lineRule="auto"/>
              <w:jc w:val="center"/>
              <w:rPr>
                <w:rFonts w:hint="eastAsia" w:ascii="宋体" w:hAnsi="宋体" w:eastAsia="宋体" w:cs="宋体"/>
                <w:color w:val="auto"/>
                <w:sz w:val="24"/>
                <w:highlight w:val="none"/>
                <w:vertAlign w:val="baseline"/>
              </w:rPr>
            </w:pPr>
          </w:p>
        </w:tc>
      </w:tr>
      <w:tr w14:paraId="649D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05B2B5C8">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开户银行</w:t>
            </w:r>
          </w:p>
        </w:tc>
        <w:tc>
          <w:tcPr>
            <w:tcW w:w="2905" w:type="dxa"/>
            <w:noWrap w:val="0"/>
            <w:vAlign w:val="center"/>
          </w:tcPr>
          <w:p w14:paraId="7ADCDFD2">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20C58092">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开户银行</w:t>
            </w:r>
          </w:p>
        </w:tc>
        <w:tc>
          <w:tcPr>
            <w:tcW w:w="2971" w:type="dxa"/>
            <w:noWrap w:val="0"/>
            <w:vAlign w:val="center"/>
          </w:tcPr>
          <w:p w14:paraId="27AFAA61">
            <w:pPr>
              <w:spacing w:line="300" w:lineRule="auto"/>
              <w:jc w:val="center"/>
              <w:rPr>
                <w:rFonts w:hint="eastAsia" w:ascii="宋体" w:hAnsi="宋体" w:eastAsia="宋体" w:cs="宋体"/>
                <w:color w:val="auto"/>
                <w:kern w:val="2"/>
                <w:sz w:val="24"/>
                <w:szCs w:val="24"/>
                <w:highlight w:val="none"/>
                <w:vertAlign w:val="baseline"/>
                <w:lang w:val="en-US" w:eastAsia="zh-CN" w:bidi="ar-SA"/>
              </w:rPr>
            </w:pPr>
          </w:p>
        </w:tc>
      </w:tr>
      <w:tr w14:paraId="60AC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06BCF34F">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账号</w:t>
            </w:r>
          </w:p>
        </w:tc>
        <w:tc>
          <w:tcPr>
            <w:tcW w:w="2905" w:type="dxa"/>
            <w:noWrap w:val="0"/>
            <w:vAlign w:val="center"/>
          </w:tcPr>
          <w:p w14:paraId="44C64254">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35BC9D31">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账号</w:t>
            </w:r>
          </w:p>
        </w:tc>
        <w:tc>
          <w:tcPr>
            <w:tcW w:w="2971" w:type="dxa"/>
            <w:noWrap w:val="0"/>
            <w:vAlign w:val="center"/>
          </w:tcPr>
          <w:p w14:paraId="6ECA4531">
            <w:pPr>
              <w:spacing w:line="300" w:lineRule="auto"/>
              <w:jc w:val="center"/>
              <w:rPr>
                <w:rFonts w:hint="eastAsia" w:ascii="宋体" w:hAnsi="宋体" w:eastAsia="宋体" w:cs="宋体"/>
                <w:color w:val="auto"/>
                <w:kern w:val="2"/>
                <w:sz w:val="24"/>
                <w:szCs w:val="24"/>
                <w:highlight w:val="none"/>
                <w:vertAlign w:val="baseline"/>
                <w:lang w:val="en-US" w:eastAsia="zh-CN" w:bidi="ar-SA"/>
              </w:rPr>
            </w:pPr>
          </w:p>
        </w:tc>
      </w:tr>
      <w:tr w14:paraId="13B9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exact"/>
          <w:jc w:val="center"/>
        </w:trPr>
        <w:tc>
          <w:tcPr>
            <w:tcW w:w="1245" w:type="dxa"/>
            <w:noWrap w:val="0"/>
            <w:vAlign w:val="center"/>
          </w:tcPr>
          <w:p w14:paraId="34C7862D">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日期</w:t>
            </w:r>
          </w:p>
        </w:tc>
        <w:tc>
          <w:tcPr>
            <w:tcW w:w="2905" w:type="dxa"/>
            <w:noWrap w:val="0"/>
            <w:vAlign w:val="center"/>
          </w:tcPr>
          <w:p w14:paraId="560387A4">
            <w:pPr>
              <w:spacing w:line="300" w:lineRule="auto"/>
              <w:jc w:val="center"/>
              <w:rPr>
                <w:rFonts w:hint="eastAsia" w:ascii="宋体" w:hAnsi="宋体" w:eastAsia="宋体" w:cs="宋体"/>
                <w:color w:val="auto"/>
                <w:sz w:val="24"/>
                <w:highlight w:val="none"/>
                <w:vertAlign w:val="baseline"/>
              </w:rPr>
            </w:pPr>
            <w:r>
              <w:rPr>
                <w:rFonts w:hint="eastAsia" w:ascii="宋体" w:hAnsi="宋体" w:eastAsia="宋体" w:cs="宋体"/>
                <w:color w:val="auto"/>
                <w:sz w:val="24"/>
                <w:highlight w:val="none"/>
              </w:rPr>
              <w:t>年   月   日</w:t>
            </w:r>
          </w:p>
        </w:tc>
        <w:tc>
          <w:tcPr>
            <w:tcW w:w="1179" w:type="dxa"/>
            <w:noWrap w:val="0"/>
            <w:vAlign w:val="center"/>
          </w:tcPr>
          <w:p w14:paraId="77A8DE08">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日期</w:t>
            </w:r>
          </w:p>
        </w:tc>
        <w:tc>
          <w:tcPr>
            <w:tcW w:w="2971" w:type="dxa"/>
            <w:noWrap w:val="0"/>
            <w:vAlign w:val="center"/>
          </w:tcPr>
          <w:p w14:paraId="68190B41">
            <w:pPr>
              <w:spacing w:line="300" w:lineRule="auto"/>
              <w:jc w:val="center"/>
              <w:rPr>
                <w:rFonts w:hint="eastAsia" w:ascii="宋体" w:hAnsi="宋体" w:eastAsia="宋体" w:cs="宋体"/>
                <w:color w:val="auto"/>
                <w:sz w:val="24"/>
                <w:highlight w:val="none"/>
                <w:vertAlign w:val="baseline"/>
              </w:rPr>
            </w:pPr>
            <w:r>
              <w:rPr>
                <w:rFonts w:hint="eastAsia" w:ascii="宋体" w:hAnsi="宋体" w:eastAsia="宋体" w:cs="宋体"/>
                <w:color w:val="auto"/>
                <w:sz w:val="24"/>
                <w:highlight w:val="none"/>
              </w:rPr>
              <w:t>年   月   日</w:t>
            </w:r>
          </w:p>
        </w:tc>
      </w:tr>
    </w:tbl>
    <w:p w14:paraId="37BBA2BA">
      <w:pPr>
        <w:spacing w:line="460" w:lineRule="exact"/>
        <w:rPr>
          <w:rFonts w:hint="eastAsia" w:ascii="宋体" w:hAnsi="宋体" w:cs="宋体"/>
          <w:b/>
          <w:bCs/>
          <w:kern w:val="0"/>
          <w:sz w:val="24"/>
          <w:lang w:val="en-US" w:eastAsia="zh-CN"/>
        </w:rPr>
      </w:pPr>
    </w:p>
    <w:p w14:paraId="3D3A4236">
      <w:pPr>
        <w:spacing w:line="460" w:lineRule="exact"/>
        <w:rPr>
          <w:rFonts w:hint="eastAsia" w:ascii="宋体" w:hAnsi="宋体" w:cs="宋体"/>
          <w:kern w:val="0"/>
          <w:sz w:val="24"/>
          <w:lang w:val="en-US" w:eastAsia="zh-CN"/>
        </w:rPr>
      </w:pPr>
    </w:p>
    <w:p w14:paraId="3556545C"/>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6A79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0253853">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0253853">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pPr>
        <w:ind w:left="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41356"/>
    <w:rsid w:val="43633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2026-07-29T03:11:14Z</dcterms:created>
  <dc:creator>Administrator</dc:creator>
  <cp:lastModifiedBy>温虎</cp:lastModifiedBy>
  <dcterms:modified xsi:type="dcterms:W3CDTF">2026-07-29T03:11:52Z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4C27029F17D34D44A54225D1D7700578_12</vt:lpwstr>
  </property>
</Properties>
</file>