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7333B">
      <w:pPr>
        <w:spacing w:before="178" w:line="223" w:lineRule="auto"/>
        <w:ind w:left="2778"/>
        <w:outlineLvl w:val="0"/>
        <w:rPr>
          <w:rFonts w:hint="eastAsia" w:ascii="宋体" w:hAnsi="宋体" w:eastAsia="宋体" w:cs="宋体"/>
          <w:color w:val="auto"/>
          <w:sz w:val="28"/>
          <w:szCs w:val="28"/>
        </w:rPr>
      </w:pPr>
      <w:r>
        <w:rPr>
          <w:rFonts w:hint="eastAsia" w:ascii="宋体" w:hAnsi="宋体" w:eastAsia="宋体" w:cs="宋体"/>
          <w:color w:val="auto"/>
          <w:spacing w:val="31"/>
          <w:sz w:val="28"/>
          <w:szCs w:val="28"/>
        </w:rPr>
        <w:t xml:space="preserve"> </w:t>
      </w:r>
      <w:r>
        <w:rPr>
          <w:rFonts w:hint="eastAsia" w:ascii="宋体" w:hAnsi="宋体" w:eastAsia="宋体" w:cs="宋体"/>
          <w:b/>
          <w:bCs/>
          <w:color w:val="auto"/>
          <w:spacing w:val="-8"/>
          <w:sz w:val="28"/>
          <w:szCs w:val="28"/>
        </w:rPr>
        <w:t>合同条款及格式</w:t>
      </w:r>
    </w:p>
    <w:p w14:paraId="2C2B0748">
      <w:pPr>
        <w:pStyle w:val="3"/>
        <w:spacing w:line="293" w:lineRule="auto"/>
        <w:rPr>
          <w:rFonts w:hint="eastAsia" w:ascii="宋体" w:hAnsi="宋体" w:eastAsia="宋体" w:cs="宋体"/>
          <w:color w:val="auto"/>
        </w:rPr>
      </w:pPr>
    </w:p>
    <w:p w14:paraId="018BBC1D">
      <w:pPr>
        <w:pStyle w:val="3"/>
        <w:spacing w:line="294" w:lineRule="auto"/>
        <w:rPr>
          <w:rFonts w:hint="eastAsia" w:ascii="宋体" w:hAnsi="宋体" w:eastAsia="宋体" w:cs="宋体"/>
          <w:color w:val="auto"/>
        </w:rPr>
      </w:pPr>
    </w:p>
    <w:p w14:paraId="7230E0E1">
      <w:pPr>
        <w:pStyle w:val="3"/>
        <w:spacing w:line="294" w:lineRule="auto"/>
        <w:rPr>
          <w:rFonts w:hint="eastAsia" w:ascii="宋体" w:hAnsi="宋体" w:eastAsia="宋体" w:cs="宋体"/>
          <w:color w:val="auto"/>
        </w:rPr>
      </w:pPr>
    </w:p>
    <w:p w14:paraId="0D7906B4">
      <w:pPr>
        <w:pStyle w:val="3"/>
        <w:spacing w:line="294" w:lineRule="auto"/>
        <w:rPr>
          <w:rFonts w:hint="eastAsia" w:ascii="宋体" w:hAnsi="宋体" w:eastAsia="宋体" w:cs="宋体"/>
          <w:color w:val="auto"/>
        </w:rPr>
      </w:pPr>
    </w:p>
    <w:p w14:paraId="12BCE8E1">
      <w:pPr>
        <w:spacing w:before="130" w:line="221" w:lineRule="auto"/>
        <w:ind w:left="1240" w:firstLine="1175" w:firstLineChars="300"/>
        <w:rPr>
          <w:rFonts w:hint="eastAsia" w:ascii="宋体" w:hAnsi="宋体" w:eastAsia="宋体" w:cs="宋体"/>
          <w:color w:val="auto"/>
          <w:sz w:val="40"/>
          <w:szCs w:val="40"/>
          <w:lang w:eastAsia="zh-CN"/>
        </w:rPr>
      </w:pPr>
      <w:r>
        <w:rPr>
          <w:rFonts w:hint="eastAsia" w:ascii="宋体" w:hAnsi="宋体" w:eastAsia="宋体" w:cs="宋体"/>
          <w:b/>
          <w:bCs/>
          <w:color w:val="auto"/>
          <w:spacing w:val="-5"/>
          <w:sz w:val="40"/>
          <w:szCs w:val="40"/>
          <w:lang w:eastAsia="zh-CN"/>
        </w:rPr>
        <w:t>2026年专家体检项目</w:t>
      </w:r>
    </w:p>
    <w:p w14:paraId="67F36D11">
      <w:pPr>
        <w:pStyle w:val="3"/>
        <w:spacing w:line="353" w:lineRule="auto"/>
        <w:rPr>
          <w:rFonts w:hint="eastAsia" w:ascii="宋体" w:hAnsi="宋体" w:eastAsia="宋体" w:cs="宋体"/>
          <w:color w:val="auto"/>
        </w:rPr>
      </w:pPr>
    </w:p>
    <w:p w14:paraId="68C874DB">
      <w:pPr>
        <w:pStyle w:val="3"/>
        <w:spacing w:line="354" w:lineRule="auto"/>
        <w:rPr>
          <w:rFonts w:hint="eastAsia" w:ascii="宋体" w:hAnsi="宋体" w:eastAsia="宋体" w:cs="宋体"/>
          <w:color w:val="auto"/>
        </w:rPr>
      </w:pPr>
    </w:p>
    <w:p w14:paraId="4C82AC76">
      <w:pPr>
        <w:spacing w:before="140" w:line="228" w:lineRule="auto"/>
        <w:ind w:left="3371"/>
        <w:rPr>
          <w:rFonts w:hint="eastAsia" w:ascii="宋体" w:hAnsi="宋体" w:eastAsia="宋体" w:cs="宋体"/>
          <w:color w:val="auto"/>
          <w:sz w:val="43"/>
          <w:szCs w:val="43"/>
        </w:rPr>
      </w:pPr>
      <w:r>
        <w:rPr>
          <w:rFonts w:hint="eastAsia" w:ascii="宋体" w:hAnsi="宋体" w:eastAsia="宋体" w:cs="宋体"/>
          <w:b/>
          <w:bCs/>
          <w:color w:val="auto"/>
          <w:spacing w:val="-2"/>
          <w:sz w:val="43"/>
          <w:szCs w:val="43"/>
        </w:rPr>
        <w:t>项目合同</w:t>
      </w:r>
    </w:p>
    <w:p w14:paraId="143B5591">
      <w:pPr>
        <w:pStyle w:val="3"/>
        <w:spacing w:line="272" w:lineRule="auto"/>
        <w:rPr>
          <w:rFonts w:hint="eastAsia" w:ascii="宋体" w:hAnsi="宋体" w:eastAsia="宋体" w:cs="宋体"/>
          <w:color w:val="auto"/>
        </w:rPr>
      </w:pPr>
    </w:p>
    <w:p w14:paraId="50671A8B">
      <w:pPr>
        <w:pStyle w:val="3"/>
        <w:spacing w:line="272" w:lineRule="auto"/>
        <w:rPr>
          <w:rFonts w:hint="eastAsia" w:ascii="宋体" w:hAnsi="宋体" w:eastAsia="宋体" w:cs="宋体"/>
          <w:color w:val="auto"/>
        </w:rPr>
      </w:pPr>
    </w:p>
    <w:p w14:paraId="21C4B7B8">
      <w:pPr>
        <w:pStyle w:val="3"/>
        <w:spacing w:line="272" w:lineRule="auto"/>
        <w:rPr>
          <w:rFonts w:hint="eastAsia" w:ascii="宋体" w:hAnsi="宋体" w:eastAsia="宋体" w:cs="宋体"/>
          <w:color w:val="auto"/>
        </w:rPr>
      </w:pPr>
    </w:p>
    <w:p w14:paraId="5B490A87">
      <w:pPr>
        <w:pStyle w:val="3"/>
        <w:spacing w:line="273" w:lineRule="auto"/>
        <w:rPr>
          <w:rFonts w:hint="eastAsia" w:ascii="宋体" w:hAnsi="宋体" w:eastAsia="宋体" w:cs="宋体"/>
          <w:color w:val="auto"/>
        </w:rPr>
      </w:pPr>
    </w:p>
    <w:p w14:paraId="6F528ADB">
      <w:pPr>
        <w:spacing w:before="101" w:line="228" w:lineRule="auto"/>
        <w:ind w:left="3284"/>
        <w:rPr>
          <w:rFonts w:hint="eastAsia" w:ascii="宋体" w:hAnsi="宋体" w:eastAsia="宋体" w:cs="宋体"/>
          <w:color w:val="auto"/>
          <w:sz w:val="31"/>
          <w:szCs w:val="31"/>
        </w:rPr>
      </w:pPr>
      <w:r>
        <w:rPr>
          <w:rFonts w:hint="eastAsia" w:ascii="宋体" w:hAnsi="宋体" w:eastAsia="宋体" w:cs="宋体"/>
          <w:b/>
          <w:bCs/>
          <w:color w:val="auto"/>
          <w:spacing w:val="1"/>
          <w:sz w:val="31"/>
          <w:szCs w:val="31"/>
        </w:rPr>
        <w:t>（示范文本）</w:t>
      </w:r>
    </w:p>
    <w:p w14:paraId="33EE564D">
      <w:pPr>
        <w:pStyle w:val="3"/>
        <w:spacing w:line="242" w:lineRule="auto"/>
        <w:rPr>
          <w:rFonts w:hint="eastAsia" w:ascii="宋体" w:hAnsi="宋体" w:eastAsia="宋体" w:cs="宋体"/>
          <w:color w:val="auto"/>
        </w:rPr>
      </w:pPr>
    </w:p>
    <w:p w14:paraId="147B909D">
      <w:pPr>
        <w:pStyle w:val="3"/>
        <w:spacing w:line="242" w:lineRule="auto"/>
        <w:rPr>
          <w:rFonts w:hint="eastAsia" w:ascii="宋体" w:hAnsi="宋体" w:eastAsia="宋体" w:cs="宋体"/>
          <w:color w:val="auto"/>
        </w:rPr>
      </w:pPr>
    </w:p>
    <w:p w14:paraId="7ED673F5">
      <w:pPr>
        <w:pStyle w:val="3"/>
        <w:spacing w:line="242" w:lineRule="auto"/>
        <w:rPr>
          <w:rFonts w:hint="eastAsia" w:ascii="宋体" w:hAnsi="宋体" w:eastAsia="宋体" w:cs="宋体"/>
          <w:color w:val="auto"/>
        </w:rPr>
      </w:pPr>
    </w:p>
    <w:p w14:paraId="01EB8B3E">
      <w:pPr>
        <w:pStyle w:val="3"/>
        <w:spacing w:line="242" w:lineRule="auto"/>
        <w:rPr>
          <w:rFonts w:hint="eastAsia" w:ascii="宋体" w:hAnsi="宋体" w:eastAsia="宋体" w:cs="宋体"/>
          <w:color w:val="auto"/>
        </w:rPr>
      </w:pPr>
    </w:p>
    <w:p w14:paraId="0A678DE8">
      <w:pPr>
        <w:pStyle w:val="3"/>
        <w:spacing w:line="242" w:lineRule="auto"/>
        <w:rPr>
          <w:rFonts w:hint="eastAsia" w:ascii="宋体" w:hAnsi="宋体" w:eastAsia="宋体" w:cs="宋体"/>
          <w:color w:val="auto"/>
        </w:rPr>
      </w:pPr>
    </w:p>
    <w:p w14:paraId="032DCD55">
      <w:pPr>
        <w:pStyle w:val="3"/>
        <w:spacing w:line="242" w:lineRule="auto"/>
        <w:rPr>
          <w:rFonts w:hint="eastAsia" w:ascii="宋体" w:hAnsi="宋体" w:eastAsia="宋体" w:cs="宋体"/>
          <w:color w:val="auto"/>
        </w:rPr>
      </w:pPr>
    </w:p>
    <w:p w14:paraId="4C52EF53">
      <w:pPr>
        <w:pStyle w:val="3"/>
        <w:spacing w:line="242" w:lineRule="auto"/>
        <w:rPr>
          <w:rFonts w:hint="eastAsia" w:ascii="宋体" w:hAnsi="宋体" w:eastAsia="宋体" w:cs="宋体"/>
          <w:color w:val="auto"/>
        </w:rPr>
      </w:pPr>
    </w:p>
    <w:p w14:paraId="1E2C696B">
      <w:pPr>
        <w:pStyle w:val="3"/>
        <w:spacing w:line="242" w:lineRule="auto"/>
        <w:rPr>
          <w:rFonts w:hint="eastAsia" w:ascii="宋体" w:hAnsi="宋体" w:eastAsia="宋体" w:cs="宋体"/>
          <w:color w:val="auto"/>
        </w:rPr>
      </w:pPr>
    </w:p>
    <w:p w14:paraId="6356FFAD">
      <w:pPr>
        <w:pStyle w:val="3"/>
        <w:spacing w:line="242" w:lineRule="auto"/>
        <w:rPr>
          <w:rFonts w:hint="eastAsia" w:ascii="宋体" w:hAnsi="宋体" w:eastAsia="宋体" w:cs="宋体"/>
          <w:color w:val="auto"/>
        </w:rPr>
      </w:pPr>
    </w:p>
    <w:p w14:paraId="5355812C">
      <w:pPr>
        <w:pStyle w:val="3"/>
        <w:spacing w:line="242" w:lineRule="auto"/>
        <w:rPr>
          <w:rFonts w:hint="eastAsia" w:ascii="宋体" w:hAnsi="宋体" w:eastAsia="宋体" w:cs="宋体"/>
          <w:color w:val="auto"/>
        </w:rPr>
      </w:pPr>
    </w:p>
    <w:p w14:paraId="1BF11A0C">
      <w:pPr>
        <w:pStyle w:val="3"/>
        <w:spacing w:line="242" w:lineRule="auto"/>
        <w:rPr>
          <w:rFonts w:hint="eastAsia" w:ascii="宋体" w:hAnsi="宋体" w:eastAsia="宋体" w:cs="宋体"/>
          <w:color w:val="auto"/>
        </w:rPr>
      </w:pPr>
    </w:p>
    <w:p w14:paraId="0AFD0805">
      <w:pPr>
        <w:pStyle w:val="3"/>
        <w:spacing w:line="243" w:lineRule="auto"/>
        <w:rPr>
          <w:rFonts w:hint="eastAsia" w:ascii="宋体" w:hAnsi="宋体" w:eastAsia="宋体" w:cs="宋体"/>
          <w:color w:val="auto"/>
        </w:rPr>
      </w:pPr>
    </w:p>
    <w:p w14:paraId="2F3315E8">
      <w:pPr>
        <w:pStyle w:val="3"/>
        <w:spacing w:line="243" w:lineRule="auto"/>
        <w:rPr>
          <w:rFonts w:hint="eastAsia" w:ascii="宋体" w:hAnsi="宋体" w:eastAsia="宋体" w:cs="宋体"/>
          <w:color w:val="auto"/>
        </w:rPr>
      </w:pPr>
    </w:p>
    <w:p w14:paraId="5C8B58AD">
      <w:pPr>
        <w:pStyle w:val="3"/>
        <w:spacing w:line="243" w:lineRule="auto"/>
        <w:rPr>
          <w:rFonts w:hint="eastAsia" w:ascii="宋体" w:hAnsi="宋体" w:eastAsia="宋体" w:cs="宋体"/>
          <w:color w:val="auto"/>
        </w:rPr>
      </w:pPr>
    </w:p>
    <w:p w14:paraId="0DF868A0">
      <w:pPr>
        <w:pStyle w:val="3"/>
        <w:spacing w:line="243" w:lineRule="auto"/>
        <w:rPr>
          <w:rFonts w:hint="eastAsia" w:ascii="宋体" w:hAnsi="宋体" w:eastAsia="宋体" w:cs="宋体"/>
          <w:color w:val="auto"/>
        </w:rPr>
      </w:pPr>
    </w:p>
    <w:p w14:paraId="2FF86326">
      <w:pPr>
        <w:pStyle w:val="3"/>
        <w:spacing w:line="243" w:lineRule="auto"/>
        <w:rPr>
          <w:rFonts w:hint="eastAsia" w:ascii="宋体" w:hAnsi="宋体" w:eastAsia="宋体" w:cs="宋体"/>
          <w:color w:val="auto"/>
        </w:rPr>
      </w:pPr>
    </w:p>
    <w:p w14:paraId="4A538ACC">
      <w:pPr>
        <w:pStyle w:val="3"/>
        <w:spacing w:line="243" w:lineRule="auto"/>
        <w:rPr>
          <w:rFonts w:hint="eastAsia" w:ascii="宋体" w:hAnsi="宋体" w:eastAsia="宋体" w:cs="宋体"/>
          <w:color w:val="auto"/>
        </w:rPr>
      </w:pPr>
    </w:p>
    <w:p w14:paraId="3DA9C1EB">
      <w:pPr>
        <w:pStyle w:val="3"/>
        <w:spacing w:line="243" w:lineRule="auto"/>
        <w:rPr>
          <w:rFonts w:hint="eastAsia" w:ascii="宋体" w:hAnsi="宋体" w:eastAsia="宋体" w:cs="宋体"/>
          <w:color w:val="auto"/>
        </w:rPr>
      </w:pPr>
    </w:p>
    <w:p w14:paraId="229697DB">
      <w:pPr>
        <w:pStyle w:val="3"/>
        <w:spacing w:line="243" w:lineRule="auto"/>
        <w:rPr>
          <w:rFonts w:hint="eastAsia" w:ascii="宋体" w:hAnsi="宋体" w:eastAsia="宋体" w:cs="宋体"/>
          <w:color w:val="auto"/>
        </w:rPr>
      </w:pPr>
    </w:p>
    <w:p w14:paraId="695FBCC9">
      <w:pPr>
        <w:pStyle w:val="3"/>
        <w:spacing w:line="243" w:lineRule="auto"/>
        <w:rPr>
          <w:rFonts w:hint="eastAsia" w:ascii="宋体" w:hAnsi="宋体" w:eastAsia="宋体" w:cs="宋体"/>
          <w:color w:val="auto"/>
        </w:rPr>
      </w:pPr>
    </w:p>
    <w:p w14:paraId="2EF5AB91">
      <w:pPr>
        <w:pStyle w:val="3"/>
        <w:spacing w:line="243" w:lineRule="auto"/>
        <w:rPr>
          <w:rFonts w:hint="eastAsia" w:ascii="宋体" w:hAnsi="宋体" w:eastAsia="宋体" w:cs="宋体"/>
          <w:color w:val="auto"/>
        </w:rPr>
      </w:pPr>
    </w:p>
    <w:p w14:paraId="04A46D38">
      <w:pPr>
        <w:pStyle w:val="3"/>
        <w:spacing w:line="243" w:lineRule="auto"/>
        <w:rPr>
          <w:rFonts w:hint="eastAsia" w:ascii="宋体" w:hAnsi="宋体" w:eastAsia="宋体" w:cs="宋体"/>
          <w:color w:val="auto"/>
        </w:rPr>
      </w:pPr>
    </w:p>
    <w:p w14:paraId="471F7970">
      <w:pPr>
        <w:pStyle w:val="3"/>
        <w:spacing w:line="243" w:lineRule="auto"/>
        <w:rPr>
          <w:rFonts w:hint="eastAsia" w:ascii="宋体" w:hAnsi="宋体" w:eastAsia="宋体" w:cs="宋体"/>
          <w:color w:val="auto"/>
        </w:rPr>
      </w:pPr>
    </w:p>
    <w:p w14:paraId="2E74E459">
      <w:pPr>
        <w:pStyle w:val="3"/>
        <w:spacing w:line="243" w:lineRule="auto"/>
        <w:rPr>
          <w:rFonts w:hint="eastAsia" w:ascii="宋体" w:hAnsi="宋体" w:eastAsia="宋体" w:cs="宋体"/>
          <w:color w:val="auto"/>
        </w:rPr>
      </w:pPr>
    </w:p>
    <w:p w14:paraId="0B2B7770">
      <w:pPr>
        <w:pStyle w:val="3"/>
        <w:spacing w:line="243" w:lineRule="auto"/>
        <w:rPr>
          <w:rFonts w:hint="eastAsia" w:ascii="宋体" w:hAnsi="宋体" w:eastAsia="宋体" w:cs="宋体"/>
          <w:color w:val="auto"/>
        </w:rPr>
      </w:pPr>
    </w:p>
    <w:p w14:paraId="5CED28B0">
      <w:pPr>
        <w:pStyle w:val="3"/>
        <w:spacing w:line="243" w:lineRule="auto"/>
        <w:rPr>
          <w:rFonts w:hint="eastAsia" w:ascii="宋体" w:hAnsi="宋体" w:eastAsia="宋体" w:cs="宋体"/>
          <w:color w:val="auto"/>
        </w:rPr>
      </w:pPr>
    </w:p>
    <w:p w14:paraId="4E65EEE3">
      <w:pPr>
        <w:pStyle w:val="3"/>
        <w:spacing w:line="243" w:lineRule="auto"/>
        <w:rPr>
          <w:rFonts w:hint="eastAsia" w:ascii="宋体" w:hAnsi="宋体" w:eastAsia="宋体" w:cs="宋体"/>
          <w:color w:val="auto"/>
        </w:rPr>
      </w:pPr>
    </w:p>
    <w:p w14:paraId="6AF3B491">
      <w:pPr>
        <w:spacing w:before="78" w:line="366" w:lineRule="auto"/>
        <w:ind w:right="355" w:rightChars="0"/>
        <w:jc w:val="center"/>
        <w:rPr>
          <w:rFonts w:hint="eastAsia" w:ascii="宋体" w:hAnsi="宋体" w:eastAsia="宋体" w:cs="宋体"/>
          <w:color w:val="auto"/>
          <w:spacing w:val="13"/>
          <w:sz w:val="24"/>
          <w:szCs w:val="24"/>
        </w:rPr>
      </w:pPr>
      <w:r>
        <w:rPr>
          <w:rFonts w:hint="eastAsia" w:ascii="宋体" w:hAnsi="宋体" w:eastAsia="宋体" w:cs="宋体"/>
          <w:color w:val="auto"/>
          <w:spacing w:val="-4"/>
          <w:sz w:val="24"/>
          <w:szCs w:val="24"/>
          <w:lang w:val="en-US" w:eastAsia="zh-CN"/>
        </w:rPr>
        <w:t xml:space="preserve">         </w:t>
      </w:r>
      <w:r>
        <w:rPr>
          <w:rFonts w:hint="eastAsia" w:ascii="宋体" w:hAnsi="宋体" w:eastAsia="宋体" w:cs="宋体"/>
          <w:color w:val="auto"/>
          <w:spacing w:val="-4"/>
          <w:sz w:val="24"/>
          <w:szCs w:val="24"/>
        </w:rPr>
        <w:t>甲方（委托方</w:t>
      </w:r>
      <w:r>
        <w:rPr>
          <w:rFonts w:hint="eastAsia" w:ascii="宋体" w:hAnsi="宋体" w:eastAsia="宋体" w:cs="宋体"/>
          <w:color w:val="auto"/>
          <w:spacing w:val="13"/>
          <w:sz w:val="24"/>
          <w:szCs w:val="24"/>
        </w:rPr>
        <w:t>）：</w:t>
      </w:r>
      <w:r>
        <w:rPr>
          <w:rFonts w:hint="eastAsia" w:ascii="宋体" w:hAnsi="宋体" w:eastAsia="宋体" w:cs="宋体"/>
          <w:color w:val="auto"/>
          <w:spacing w:val="13"/>
          <w:sz w:val="24"/>
          <w:szCs w:val="24"/>
          <w:lang w:val="en-US" w:eastAsia="zh-CN"/>
        </w:rPr>
        <w:t>西安市留学人员与专家服务中心</w:t>
      </w:r>
    </w:p>
    <w:p w14:paraId="23B9AE71">
      <w:pPr>
        <w:spacing w:before="78" w:line="366" w:lineRule="auto"/>
        <w:ind w:right="2348" w:firstLine="1824" w:firstLineChars="800"/>
        <w:jc w:val="both"/>
        <w:rPr>
          <w:rFonts w:hint="eastAsia" w:ascii="宋体" w:hAnsi="宋体" w:eastAsia="宋体" w:cs="宋体"/>
          <w:color w:val="auto"/>
          <w:sz w:val="24"/>
          <w:szCs w:val="24"/>
        </w:rPr>
      </w:pPr>
      <w:r>
        <w:rPr>
          <w:rFonts w:hint="eastAsia" w:ascii="宋体" w:hAnsi="宋体" w:eastAsia="宋体" w:cs="宋体"/>
          <w:color w:val="auto"/>
          <w:spacing w:val="-6"/>
          <w:sz w:val="24"/>
          <w:szCs w:val="24"/>
        </w:rPr>
        <w:t>乙方（受托方</w:t>
      </w:r>
      <w:r>
        <w:rPr>
          <w:rFonts w:hint="eastAsia" w:ascii="宋体" w:hAnsi="宋体" w:eastAsia="宋体" w:cs="宋体"/>
          <w:color w:val="auto"/>
          <w:spacing w:val="1"/>
          <w:sz w:val="24"/>
          <w:szCs w:val="24"/>
        </w:rPr>
        <w:t>）：</w:t>
      </w:r>
    </w:p>
    <w:p w14:paraId="1289D40F">
      <w:pPr>
        <w:spacing w:line="366" w:lineRule="auto"/>
        <w:jc w:val="center"/>
        <w:rPr>
          <w:rFonts w:hint="eastAsia" w:ascii="宋体" w:hAnsi="宋体" w:eastAsia="宋体" w:cs="宋体"/>
          <w:color w:val="auto"/>
          <w:sz w:val="24"/>
          <w:szCs w:val="24"/>
        </w:rPr>
        <w:sectPr>
          <w:pgSz w:w="11905" w:h="16839"/>
          <w:pgMar w:top="1431" w:right="1785" w:bottom="0" w:left="1785" w:header="1134" w:footer="1134" w:gutter="0"/>
          <w:cols w:space="720" w:num="1"/>
        </w:sectPr>
      </w:pPr>
    </w:p>
    <w:p w14:paraId="0D46BA04">
      <w:pPr>
        <w:spacing w:before="161" w:line="223" w:lineRule="auto"/>
        <w:ind w:left="3786"/>
        <w:rPr>
          <w:rFonts w:hint="eastAsia" w:ascii="宋体" w:hAnsi="宋体" w:eastAsia="宋体" w:cs="宋体"/>
          <w:color w:val="auto"/>
          <w:sz w:val="28"/>
          <w:szCs w:val="28"/>
        </w:rPr>
      </w:pPr>
      <w:r>
        <w:rPr>
          <w:rFonts w:hint="eastAsia" w:ascii="宋体" w:hAnsi="宋体" w:eastAsia="宋体" w:cs="宋体"/>
          <w:b/>
          <w:bCs/>
          <w:color w:val="auto"/>
          <w:spacing w:val="-8"/>
          <w:sz w:val="28"/>
          <w:szCs w:val="28"/>
        </w:rPr>
        <w:t>合同协议书</w:t>
      </w:r>
    </w:p>
    <w:p w14:paraId="5BF6019F">
      <w:pPr>
        <w:spacing w:before="304" w:line="384" w:lineRule="auto"/>
        <w:ind w:left="17" w:right="1583" w:rightChars="0" w:firstLine="14"/>
        <w:rPr>
          <w:rFonts w:hint="eastAsia" w:ascii="宋体" w:hAnsi="宋体" w:eastAsia="宋体" w:cs="宋体"/>
          <w:color w:val="auto"/>
          <w:spacing w:val="13"/>
          <w:sz w:val="24"/>
          <w:szCs w:val="24"/>
          <w:lang w:val="en-US" w:eastAsia="zh-CN"/>
        </w:rPr>
      </w:pPr>
      <w:r>
        <w:rPr>
          <w:rFonts w:hint="eastAsia" w:ascii="宋体" w:hAnsi="宋体" w:eastAsia="宋体" w:cs="宋体"/>
          <w:color w:val="auto"/>
          <w:spacing w:val="-4"/>
          <w:sz w:val="24"/>
          <w:szCs w:val="24"/>
        </w:rPr>
        <w:t>甲方（委托方</w:t>
      </w:r>
      <w:r>
        <w:rPr>
          <w:rFonts w:hint="eastAsia" w:ascii="宋体" w:hAnsi="宋体" w:eastAsia="宋体" w:cs="宋体"/>
          <w:color w:val="auto"/>
          <w:spacing w:val="13"/>
          <w:sz w:val="24"/>
          <w:szCs w:val="24"/>
        </w:rPr>
        <w:t>）：</w:t>
      </w:r>
      <w:r>
        <w:rPr>
          <w:rFonts w:hint="eastAsia" w:ascii="宋体" w:hAnsi="宋体" w:eastAsia="宋体" w:cs="宋体"/>
          <w:color w:val="auto"/>
          <w:spacing w:val="13"/>
          <w:sz w:val="24"/>
          <w:szCs w:val="24"/>
          <w:lang w:val="en-US" w:eastAsia="zh-CN"/>
        </w:rPr>
        <w:t>西安市留学人员与专家服务中心</w:t>
      </w:r>
    </w:p>
    <w:p w14:paraId="23A6EED9">
      <w:pPr>
        <w:spacing w:before="304" w:line="384" w:lineRule="auto"/>
        <w:ind w:left="17" w:right="1583" w:rightChars="0" w:firstLine="14"/>
        <w:rPr>
          <w:rFonts w:hint="eastAsia" w:ascii="宋体" w:hAnsi="宋体" w:eastAsia="宋体" w:cs="宋体"/>
          <w:color w:val="auto"/>
          <w:sz w:val="24"/>
          <w:szCs w:val="24"/>
        </w:rPr>
      </w:pPr>
      <w:r>
        <w:rPr>
          <w:rFonts w:hint="eastAsia" w:ascii="宋体" w:hAnsi="宋体" w:eastAsia="宋体" w:cs="宋体"/>
          <w:color w:val="auto"/>
          <w:spacing w:val="-6"/>
          <w:sz w:val="24"/>
          <w:szCs w:val="24"/>
        </w:rPr>
        <w:t>乙方（受托方</w:t>
      </w:r>
      <w:r>
        <w:rPr>
          <w:rFonts w:hint="eastAsia" w:ascii="宋体" w:hAnsi="宋体" w:eastAsia="宋体" w:cs="宋体"/>
          <w:color w:val="auto"/>
          <w:spacing w:val="1"/>
          <w:sz w:val="24"/>
          <w:szCs w:val="24"/>
        </w:rPr>
        <w:t>）：</w:t>
      </w:r>
    </w:p>
    <w:p w14:paraId="2F6E11FD">
      <w:pPr>
        <w:spacing w:line="384" w:lineRule="auto"/>
        <w:ind w:left="4" w:firstLine="563"/>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依据《中华人民共和国民法典》及国家相关</w:t>
      </w:r>
      <w:r>
        <w:rPr>
          <w:rFonts w:hint="eastAsia" w:ascii="宋体" w:hAnsi="宋体" w:eastAsia="宋体" w:cs="宋体"/>
          <w:color w:val="auto"/>
          <w:spacing w:val="-3"/>
          <w:sz w:val="24"/>
          <w:szCs w:val="24"/>
        </w:rPr>
        <w:t>法律、法规的规定，双方在平等、</w:t>
      </w:r>
      <w:r>
        <w:rPr>
          <w:rFonts w:hint="eastAsia" w:ascii="宋体" w:hAnsi="宋体" w:eastAsia="宋体" w:cs="宋体"/>
          <w:color w:val="auto"/>
          <w:spacing w:val="-62"/>
          <w:sz w:val="24"/>
          <w:szCs w:val="24"/>
        </w:rPr>
        <w:t xml:space="preserve"> </w:t>
      </w:r>
      <w:r>
        <w:rPr>
          <w:rFonts w:hint="eastAsia" w:ascii="宋体" w:hAnsi="宋体" w:eastAsia="宋体" w:cs="宋体"/>
          <w:color w:val="auto"/>
          <w:spacing w:val="-3"/>
          <w:sz w:val="24"/>
          <w:szCs w:val="24"/>
        </w:rPr>
        <w:t>自</w:t>
      </w:r>
      <w:r>
        <w:rPr>
          <w:rFonts w:hint="eastAsia" w:ascii="宋体" w:hAnsi="宋体" w:eastAsia="宋体" w:cs="宋体"/>
          <w:color w:val="auto"/>
          <w:spacing w:val="-1"/>
          <w:sz w:val="24"/>
          <w:szCs w:val="24"/>
        </w:rPr>
        <w:t>愿、等价有偿、公平、诚实信用的基础上，经友好协商，就甲方委托乙方进行体检服务事项，双方经协商一致，特签订本合同，以兹共同遵守。</w:t>
      </w:r>
    </w:p>
    <w:p w14:paraId="1C4603A1">
      <w:pPr>
        <w:spacing w:line="223" w:lineRule="auto"/>
        <w:ind w:left="4"/>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一、委托事项</w:t>
      </w:r>
    </w:p>
    <w:p w14:paraId="4CBB9756">
      <w:pPr>
        <w:spacing w:before="208" w:line="384" w:lineRule="auto"/>
        <w:ind w:firstLine="577"/>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1、甲方委托乙方进行</w:t>
      </w:r>
      <w:r>
        <w:rPr>
          <w:rFonts w:hint="eastAsia" w:ascii="宋体" w:hAnsi="宋体" w:eastAsia="宋体" w:cs="宋体"/>
          <w:color w:val="auto"/>
          <w:spacing w:val="-1"/>
          <w:sz w:val="24"/>
          <w:szCs w:val="24"/>
          <w:lang w:eastAsia="zh-CN"/>
        </w:rPr>
        <w:t>2026年专家体检项目</w:t>
      </w:r>
      <w:r>
        <w:rPr>
          <w:rFonts w:hint="eastAsia" w:ascii="宋体" w:hAnsi="宋体" w:eastAsia="宋体" w:cs="宋体"/>
          <w:color w:val="auto"/>
          <w:spacing w:val="-1"/>
          <w:sz w:val="24"/>
          <w:szCs w:val="24"/>
        </w:rPr>
        <w:t>服务采购</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u w:val="single" w:color="auto"/>
        </w:rPr>
        <w:t>暂</w:t>
      </w:r>
      <w:r>
        <w:rPr>
          <w:rFonts w:hint="eastAsia" w:ascii="宋体" w:hAnsi="宋体" w:eastAsia="宋体" w:cs="宋体"/>
          <w:color w:val="auto"/>
          <w:spacing w:val="-1"/>
          <w:sz w:val="24"/>
          <w:szCs w:val="24"/>
          <w:u w:val="single" w:color="auto"/>
          <w:lang w:val="en-US" w:eastAsia="zh-CN"/>
        </w:rPr>
        <w:t xml:space="preserve">定    </w:t>
      </w:r>
      <w:r>
        <w:rPr>
          <w:rFonts w:hint="eastAsia" w:ascii="宋体" w:hAnsi="宋体" w:eastAsia="宋体" w:cs="宋体"/>
          <w:color w:val="auto"/>
          <w:spacing w:val="-1"/>
          <w:sz w:val="24"/>
          <w:szCs w:val="24"/>
          <w:u w:val="single" w:color="auto"/>
        </w:rPr>
        <w:t>人</w:t>
      </w:r>
      <w:r>
        <w:rPr>
          <w:rFonts w:hint="eastAsia" w:ascii="宋体" w:hAnsi="宋体" w:eastAsia="宋体" w:cs="宋体"/>
          <w:color w:val="auto"/>
          <w:spacing w:val="-1"/>
          <w:sz w:val="24"/>
          <w:szCs w:val="24"/>
          <w:u w:val="single" w:color="auto"/>
          <w:lang w:val="zh-CN" w:eastAsia="zh-CN"/>
        </w:rPr>
        <w:t>（</w:t>
      </w:r>
      <w:r>
        <w:rPr>
          <w:rFonts w:hint="eastAsia" w:ascii="宋体" w:hAnsi="宋体" w:eastAsia="宋体" w:cs="宋体"/>
          <w:color w:val="auto"/>
          <w:spacing w:val="-1"/>
          <w:sz w:val="24"/>
          <w:szCs w:val="24"/>
          <w:u w:val="none" w:color="auto"/>
          <w:lang w:val="en-US" w:eastAsia="zh-CN"/>
        </w:rPr>
        <w:t>单位提供所</w:t>
      </w:r>
      <w:r>
        <w:rPr>
          <w:rFonts w:hint="eastAsia" w:ascii="宋体" w:hAnsi="宋体" w:eastAsia="宋体" w:cs="宋体"/>
          <w:color w:val="auto"/>
          <w:spacing w:val="-1"/>
          <w:sz w:val="24"/>
          <w:szCs w:val="24"/>
          <w:lang w:val="en-US" w:eastAsia="zh-CN"/>
        </w:rPr>
        <w:t>有体检项目价格(折扣价)，由参检人员自行选择体检项目，每人体检项目总额不得超过1000元，超出部分由专家本人自行与体检单位结算。</w:t>
      </w:r>
    </w:p>
    <w:p w14:paraId="41486A09">
      <w:pPr>
        <w:spacing w:before="3" w:line="220" w:lineRule="auto"/>
        <w:ind w:left="562"/>
        <w:rPr>
          <w:rFonts w:hint="eastAsia" w:ascii="宋体" w:hAnsi="宋体" w:eastAsia="宋体" w:cs="宋体"/>
          <w:color w:val="auto"/>
          <w:sz w:val="24"/>
          <w:szCs w:val="24"/>
        </w:rPr>
      </w:pPr>
      <w:r>
        <w:rPr>
          <w:rFonts w:hint="eastAsia" w:ascii="宋体" w:hAnsi="宋体" w:eastAsia="宋体" w:cs="宋体"/>
          <w:color w:val="auto"/>
          <w:spacing w:val="-2"/>
          <w:sz w:val="24"/>
          <w:szCs w:val="24"/>
        </w:rPr>
        <w:t>2、体检事项</w:t>
      </w:r>
    </w:p>
    <w:p w14:paraId="779F12F4">
      <w:pPr>
        <w:spacing w:before="213" w:line="220" w:lineRule="auto"/>
        <w:ind w:left="485"/>
        <w:rPr>
          <w:rFonts w:hint="default" w:ascii="宋体" w:hAnsi="宋体" w:eastAsia="宋体" w:cs="宋体"/>
          <w:color w:val="auto"/>
          <w:sz w:val="24"/>
          <w:szCs w:val="24"/>
          <w:u w:val="single"/>
          <w:lang w:val="en-US" w:eastAsia="zh-CN"/>
        </w:rPr>
      </w:pPr>
      <w:r>
        <w:rPr>
          <w:rFonts w:hint="eastAsia" w:ascii="宋体" w:hAnsi="宋体" w:eastAsia="宋体" w:cs="宋体"/>
          <w:color w:val="auto"/>
          <w:spacing w:val="-3"/>
          <w:sz w:val="24"/>
          <w:szCs w:val="24"/>
        </w:rPr>
        <w:t>（1）体检地点：</w:t>
      </w:r>
      <w:r>
        <w:rPr>
          <w:rFonts w:hint="eastAsia" w:ascii="宋体" w:hAnsi="宋体" w:eastAsia="宋体" w:cs="宋体"/>
          <w:color w:val="auto"/>
          <w:spacing w:val="-3"/>
          <w:sz w:val="24"/>
          <w:szCs w:val="24"/>
          <w:u w:val="single"/>
          <w:lang w:val="en-US" w:eastAsia="zh-CN"/>
        </w:rPr>
        <w:t xml:space="preserve">                 ；</w:t>
      </w:r>
    </w:p>
    <w:p w14:paraId="256FC204">
      <w:pPr>
        <w:spacing w:before="213" w:line="220" w:lineRule="auto"/>
        <w:ind w:left="485"/>
        <w:rPr>
          <w:rFonts w:hint="eastAsia" w:ascii="宋体" w:hAnsi="宋体" w:eastAsia="宋体" w:cs="宋体"/>
          <w:color w:val="auto"/>
          <w:sz w:val="24"/>
          <w:szCs w:val="24"/>
          <w:lang w:eastAsia="zh-CN"/>
        </w:rPr>
      </w:pPr>
      <w:r>
        <w:rPr>
          <w:rFonts w:hint="eastAsia" w:ascii="宋体" w:hAnsi="宋体" w:eastAsia="宋体" w:cs="宋体"/>
          <w:color w:val="auto"/>
          <w:spacing w:val="-3"/>
          <w:sz w:val="24"/>
          <w:szCs w:val="24"/>
        </w:rPr>
        <w:t>（2）体检要求：</w:t>
      </w:r>
    </w:p>
    <w:p w14:paraId="47488CAD">
      <w:pPr>
        <w:spacing w:before="213" w:line="220" w:lineRule="auto"/>
        <w:ind w:left="474"/>
        <w:rPr>
          <w:rFonts w:hint="eastAsia" w:ascii="宋体" w:hAnsi="宋体" w:eastAsia="宋体" w:cs="宋体"/>
          <w:color w:val="auto"/>
          <w:sz w:val="24"/>
          <w:szCs w:val="24"/>
        </w:rPr>
      </w:pPr>
      <w:r>
        <w:rPr>
          <w:rFonts w:hint="eastAsia" w:ascii="宋体" w:hAnsi="宋体" w:eastAsia="宋体" w:cs="宋体"/>
          <w:color w:val="auto"/>
          <w:spacing w:val="-1"/>
          <w:sz w:val="24"/>
          <w:szCs w:val="24"/>
        </w:rPr>
        <w:t>a.乙方应提前告知特殊体检项目的详细要求和注意事项（如</w:t>
      </w:r>
      <w:r>
        <w:rPr>
          <w:rFonts w:hint="eastAsia" w:ascii="宋体" w:hAnsi="宋体" w:eastAsia="宋体" w:cs="宋体"/>
          <w:color w:val="auto"/>
          <w:spacing w:val="-52"/>
          <w:sz w:val="24"/>
          <w:szCs w:val="24"/>
        </w:rPr>
        <w:t xml:space="preserve"> </w:t>
      </w:r>
      <w:r>
        <w:rPr>
          <w:rFonts w:hint="eastAsia" w:ascii="宋体" w:hAnsi="宋体" w:eastAsia="宋体" w:cs="宋体"/>
          <w:color w:val="auto"/>
          <w:spacing w:val="-1"/>
          <w:sz w:val="24"/>
          <w:szCs w:val="24"/>
        </w:rPr>
        <w:t>B</w:t>
      </w:r>
      <w:r>
        <w:rPr>
          <w:rFonts w:hint="eastAsia" w:ascii="宋体" w:hAnsi="宋体" w:eastAsia="宋体" w:cs="宋体"/>
          <w:color w:val="auto"/>
          <w:spacing w:val="-43"/>
          <w:sz w:val="24"/>
          <w:szCs w:val="24"/>
        </w:rPr>
        <w:t xml:space="preserve"> </w:t>
      </w:r>
      <w:r>
        <w:rPr>
          <w:rFonts w:hint="eastAsia" w:ascii="宋体" w:hAnsi="宋体" w:eastAsia="宋体" w:cs="宋体"/>
          <w:color w:val="auto"/>
          <w:spacing w:val="-1"/>
          <w:sz w:val="24"/>
          <w:szCs w:val="24"/>
        </w:rPr>
        <w:t>超、心电图等）。</w:t>
      </w:r>
    </w:p>
    <w:p w14:paraId="14EC4306">
      <w:pPr>
        <w:spacing w:before="213" w:line="384" w:lineRule="auto"/>
        <w:ind w:right="76" w:firstLine="469"/>
        <w:rPr>
          <w:rFonts w:hint="eastAsia" w:ascii="宋体" w:hAnsi="宋体" w:eastAsia="宋体" w:cs="宋体"/>
          <w:color w:val="auto"/>
          <w:sz w:val="24"/>
          <w:szCs w:val="24"/>
        </w:rPr>
      </w:pPr>
      <w:r>
        <w:rPr>
          <w:rFonts w:hint="eastAsia" w:ascii="宋体" w:hAnsi="宋体" w:eastAsia="宋体" w:cs="宋体"/>
          <w:color w:val="auto"/>
          <w:sz w:val="24"/>
          <w:szCs w:val="24"/>
        </w:rPr>
        <w:t>b.乙方须提供至少一年的后续跟踪服务，以一个季度为时间节点，</w:t>
      </w:r>
      <w:r>
        <w:rPr>
          <w:rFonts w:hint="eastAsia" w:ascii="宋体" w:hAnsi="宋体" w:eastAsia="宋体" w:cs="宋体"/>
          <w:color w:val="auto"/>
          <w:spacing w:val="-1"/>
          <w:sz w:val="24"/>
          <w:szCs w:val="24"/>
        </w:rPr>
        <w:t>为采购人进行健康理疗讲座、常规器械测量（血压、血糖）、颈椎检测等。</w:t>
      </w:r>
    </w:p>
    <w:p w14:paraId="65D90285">
      <w:pPr>
        <w:spacing w:line="220" w:lineRule="auto"/>
        <w:ind w:left="478"/>
        <w:rPr>
          <w:rFonts w:hint="eastAsia" w:ascii="宋体" w:hAnsi="宋体" w:eastAsia="宋体" w:cs="宋体"/>
          <w:color w:val="auto"/>
          <w:sz w:val="24"/>
          <w:szCs w:val="24"/>
        </w:rPr>
      </w:pPr>
      <w:r>
        <w:rPr>
          <w:rFonts w:hint="eastAsia" w:ascii="宋体" w:hAnsi="宋体" w:eastAsia="宋体" w:cs="宋体"/>
          <w:color w:val="auto"/>
          <w:sz w:val="24"/>
          <w:szCs w:val="24"/>
        </w:rPr>
        <w:t>c.乙方应派专门负责人进行场地引导，确保</w:t>
      </w:r>
      <w:r>
        <w:rPr>
          <w:rFonts w:hint="eastAsia" w:ascii="宋体" w:hAnsi="宋体" w:eastAsia="宋体" w:cs="宋体"/>
          <w:color w:val="auto"/>
          <w:spacing w:val="-1"/>
          <w:sz w:val="24"/>
          <w:szCs w:val="24"/>
        </w:rPr>
        <w:t>体检人员及时到达各个检查科室。</w:t>
      </w:r>
    </w:p>
    <w:p w14:paraId="09A34EDB">
      <w:pPr>
        <w:spacing w:before="216" w:line="384" w:lineRule="auto"/>
        <w:ind w:firstLine="485"/>
        <w:jc w:val="both"/>
        <w:rPr>
          <w:rFonts w:hint="eastAsia" w:ascii="宋体" w:hAnsi="宋体" w:eastAsia="宋体" w:cs="宋体"/>
          <w:color w:val="auto"/>
          <w:sz w:val="24"/>
          <w:szCs w:val="24"/>
        </w:rPr>
      </w:pPr>
      <w:r>
        <w:rPr>
          <w:rFonts w:hint="eastAsia" w:ascii="宋体" w:hAnsi="宋体" w:eastAsia="宋体" w:cs="宋体"/>
          <w:color w:val="auto"/>
          <w:spacing w:val="-3"/>
          <w:sz w:val="24"/>
          <w:szCs w:val="24"/>
        </w:rPr>
        <w:t>（3）体检报告：乙方应在体检结束后15日内，向体检</w:t>
      </w:r>
      <w:r>
        <w:rPr>
          <w:rFonts w:hint="eastAsia" w:ascii="宋体" w:hAnsi="宋体" w:eastAsia="宋体" w:cs="宋体"/>
          <w:color w:val="auto"/>
          <w:spacing w:val="-3"/>
          <w:sz w:val="24"/>
          <w:szCs w:val="24"/>
          <w:lang w:val="en-US" w:eastAsia="zh-CN"/>
        </w:rPr>
        <w:t>人员</w:t>
      </w:r>
      <w:r>
        <w:rPr>
          <w:rFonts w:hint="eastAsia" w:ascii="宋体" w:hAnsi="宋体" w:eastAsia="宋体" w:cs="宋体"/>
          <w:color w:val="auto"/>
          <w:spacing w:val="-3"/>
          <w:sz w:val="24"/>
          <w:szCs w:val="24"/>
        </w:rPr>
        <w:t>提交体检报告，体检</w:t>
      </w:r>
      <w:r>
        <w:rPr>
          <w:rFonts w:hint="eastAsia" w:ascii="宋体" w:hAnsi="宋体" w:eastAsia="宋体" w:cs="宋体"/>
          <w:color w:val="auto"/>
          <w:spacing w:val="-2"/>
          <w:sz w:val="24"/>
          <w:szCs w:val="24"/>
        </w:rPr>
        <w:t>报告须进行密封，体检结束30日内向甲方提供所查人员的疾患名单和疾病汇总分析，报告送达方式包括但不限于电子邮件或纸质报告送达。 乙方应进行一次上门体检报告</w:t>
      </w:r>
      <w:r>
        <w:rPr>
          <w:rFonts w:hint="eastAsia" w:ascii="宋体" w:hAnsi="宋体" w:eastAsia="宋体" w:cs="宋体"/>
          <w:color w:val="auto"/>
          <w:spacing w:val="-4"/>
          <w:sz w:val="24"/>
          <w:szCs w:val="24"/>
        </w:rPr>
        <w:t>解析答疑。</w:t>
      </w:r>
    </w:p>
    <w:p w14:paraId="36663477">
      <w:pPr>
        <w:spacing w:line="222" w:lineRule="auto"/>
        <w:ind w:left="8"/>
        <w:rPr>
          <w:rFonts w:hint="eastAsia" w:ascii="宋体" w:hAnsi="宋体" w:eastAsia="宋体" w:cs="宋体"/>
          <w:b/>
          <w:bCs/>
          <w:color w:val="auto"/>
          <w:spacing w:val="-6"/>
          <w:sz w:val="24"/>
          <w:szCs w:val="24"/>
        </w:rPr>
      </w:pPr>
      <w:r>
        <w:rPr>
          <w:rFonts w:hint="eastAsia" w:ascii="宋体" w:hAnsi="宋体" w:eastAsia="宋体" w:cs="宋体"/>
          <w:b/>
          <w:bCs/>
          <w:color w:val="auto"/>
          <w:spacing w:val="-6"/>
          <w:sz w:val="24"/>
          <w:szCs w:val="24"/>
        </w:rPr>
        <w:t>二、委托期限</w:t>
      </w:r>
    </w:p>
    <w:p w14:paraId="511F0AB4">
      <w:pPr>
        <w:spacing w:line="222" w:lineRule="auto"/>
        <w:ind w:left="8"/>
        <w:rPr>
          <w:rFonts w:hint="eastAsia" w:ascii="宋体" w:hAnsi="宋体" w:eastAsia="宋体" w:cs="宋体"/>
          <w:b/>
          <w:bCs/>
          <w:color w:val="auto"/>
          <w:spacing w:val="-6"/>
          <w:sz w:val="24"/>
          <w:szCs w:val="24"/>
        </w:rPr>
      </w:pPr>
    </w:p>
    <w:p w14:paraId="692AA8D2">
      <w:pPr>
        <w:pStyle w:val="3"/>
        <w:spacing w:line="25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自合同签订之日起至2026年12月20日</w:t>
      </w:r>
      <w:bookmarkStart w:id="0" w:name="_GoBack"/>
      <w:bookmarkEnd w:id="0"/>
      <w:r>
        <w:rPr>
          <w:rFonts w:hint="eastAsia" w:ascii="宋体" w:hAnsi="宋体" w:eastAsia="宋体" w:cs="宋体"/>
          <w:color w:val="auto"/>
          <w:sz w:val="24"/>
          <w:szCs w:val="24"/>
          <w:lang w:val="en-US" w:eastAsia="zh-CN"/>
        </w:rPr>
        <w:t>。</w:t>
      </w:r>
    </w:p>
    <w:p w14:paraId="22918BF7">
      <w:pPr>
        <w:pStyle w:val="3"/>
        <w:spacing w:line="250" w:lineRule="auto"/>
        <w:rPr>
          <w:rFonts w:hint="eastAsia" w:ascii="宋体" w:hAnsi="宋体" w:eastAsia="宋体" w:cs="宋体"/>
          <w:color w:val="auto"/>
        </w:rPr>
      </w:pPr>
    </w:p>
    <w:p w14:paraId="2C08C1AC">
      <w:pPr>
        <w:spacing w:before="79" w:line="223" w:lineRule="auto"/>
        <w:ind w:left="7"/>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三、委托费用及支付方式</w:t>
      </w:r>
    </w:p>
    <w:p w14:paraId="2F90940C">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 xml:space="preserve">1.款项结算:按实际参检人数及其选择的项目金额核算总金额，每人结算标准1000元，超出费用由本人根据实际折扣自付。 </w:t>
      </w:r>
    </w:p>
    <w:p w14:paraId="2FBC5A0E">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2.结算方式：最终结算价款=实际体检人数*结算单价。</w:t>
      </w:r>
    </w:p>
    <w:p w14:paraId="1D04A9EC">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注：以上人数为暂定人数，最终结算以实际体检人数为准。合同中的全部费用包括但不限于：体检服务所发生的劳务费用、管理费用、运输费用、人员工资、材料费用、水电费用、风险费用、招标代理服务费、利润、税金以及本次服务的体检项目所需的一次性消耗品、检查仪器、人员、运输等所有费用等在内的一切费用。</w:t>
      </w:r>
    </w:p>
    <w:p w14:paraId="27C9158D">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3.支付方式</w:t>
      </w:r>
    </w:p>
    <w:p w14:paraId="52F94748">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合同签订后 ，体检费用按照实际参检人数据实结算，分两期支付：合同签订后先行支付50%预付款；2026年12月底前，根据实际参检人数据实结清余款。由中心成立验收小组，采取日常检查、月度考核、终期验收相结合的方式，全程开展服务质量考核及履约验收工作。</w:t>
      </w:r>
    </w:p>
    <w:p w14:paraId="7CAF6DC0">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乙方按甲方要求提供体检卡和等额税务发票后，甲方在十日内，按照乙方实际提供体检卡数量据实结算和支付体检费用。</w:t>
      </w:r>
    </w:p>
    <w:p w14:paraId="3F0FF426">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甲方每次付款前，乙方应向甲方提供符合甲方要求的等额有效的正规发票，乙方逾期提供发票或提供发票不符合甲方要求，致使甲方逾期付款的责任，由乙方自行承担，甲方不承担违约责任，且甲方有权拒绝付款。如乙方所提供的发票被认定为假票的，乙方除按照同等金额向甲方重新提供合法发票外，乙方还应按照发票票面金额的二倍向甲方支付违约金，给甲方带来的损失、处罚的相关责任，由乙方承担。</w:t>
      </w:r>
    </w:p>
    <w:p w14:paraId="3ABAE0A5">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4.甲方通过银行转账方式向乙方支付合同价款，乙方账户信息见合同签章页，乙方承担因信息有误造成的一切不利后果。</w:t>
      </w:r>
    </w:p>
    <w:p w14:paraId="7BD011F5">
      <w:pPr>
        <w:spacing w:line="222" w:lineRule="auto"/>
        <w:ind w:left="30"/>
        <w:rPr>
          <w:rFonts w:hint="eastAsia" w:ascii="宋体" w:hAnsi="宋体" w:eastAsia="宋体" w:cs="宋体"/>
          <w:color w:val="auto"/>
          <w:sz w:val="24"/>
          <w:szCs w:val="24"/>
        </w:rPr>
      </w:pPr>
      <w:r>
        <w:rPr>
          <w:rFonts w:hint="eastAsia" w:ascii="宋体" w:hAnsi="宋体" w:eastAsia="宋体" w:cs="宋体"/>
          <w:b/>
          <w:bCs/>
          <w:color w:val="auto"/>
          <w:spacing w:val="-7"/>
          <w:sz w:val="24"/>
          <w:szCs w:val="24"/>
        </w:rPr>
        <w:t>四、双方权利和义务</w:t>
      </w:r>
    </w:p>
    <w:p w14:paraId="55B64EC3">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1.甲方有权对乙方的工作进行全面的指导、检查和监督，发现问题及时向乙方发出通知，要求乙方及时予以处理，对乙方提出的合理建议和要求予以采纳或提供帮</w:t>
      </w:r>
    </w:p>
    <w:p w14:paraId="0D812251">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助。若乙方拒不执行甲方的建议，由此而产生的相关费用应由乙方自行承担，若因此造成的工作延误，乙方应承担相关责任与损失。</w:t>
      </w:r>
    </w:p>
    <w:p w14:paraId="6B951469">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经乙方书面申请，甲方根据乙方资料清单，负责及时提供乙方完成工作所需的有关项目资料信息。</w:t>
      </w:r>
    </w:p>
    <w:p w14:paraId="07EF37A3">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3.甲方应依约向乙方支付合同价款。</w:t>
      </w:r>
    </w:p>
    <w:p w14:paraId="0E150A3E">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4.甲方有权根据项目实际情况，合理变更体检要求，乙方应积极配合。</w:t>
      </w:r>
    </w:p>
    <w:p w14:paraId="3DD3CD84">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5.甲方有义务配合乙方体检所需场地安排。</w:t>
      </w:r>
    </w:p>
    <w:p w14:paraId="0E4FC79D">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6.乙方必须严格按照甲方要求进行体检服务工作，保证体检服务的时效性、专业性，如未达到甲方要求或者乙方响应文件承诺的， 由乙方承担全部责任，并采取相应补救措施。</w:t>
      </w:r>
    </w:p>
    <w:p w14:paraId="735F7E01">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7.乙方有权要求甲方按照合同约定支付相应款项。</w:t>
      </w:r>
    </w:p>
    <w:p w14:paraId="5812AF3F">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8.乙方应当严格按照本合同要求及乙方响应文件承诺提供本项目服务，并尊重甲方的意见并予以最大程度实现，确保项目服务品质。</w:t>
      </w:r>
    </w:p>
    <w:p w14:paraId="1A3AAB2C">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9.乙方应当按照本合同的约定完成服务工作。乙方对体检报告数据的真实性、专业性和合法性负责。</w:t>
      </w:r>
    </w:p>
    <w:p w14:paraId="675EB74E">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10.乙方不得将本项目所涉事项转委托给任意第三人。</w:t>
      </w:r>
    </w:p>
    <w:p w14:paraId="268B2956">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11.本合同委托期限内，因乙方原因或在乙方体检场地造成甲方体检人员人身、财</w:t>
      </w:r>
    </w:p>
    <w:p w14:paraId="4A4A339E">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产损失的，乙方自行承担相关责任，导致甲方承担责任的，甲方有权向乙方追偿。</w:t>
      </w:r>
    </w:p>
    <w:p w14:paraId="3641792A">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12.乙方应谨慎履行体检义务，并就提交报告所示信息，尤其是危险信息向甲方体检人员提示。如因乙方原因导致甲方人员体检时漏检、误检、未提示以致错过最佳治疗时间的，乙方应就甲方及甲方体检人员承担赔偿责任。</w:t>
      </w:r>
    </w:p>
    <w:p w14:paraId="7FE01466">
      <w:pPr>
        <w:spacing w:before="95" w:line="223" w:lineRule="auto"/>
        <w:ind w:left="8"/>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五、违约责任</w:t>
      </w:r>
    </w:p>
    <w:p w14:paraId="12546084">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1.（1）漏检、错检、报告拖延、数据错误：按单次/单人次进行扣款；</w:t>
      </w:r>
    </w:p>
    <w:p w14:paraId="2560E8E0">
      <w:pPr>
        <w:spacing w:before="216" w:line="384" w:lineRule="auto"/>
        <w:ind w:firstLine="772" w:firstLineChars="330"/>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（2）擅自减项、降标、更换设备：甲方有权无条件解约；</w:t>
      </w:r>
    </w:p>
    <w:p w14:paraId="4CDC30B4">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 隐私泄露、数据外泄：承担全部赔偿及法律责任。</w:t>
      </w:r>
    </w:p>
    <w:p w14:paraId="30D97D42">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2.乙方无正当理由提前终止本合同的，甲方有权拒绝支付任何费用，同时，乙方应返还甲方已支付全部费用，甲方还有权要乙方支付本合同总价款 20%的违约金，违约金不足以弥补甲方损失的，乙方应予补足。</w:t>
      </w:r>
    </w:p>
    <w:p w14:paraId="03754AB8">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3.乙方逾期交付体检报告，每逾期一日，应向甲方支付本合同总价款 1‰的违约金；逾期超过十日（含十日）的，甲方还有权单方解除本合同，不予支付任何剩余款项，</w:t>
      </w:r>
    </w:p>
    <w:p w14:paraId="63BE8396">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同时，双方据实结算，甲方有权要求乙方支付本合同总价款 20%的违约金，违约金不足以弥补甲方损失的，乙方还应补足。</w:t>
      </w:r>
    </w:p>
    <w:p w14:paraId="6A66E998">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4.乙方擅自将本合同所涉事项转委托给第三人的，甲方有权单方解除本合同，不予支付剩余款项，同时，乙方应返还甲方已支付全部费用，还应按照本合同总价款的20%向甲方支付违约金，违约金不足以弥补甲方全部损失的，乙方还应负责补足。</w:t>
      </w:r>
    </w:p>
    <w:p w14:paraId="53FEA12A">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5.乙方未按协议要求提供服务或服务质量不能满足本协议约定，甲方有权根据服务质量、体检人员投诉、抽检结果随时考核，考核不达标有权暂停服务、终止合同。乙方应退还甲方已付价款。</w:t>
      </w:r>
    </w:p>
    <w:p w14:paraId="31CDB120">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5.本合同约定的违约情形独立存在，可叠加适用。乙方按照合同约定应当向甲方支付的违约金，乙方同意甲方从应付未付款中直接予以扣除。</w:t>
      </w:r>
    </w:p>
    <w:p w14:paraId="7983101D">
      <w:pPr>
        <w:spacing w:before="1" w:line="220" w:lineRule="auto"/>
        <w:ind w:left="6"/>
        <w:rPr>
          <w:rFonts w:hint="eastAsia" w:ascii="宋体" w:hAnsi="宋体" w:eastAsia="宋体" w:cs="宋体"/>
          <w:color w:val="auto"/>
          <w:sz w:val="24"/>
          <w:szCs w:val="24"/>
        </w:rPr>
      </w:pPr>
      <w:r>
        <w:rPr>
          <w:rFonts w:hint="eastAsia" w:ascii="宋体" w:hAnsi="宋体" w:eastAsia="宋体" w:cs="宋体"/>
          <w:b/>
          <w:bCs/>
          <w:color w:val="auto"/>
          <w:spacing w:val="-7"/>
          <w:sz w:val="24"/>
          <w:szCs w:val="24"/>
        </w:rPr>
        <w:t>六、保密</w:t>
      </w:r>
    </w:p>
    <w:p w14:paraId="70B4902C">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未经甲方书面同意，乙方不得向第三方提供或者披露与甲方业务有关的或与本合同有关的资料和信息，因此造成的损失由乙方承担，且甲方有权解除本合同，同时，乙方应返还甲方已支付全部费用，还应按照本合同总价款的20%向甲方支付违约金，违约金不足以弥补甲方全部损失的，乙方还应负责补足。</w:t>
      </w:r>
    </w:p>
    <w:p w14:paraId="575DE4EE">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 xml:space="preserve">2.甲、乙双方对于因签署或履行本合同而了解或接触到对方的机密资料和信息，均应保守秘密。未经对方书面许可，任何一方不得向第三方提供或透露与对方有关的资料和信息，但法律另有规定的除外。 </w:t>
      </w:r>
    </w:p>
    <w:p w14:paraId="4ED185B3">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本条款不因本合同的履行、撤销、无效、终止、变更或解除而失效。在本合同终止后，各方仍须遵守本合同之保密条款，履行其所承诺的保密义务，直到对方同意其解除此项义务，或事实上不会因违反本合同的保密条款而给对方造成任何形式的损害时为止。因违反本条款给对方造成损失的，应当承担侵权责任。</w:t>
      </w:r>
    </w:p>
    <w:p w14:paraId="153B3BA9">
      <w:pPr>
        <w:spacing w:line="223" w:lineRule="auto"/>
        <w:ind w:left="5"/>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七、不可抗力</w:t>
      </w:r>
    </w:p>
    <w:p w14:paraId="62B1670F">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1.因 自然灾害、政府行为、疫情等不可抗力因素，致使本合同部分或全部无法履行、迟延履行时，经双方协商一致后，互不承担违约责任。</w:t>
      </w:r>
    </w:p>
    <w:p w14:paraId="00B11C21">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2.遭遇不可抗力方应在具备通知条件后24 小时内书面通知另一方，并提供该不可抗力发生情况和影响的有效官方证明。未履行通知义务的，不免除违约责任。</w:t>
      </w:r>
    </w:p>
    <w:p w14:paraId="747C547C">
      <w:pPr>
        <w:spacing w:before="216" w:line="384" w:lineRule="auto"/>
        <w:jc w:val="both"/>
        <w:rPr>
          <w:rFonts w:hint="eastAsia" w:ascii="宋体" w:hAnsi="宋体" w:eastAsia="宋体" w:cs="宋体"/>
          <w:b/>
          <w:bCs/>
          <w:color w:val="auto"/>
          <w:spacing w:val="-3"/>
          <w:sz w:val="24"/>
          <w:szCs w:val="24"/>
          <w:lang w:val="en-US" w:eastAsia="zh-CN"/>
        </w:rPr>
      </w:pPr>
      <w:r>
        <w:rPr>
          <w:rFonts w:hint="eastAsia" w:ascii="宋体" w:hAnsi="宋体" w:eastAsia="宋体" w:cs="宋体"/>
          <w:b/>
          <w:bCs/>
          <w:color w:val="auto"/>
          <w:spacing w:val="-3"/>
          <w:sz w:val="24"/>
          <w:szCs w:val="24"/>
          <w:lang w:val="en-US" w:eastAsia="zh-CN"/>
        </w:rPr>
        <w:t>八、争议解决</w:t>
      </w:r>
    </w:p>
    <w:p w14:paraId="4157EB29">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本合同履行过程中发生的争议，双方可本着友好协商的态度，公平合理解决；协商解决不成的，双方均可向甲方所在地有管辖权的人民法院诉讼解决。</w:t>
      </w:r>
    </w:p>
    <w:p w14:paraId="03A80688">
      <w:pPr>
        <w:spacing w:before="94" w:line="224" w:lineRule="auto"/>
        <w:ind w:left="9"/>
        <w:rPr>
          <w:rFonts w:hint="eastAsia" w:ascii="宋体" w:hAnsi="宋体" w:eastAsia="宋体" w:cs="宋体"/>
          <w:color w:val="auto"/>
          <w:sz w:val="24"/>
          <w:szCs w:val="24"/>
        </w:rPr>
      </w:pPr>
      <w:r>
        <w:rPr>
          <w:rFonts w:hint="eastAsia" w:ascii="宋体" w:hAnsi="宋体" w:eastAsia="宋体" w:cs="宋体"/>
          <w:b/>
          <w:bCs/>
          <w:color w:val="auto"/>
          <w:spacing w:val="-9"/>
          <w:sz w:val="24"/>
          <w:szCs w:val="24"/>
        </w:rPr>
        <w:t>九、附则</w:t>
      </w:r>
    </w:p>
    <w:p w14:paraId="03065110">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1.本合同未尽事宜，双方协商并签订补充协议，补充协议为本合同重要组成部分。</w:t>
      </w:r>
    </w:p>
    <w:p w14:paraId="06CAE905">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2.本合同自双方法定代表人（负责人）或委托代理人签字并加盖公章，或盖章之日起生效。</w:t>
      </w:r>
    </w:p>
    <w:p w14:paraId="07DE27BF">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3.本合同壹式  份，甲、乙双方各执  份，具有同等法律效力。</w:t>
      </w:r>
    </w:p>
    <w:p w14:paraId="0A7D97A2">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4.本合同附件为本合同不可分割部分，与本合同具有同等法律效力。</w:t>
      </w:r>
    </w:p>
    <w:p w14:paraId="534C3F5F">
      <w:pPr>
        <w:spacing w:before="216" w:line="384" w:lineRule="auto"/>
        <w:ind w:firstLine="485"/>
        <w:jc w:val="both"/>
        <w:rPr>
          <w:rFonts w:hint="eastAsia" w:ascii="宋体" w:hAnsi="宋体" w:eastAsia="宋体" w:cs="宋体"/>
          <w:color w:val="auto"/>
          <w:spacing w:val="-3"/>
          <w:sz w:val="24"/>
          <w:szCs w:val="24"/>
          <w:lang w:val="en-US" w:eastAsia="zh-CN"/>
        </w:rPr>
        <w:sectPr>
          <w:footerReference r:id="rId5" w:type="default"/>
          <w:pgSz w:w="11905" w:h="16839"/>
          <w:pgMar w:top="1431" w:right="1333" w:bottom="1429" w:left="1546" w:header="0" w:footer="1134" w:gutter="0"/>
          <w:pgNumType w:fmt="decimal" w:start="1"/>
          <w:cols w:space="720" w:num="1"/>
        </w:sectPr>
      </w:pPr>
    </w:p>
    <w:tbl>
      <w:tblPr>
        <w:tblStyle w:val="10"/>
        <w:tblW w:w="9621"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695"/>
        <w:gridCol w:w="4926"/>
      </w:tblGrid>
      <w:tr w14:paraId="2067D3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9" w:hRule="atLeast"/>
        </w:trPr>
        <w:tc>
          <w:tcPr>
            <w:tcW w:w="4695" w:type="dxa"/>
            <w:shd w:val="clear" w:color="auto" w:fill="BDC0BF"/>
            <w:vAlign w:val="top"/>
          </w:tcPr>
          <w:p w14:paraId="3C166A3A">
            <w:pPr>
              <w:pStyle w:val="11"/>
              <w:spacing w:before="268" w:line="222" w:lineRule="auto"/>
              <w:ind w:left="142"/>
              <w:rPr>
                <w:rFonts w:hint="eastAsia" w:ascii="宋体" w:hAnsi="宋体" w:eastAsia="宋体" w:cs="宋体"/>
                <w:color w:val="auto"/>
              </w:rPr>
            </w:pPr>
            <w:r>
              <w:rPr>
                <w:rFonts w:hint="eastAsia" w:ascii="宋体" w:hAnsi="宋体" w:eastAsia="宋体" w:cs="宋体"/>
                <w:b/>
                <w:bCs/>
                <w:color w:val="auto"/>
                <w:spacing w:val="-10"/>
              </w:rPr>
              <w:t>甲方（盖章）</w:t>
            </w:r>
          </w:p>
        </w:tc>
        <w:tc>
          <w:tcPr>
            <w:tcW w:w="4926" w:type="dxa"/>
            <w:shd w:val="clear" w:color="auto" w:fill="BDC0BF"/>
            <w:vAlign w:val="top"/>
          </w:tcPr>
          <w:p w14:paraId="0EA222F2">
            <w:pPr>
              <w:pStyle w:val="11"/>
              <w:spacing w:before="268" w:line="222" w:lineRule="auto"/>
              <w:ind w:left="124"/>
              <w:rPr>
                <w:rFonts w:hint="eastAsia" w:ascii="宋体" w:hAnsi="宋体" w:eastAsia="宋体" w:cs="宋体"/>
                <w:color w:val="auto"/>
              </w:rPr>
            </w:pPr>
            <w:r>
              <w:rPr>
                <w:rFonts w:hint="eastAsia" w:ascii="宋体" w:hAnsi="宋体" w:eastAsia="宋体" w:cs="宋体"/>
                <w:b/>
                <w:bCs/>
                <w:color w:val="auto"/>
                <w:spacing w:val="-8"/>
              </w:rPr>
              <w:t>乙方（盖章）</w:t>
            </w:r>
          </w:p>
        </w:tc>
      </w:tr>
      <w:tr w14:paraId="0B9DA5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34" w:hRule="atLeast"/>
        </w:trPr>
        <w:tc>
          <w:tcPr>
            <w:tcW w:w="4695" w:type="dxa"/>
            <w:vAlign w:val="top"/>
          </w:tcPr>
          <w:p w14:paraId="45A1F413">
            <w:pPr>
              <w:rPr>
                <w:rFonts w:hint="eastAsia" w:ascii="宋体" w:hAnsi="宋体" w:eastAsia="宋体" w:cs="宋体"/>
                <w:color w:val="auto"/>
                <w:sz w:val="21"/>
              </w:rPr>
            </w:pPr>
          </w:p>
        </w:tc>
        <w:tc>
          <w:tcPr>
            <w:tcW w:w="4926" w:type="dxa"/>
            <w:vAlign w:val="top"/>
          </w:tcPr>
          <w:p w14:paraId="3175F42E">
            <w:pPr>
              <w:rPr>
                <w:rFonts w:hint="eastAsia" w:ascii="宋体" w:hAnsi="宋体" w:eastAsia="宋体" w:cs="宋体"/>
                <w:color w:val="auto"/>
                <w:sz w:val="21"/>
              </w:rPr>
            </w:pPr>
          </w:p>
        </w:tc>
      </w:tr>
      <w:tr w14:paraId="729B22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0" w:hRule="atLeast"/>
        </w:trPr>
        <w:tc>
          <w:tcPr>
            <w:tcW w:w="4695" w:type="dxa"/>
            <w:vAlign w:val="top"/>
          </w:tcPr>
          <w:p w14:paraId="3CC14518">
            <w:pPr>
              <w:pStyle w:val="11"/>
              <w:spacing w:before="263" w:line="221" w:lineRule="auto"/>
              <w:ind w:left="115"/>
              <w:rPr>
                <w:rFonts w:hint="eastAsia" w:ascii="宋体" w:hAnsi="宋体" w:eastAsia="宋体" w:cs="宋体"/>
                <w:color w:val="auto"/>
              </w:rPr>
            </w:pPr>
            <w:r>
              <w:rPr>
                <w:rFonts w:hint="eastAsia" w:ascii="宋体" w:hAnsi="宋体" w:eastAsia="宋体" w:cs="宋体"/>
                <w:color w:val="auto"/>
                <w:spacing w:val="-5"/>
              </w:rPr>
              <w:t>单位名称：</w:t>
            </w:r>
          </w:p>
        </w:tc>
        <w:tc>
          <w:tcPr>
            <w:tcW w:w="4926" w:type="dxa"/>
            <w:vAlign w:val="top"/>
          </w:tcPr>
          <w:p w14:paraId="2B62B2A4">
            <w:pPr>
              <w:pStyle w:val="11"/>
              <w:spacing w:before="263" w:line="221" w:lineRule="auto"/>
              <w:ind w:left="112"/>
              <w:rPr>
                <w:rFonts w:hint="eastAsia" w:ascii="宋体" w:hAnsi="宋体" w:eastAsia="宋体" w:cs="宋体"/>
                <w:color w:val="auto"/>
              </w:rPr>
            </w:pPr>
            <w:r>
              <w:rPr>
                <w:rFonts w:hint="eastAsia" w:ascii="宋体" w:hAnsi="宋体" w:eastAsia="宋体" w:cs="宋体"/>
                <w:color w:val="auto"/>
                <w:spacing w:val="-5"/>
              </w:rPr>
              <w:t>单位名称：</w:t>
            </w:r>
          </w:p>
        </w:tc>
      </w:tr>
      <w:tr w14:paraId="798957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35" w:hRule="atLeast"/>
        </w:trPr>
        <w:tc>
          <w:tcPr>
            <w:tcW w:w="4695" w:type="dxa"/>
            <w:vAlign w:val="top"/>
          </w:tcPr>
          <w:p w14:paraId="0CD37918">
            <w:pPr>
              <w:pStyle w:val="11"/>
              <w:spacing w:before="263" w:line="224" w:lineRule="auto"/>
              <w:ind w:left="117"/>
              <w:rPr>
                <w:rFonts w:hint="eastAsia" w:ascii="宋体" w:hAnsi="宋体" w:eastAsia="宋体" w:cs="宋体"/>
                <w:color w:val="auto"/>
              </w:rPr>
            </w:pPr>
            <w:r>
              <w:rPr>
                <w:rFonts w:hint="eastAsia" w:ascii="宋体" w:hAnsi="宋体" w:eastAsia="宋体" w:cs="宋体"/>
                <w:color w:val="auto"/>
                <w:spacing w:val="-8"/>
              </w:rPr>
              <w:t>负责人</w:t>
            </w:r>
          </w:p>
          <w:p w14:paraId="39B3D3A0">
            <w:pPr>
              <w:pStyle w:val="11"/>
              <w:spacing w:before="275" w:line="223" w:lineRule="auto"/>
              <w:ind w:left="114"/>
              <w:rPr>
                <w:rFonts w:hint="eastAsia" w:ascii="宋体" w:hAnsi="宋体" w:eastAsia="宋体" w:cs="宋体"/>
                <w:color w:val="auto"/>
              </w:rPr>
            </w:pPr>
            <w:r>
              <w:rPr>
                <w:rFonts w:hint="eastAsia" w:ascii="宋体" w:hAnsi="宋体" w:eastAsia="宋体" w:cs="宋体"/>
                <w:color w:val="auto"/>
                <w:spacing w:val="-3"/>
              </w:rPr>
              <w:t>或委托代理人（签字</w:t>
            </w:r>
            <w:r>
              <w:rPr>
                <w:rFonts w:hint="eastAsia" w:ascii="宋体" w:hAnsi="宋体" w:eastAsia="宋体" w:cs="宋体"/>
                <w:color w:val="auto"/>
                <w:spacing w:val="3"/>
              </w:rPr>
              <w:t>）：</w:t>
            </w:r>
          </w:p>
        </w:tc>
        <w:tc>
          <w:tcPr>
            <w:tcW w:w="4926" w:type="dxa"/>
            <w:vAlign w:val="top"/>
          </w:tcPr>
          <w:p w14:paraId="5A2BDE3B">
            <w:pPr>
              <w:pStyle w:val="11"/>
              <w:spacing w:before="263" w:line="223" w:lineRule="auto"/>
              <w:ind w:left="115"/>
              <w:rPr>
                <w:rFonts w:hint="eastAsia" w:ascii="宋体" w:hAnsi="宋体" w:eastAsia="宋体" w:cs="宋体"/>
                <w:color w:val="auto"/>
              </w:rPr>
            </w:pPr>
            <w:r>
              <w:rPr>
                <w:rFonts w:hint="eastAsia" w:ascii="宋体" w:hAnsi="宋体" w:eastAsia="宋体" w:cs="宋体"/>
                <w:color w:val="auto"/>
                <w:spacing w:val="-5"/>
              </w:rPr>
              <w:t>法定代表人</w:t>
            </w:r>
          </w:p>
          <w:p w14:paraId="7FFABA51">
            <w:pPr>
              <w:pStyle w:val="11"/>
              <w:spacing w:before="276" w:line="223" w:lineRule="auto"/>
              <w:ind w:left="111"/>
              <w:rPr>
                <w:rFonts w:hint="eastAsia" w:ascii="宋体" w:hAnsi="宋体" w:eastAsia="宋体" w:cs="宋体"/>
                <w:color w:val="auto"/>
              </w:rPr>
            </w:pPr>
            <w:r>
              <w:rPr>
                <w:rFonts w:hint="eastAsia" w:ascii="宋体" w:hAnsi="宋体" w:eastAsia="宋体" w:cs="宋体"/>
                <w:color w:val="auto"/>
                <w:spacing w:val="-3"/>
              </w:rPr>
              <w:t>或委托代理人（签字</w:t>
            </w:r>
            <w:r>
              <w:rPr>
                <w:rFonts w:hint="eastAsia" w:ascii="宋体" w:hAnsi="宋体" w:eastAsia="宋体" w:cs="宋体"/>
                <w:color w:val="auto"/>
                <w:spacing w:val="3"/>
              </w:rPr>
              <w:t>）：</w:t>
            </w:r>
          </w:p>
        </w:tc>
      </w:tr>
      <w:tr w14:paraId="7AFC31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9" w:hRule="atLeast"/>
        </w:trPr>
        <w:tc>
          <w:tcPr>
            <w:tcW w:w="4695" w:type="dxa"/>
            <w:vAlign w:val="top"/>
          </w:tcPr>
          <w:p w14:paraId="57A6CF4F">
            <w:pPr>
              <w:pStyle w:val="11"/>
              <w:spacing w:before="267" w:line="223" w:lineRule="auto"/>
              <w:ind w:left="107"/>
              <w:rPr>
                <w:rFonts w:hint="eastAsia" w:ascii="宋体" w:hAnsi="宋体" w:eastAsia="宋体" w:cs="宋体"/>
                <w:color w:val="auto"/>
              </w:rPr>
            </w:pPr>
            <w:r>
              <w:rPr>
                <w:rFonts w:hint="eastAsia" w:ascii="宋体" w:hAnsi="宋体" w:eastAsia="宋体" w:cs="宋体"/>
                <w:color w:val="auto"/>
                <w:spacing w:val="-3"/>
              </w:rPr>
              <w:t>联系方式：</w:t>
            </w:r>
          </w:p>
        </w:tc>
        <w:tc>
          <w:tcPr>
            <w:tcW w:w="4926" w:type="dxa"/>
            <w:vAlign w:val="top"/>
          </w:tcPr>
          <w:p w14:paraId="7C20FFEE">
            <w:pPr>
              <w:pStyle w:val="11"/>
              <w:spacing w:before="267" w:line="223" w:lineRule="auto"/>
              <w:ind w:left="104"/>
              <w:rPr>
                <w:rFonts w:hint="eastAsia" w:ascii="宋体" w:hAnsi="宋体" w:eastAsia="宋体" w:cs="宋体"/>
                <w:color w:val="auto"/>
              </w:rPr>
            </w:pPr>
            <w:r>
              <w:rPr>
                <w:rFonts w:hint="eastAsia" w:ascii="宋体" w:hAnsi="宋体" w:eastAsia="宋体" w:cs="宋体"/>
                <w:color w:val="auto"/>
                <w:spacing w:val="-3"/>
              </w:rPr>
              <w:t>联系方式：</w:t>
            </w:r>
          </w:p>
        </w:tc>
      </w:tr>
      <w:tr w14:paraId="4E4F72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0" w:hRule="atLeast"/>
        </w:trPr>
        <w:tc>
          <w:tcPr>
            <w:tcW w:w="4695" w:type="dxa"/>
            <w:vAlign w:val="top"/>
          </w:tcPr>
          <w:p w14:paraId="16BCF00E">
            <w:pPr>
              <w:pStyle w:val="11"/>
              <w:spacing w:before="268" w:line="223" w:lineRule="auto"/>
              <w:ind w:left="115"/>
              <w:rPr>
                <w:rFonts w:hint="eastAsia" w:ascii="宋体" w:hAnsi="宋体" w:eastAsia="宋体" w:cs="宋体"/>
                <w:color w:val="auto"/>
              </w:rPr>
            </w:pPr>
            <w:r>
              <w:rPr>
                <w:rFonts w:hint="eastAsia" w:ascii="宋体" w:hAnsi="宋体" w:eastAsia="宋体" w:cs="宋体"/>
                <w:color w:val="auto"/>
                <w:spacing w:val="-5"/>
              </w:rPr>
              <w:t>公司地址：</w:t>
            </w:r>
          </w:p>
        </w:tc>
        <w:tc>
          <w:tcPr>
            <w:tcW w:w="4926" w:type="dxa"/>
            <w:vAlign w:val="top"/>
          </w:tcPr>
          <w:p w14:paraId="7286486D">
            <w:pPr>
              <w:pStyle w:val="11"/>
              <w:spacing w:before="268" w:line="223" w:lineRule="auto"/>
              <w:ind w:left="112"/>
              <w:rPr>
                <w:rFonts w:hint="eastAsia" w:ascii="宋体" w:hAnsi="宋体" w:eastAsia="宋体" w:cs="宋体"/>
                <w:color w:val="auto"/>
              </w:rPr>
            </w:pPr>
            <w:r>
              <w:rPr>
                <w:rFonts w:hint="eastAsia" w:ascii="宋体" w:hAnsi="宋体" w:eastAsia="宋体" w:cs="宋体"/>
                <w:color w:val="auto"/>
                <w:spacing w:val="-5"/>
              </w:rPr>
              <w:t>公司地址：</w:t>
            </w:r>
          </w:p>
        </w:tc>
      </w:tr>
      <w:tr w14:paraId="578E5C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9" w:hRule="atLeast"/>
        </w:trPr>
        <w:tc>
          <w:tcPr>
            <w:tcW w:w="4695" w:type="dxa"/>
            <w:vAlign w:val="top"/>
          </w:tcPr>
          <w:p w14:paraId="537D4196">
            <w:pPr>
              <w:pStyle w:val="11"/>
              <w:spacing w:before="270" w:line="221" w:lineRule="auto"/>
              <w:ind w:left="110"/>
              <w:rPr>
                <w:rFonts w:hint="eastAsia" w:ascii="宋体" w:hAnsi="宋体" w:eastAsia="宋体" w:cs="宋体"/>
                <w:color w:val="auto"/>
              </w:rPr>
            </w:pPr>
            <w:r>
              <w:rPr>
                <w:rFonts w:hint="eastAsia" w:ascii="宋体" w:hAnsi="宋体" w:eastAsia="宋体" w:cs="宋体"/>
                <w:color w:val="auto"/>
                <w:spacing w:val="-4"/>
              </w:rPr>
              <w:t>开户银行：</w:t>
            </w:r>
          </w:p>
        </w:tc>
        <w:tc>
          <w:tcPr>
            <w:tcW w:w="4926" w:type="dxa"/>
            <w:vAlign w:val="top"/>
          </w:tcPr>
          <w:p w14:paraId="3F6E151F">
            <w:pPr>
              <w:pStyle w:val="11"/>
              <w:spacing w:before="270" w:line="221" w:lineRule="auto"/>
              <w:ind w:left="107"/>
              <w:rPr>
                <w:rFonts w:hint="eastAsia" w:ascii="宋体" w:hAnsi="宋体" w:eastAsia="宋体" w:cs="宋体"/>
                <w:color w:val="auto"/>
              </w:rPr>
            </w:pPr>
            <w:r>
              <w:rPr>
                <w:rFonts w:hint="eastAsia" w:ascii="宋体" w:hAnsi="宋体" w:eastAsia="宋体" w:cs="宋体"/>
                <w:color w:val="auto"/>
                <w:spacing w:val="-4"/>
              </w:rPr>
              <w:t>开户银行：</w:t>
            </w:r>
          </w:p>
        </w:tc>
      </w:tr>
      <w:tr w14:paraId="595AC4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9" w:hRule="atLeast"/>
        </w:trPr>
        <w:tc>
          <w:tcPr>
            <w:tcW w:w="4695" w:type="dxa"/>
            <w:vAlign w:val="top"/>
          </w:tcPr>
          <w:p w14:paraId="6F756266">
            <w:pPr>
              <w:pStyle w:val="11"/>
              <w:spacing w:before="271" w:line="223" w:lineRule="auto"/>
              <w:ind w:left="115"/>
              <w:rPr>
                <w:rFonts w:hint="eastAsia" w:ascii="宋体" w:hAnsi="宋体" w:eastAsia="宋体" w:cs="宋体"/>
                <w:color w:val="auto"/>
              </w:rPr>
            </w:pPr>
            <w:r>
              <w:rPr>
                <w:rFonts w:hint="eastAsia" w:ascii="宋体" w:hAnsi="宋体" w:eastAsia="宋体" w:cs="宋体"/>
                <w:color w:val="auto"/>
                <w:spacing w:val="-5"/>
              </w:rPr>
              <w:t>公司账户：</w:t>
            </w:r>
          </w:p>
        </w:tc>
        <w:tc>
          <w:tcPr>
            <w:tcW w:w="4926" w:type="dxa"/>
            <w:vAlign w:val="top"/>
          </w:tcPr>
          <w:p w14:paraId="0172C814">
            <w:pPr>
              <w:pStyle w:val="11"/>
              <w:spacing w:before="271" w:line="223" w:lineRule="auto"/>
              <w:ind w:left="112"/>
              <w:rPr>
                <w:rFonts w:hint="eastAsia" w:ascii="宋体" w:hAnsi="宋体" w:eastAsia="宋体" w:cs="宋体"/>
                <w:color w:val="auto"/>
              </w:rPr>
            </w:pPr>
            <w:r>
              <w:rPr>
                <w:rFonts w:hint="eastAsia" w:ascii="宋体" w:hAnsi="宋体" w:eastAsia="宋体" w:cs="宋体"/>
                <w:color w:val="auto"/>
                <w:spacing w:val="-5"/>
              </w:rPr>
              <w:t>公司账户：</w:t>
            </w:r>
          </w:p>
        </w:tc>
      </w:tr>
    </w:tbl>
    <w:p w14:paraId="4A0D1B3F">
      <w:pPr>
        <w:pStyle w:val="3"/>
        <w:rPr>
          <w:rFonts w:hint="eastAsia" w:ascii="宋体" w:hAnsi="宋体" w:eastAsia="宋体" w:cs="宋体"/>
          <w:color w:val="auto"/>
        </w:rPr>
      </w:pPr>
    </w:p>
    <w:p w14:paraId="6CCF9717">
      <w:pPr>
        <w:pStyle w:val="3"/>
        <w:rPr>
          <w:rFonts w:hint="eastAsia" w:ascii="宋体" w:hAnsi="宋体" w:eastAsia="宋体" w:cs="宋体"/>
          <w:color w:val="auto"/>
        </w:rPr>
      </w:pPr>
    </w:p>
    <w:sectPr>
      <w:pgSz w:w="11905" w:h="16839"/>
      <w:pgMar w:top="1413" w:right="1485" w:bottom="0" w:left="1511" w:header="1134" w:footer="113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7196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F07E34">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F07E34">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B095ED2"/>
    <w:rsid w:val="0B0B3005"/>
    <w:rsid w:val="11B70481"/>
    <w:rsid w:val="1C955C11"/>
    <w:rsid w:val="20344F28"/>
    <w:rsid w:val="230B1F5E"/>
    <w:rsid w:val="27C272BD"/>
    <w:rsid w:val="2BAD0C2F"/>
    <w:rsid w:val="34BE4161"/>
    <w:rsid w:val="37296A11"/>
    <w:rsid w:val="3BB70A8F"/>
    <w:rsid w:val="43C55D14"/>
    <w:rsid w:val="44EA72CA"/>
    <w:rsid w:val="4F443989"/>
    <w:rsid w:val="4FA423EE"/>
    <w:rsid w:val="5AE005F4"/>
    <w:rsid w:val="5B5639C9"/>
    <w:rsid w:val="5F331ECA"/>
    <w:rsid w:val="62816E52"/>
    <w:rsid w:val="69CA7330"/>
    <w:rsid w:val="71CD5C10"/>
    <w:rsid w:val="74092D09"/>
    <w:rsid w:val="745955D9"/>
    <w:rsid w:val="77E278F2"/>
    <w:rsid w:val="7BB5432D"/>
    <w:rsid w:val="7E1D3A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2253</Words>
  <Characters>2304</Characters>
  <TotalTime>2</TotalTime>
  <ScaleCrop>false</ScaleCrop>
  <LinksUpToDate>false</LinksUpToDate>
  <CharactersWithSpaces>2345</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2026-04-13T06:26:00Z</dcterms:created>
  <dc:creator>Administrator</dc:creator>
  <cp:lastModifiedBy>曾 小艳</cp:lastModifiedBy>
  <dcterms:modified xsi:type="dcterms:W3CDTF">2026-06-05T09:21:08Z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2026-04-13T14:26:00Z</vt:filetime>
  </property>
  <property fmtid="{D5CDD505-2E9C-101B-9397-08002B2CF9AE}" pid="4" name="KSOTemplateDocerSaveRecord">
    <vt:lpwstr>eyJoZGlkIjoiMTgyY2Y5Y2UxZjkwY2NiYzg1MTM4ZmQzOTFhYWJhY2IiLCJ1c2VySWQiOiI0MTIzNDI4OTEifQ==</vt:lpwstr>
  </property>
  <property fmtid="{D5CDD505-2E9C-101B-9397-08002B2CF9AE}" pid="5" name="KSOProductBuildVer">
    <vt:lpwstr>2052-12.1.0.26895</vt:lpwstr>
  </property>
  <property fmtid="{D5CDD505-2E9C-101B-9397-08002B2CF9AE}" pid="6" name="ICV">
    <vt:lpwstr>7047DF0D67EE490C890B93C2868B8404_12</vt:lpwstr>
  </property>
</Properties>
</file>