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GZC2026-CS-039.1B1</w:t>
      </w:r>
      <w:r>
        <w:rPr>
          <w:rFonts w:hint="eastAsia" w:ascii="仿宋" w:hAnsi="仿宋" w:eastAsia="仿宋" w:cs="仿宋"/>
          <w:kern w:val="0"/>
          <w:sz w:val="30"/>
          <w:szCs w:val="30"/>
          <w:lang w:val="en-US" w:eastAsia="zh-CN"/>
        </w:rPr>
        <w:t xml:space="preserve">                     （货物类）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36"/>
          <w:szCs w:val="36"/>
          <w:lang w:val="en-US" w:eastAsia="zh-CN"/>
        </w:rPr>
      </w:pPr>
      <w:r>
        <w:rPr>
          <w:rFonts w:hint="eastAsia" w:ascii="宋体" w:hAnsi="宋体" w:cs="宋体"/>
          <w:sz w:val="56"/>
          <w:szCs w:val="56"/>
          <w:lang w:eastAsia="zh-CN"/>
        </w:rPr>
        <w:t>延安市甘泉县2026年省级林业草原改革发展资金林业产业（林下养鸡）发展补助项目(二次)</w:t>
      </w:r>
      <w:r>
        <w:rPr>
          <w:rFonts w:hint="eastAsia" w:ascii="宋体" w:hAnsi="宋体" w:eastAsia="宋体" w:cs="宋体"/>
          <w:sz w:val="56"/>
          <w:szCs w:val="56"/>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延安市甘泉县2026年省级林业草原改革发展资金林业产业（林下养鸡）发展补助项目(二次)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甘泉县林业工作站</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7</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247" w:bottom="1712" w:left="141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eastAsia="宋体" w:cs="宋体"/>
          <w:b/>
          <w:bCs/>
          <w:sz w:val="36"/>
          <w:highlight w:val="none"/>
        </w:rPr>
        <w:t>2</w:t>
      </w:r>
      <w:r>
        <w:rPr>
          <w:rFonts w:hint="eastAsia" w:ascii="宋体" w:hAnsi="宋体" w:eastAsia="宋体" w:cs="宋体"/>
          <w:b/>
          <w:bCs/>
          <w:sz w:val="36"/>
          <w:highlight w:val="none"/>
          <w:lang w:val="en-US" w:eastAsia="zh-CN"/>
        </w:rPr>
        <w:t>5</w:t>
      </w:r>
    </w:p>
    <w:p w14:paraId="079AE838">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eastAsia="宋体" w:cs="宋体"/>
          <w:b/>
          <w:bCs/>
          <w:sz w:val="36"/>
          <w:highlight w:val="none"/>
          <w:lang w:val="en-US" w:eastAsia="zh-CN"/>
        </w:rPr>
        <w:t>28</w:t>
      </w:r>
    </w:p>
    <w:p w14:paraId="5CCB5FE5">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eastAsia="宋体" w:cs="宋体"/>
          <w:b/>
          <w:bCs/>
          <w:sz w:val="36"/>
          <w:highlight w:val="none"/>
        </w:rPr>
        <w:t>3</w:t>
      </w:r>
      <w:r>
        <w:rPr>
          <w:rFonts w:hint="eastAsia" w:ascii="宋体" w:hAnsi="宋体" w:eastAsia="宋体" w:cs="宋体"/>
          <w:b/>
          <w:bCs/>
          <w:sz w:val="36"/>
          <w:highlight w:val="none"/>
          <w:lang w:val="en-US" w:eastAsia="zh-CN"/>
        </w:rPr>
        <w:t>1</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304" w:bottom="1712" w:left="141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001F41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6BABAC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延安市甘泉县2026年省级林业草原改革发展资金林业产业（林下养鸡）发展补助项目(二次)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2026年07月13日 15时30分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72582C5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1A7776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项目编号：GZC2026-CS-039.1B1</w:t>
      </w:r>
    </w:p>
    <w:p w14:paraId="505224A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项目名称：延安市甘泉县2026年省级林业草原改革发展资金林业产业（林下养鸡）发展补助项目(二次)</w:t>
      </w:r>
    </w:p>
    <w:p w14:paraId="6068FF1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718A97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预算金额：350,000.00元</w:t>
      </w:r>
    </w:p>
    <w:p w14:paraId="7B5ACEB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1B6E45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合同包1(延安市甘泉县2026年省级林业草原改革发展资金林业产业（林下养鸡）发展补助项目):</w:t>
      </w:r>
    </w:p>
    <w:p w14:paraId="273EA0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合同包预算金额：350,000.00元</w:t>
      </w:r>
    </w:p>
    <w:p w14:paraId="1A47246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合同包最高限价：340,255.40元</w:t>
      </w:r>
    </w:p>
    <w:tbl>
      <w:tblPr>
        <w:tblStyle w:val="20"/>
        <w:tblW w:w="90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0"/>
        <w:gridCol w:w="2160"/>
        <w:gridCol w:w="1655"/>
        <w:gridCol w:w="1465"/>
        <w:gridCol w:w="1616"/>
        <w:gridCol w:w="1391"/>
      </w:tblGrid>
      <w:tr w14:paraId="7F6A49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90" w:hRule="atLeast"/>
          <w:tblHeader/>
        </w:trPr>
        <w:tc>
          <w:tcPr>
            <w:tcW w:w="7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7AA9E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21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B5DCC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16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F830B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4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B446D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6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F658E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3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C9F07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5D52A5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EE64A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6B2C2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活鸡</w:t>
            </w:r>
          </w:p>
        </w:tc>
        <w:tc>
          <w:tcPr>
            <w:tcW w:w="16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B57E7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货物</w:t>
            </w:r>
          </w:p>
        </w:tc>
        <w:tc>
          <w:tcPr>
            <w:tcW w:w="14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7E1E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6DE9A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772119">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350,000.00</w:t>
            </w:r>
          </w:p>
        </w:tc>
      </w:tr>
    </w:tbl>
    <w:p w14:paraId="6E2FFD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1808ED8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4BC56C9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2E3B8FF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45A91C4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4D6205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合同包1(延安市甘泉县2026年省级林业草原改革发展资金林业产业（林下养鸡）发展补助项目)落实政府采购政策需满足的资格要求如下:</w:t>
      </w:r>
    </w:p>
    <w:p w14:paraId="3013B0B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10.其他需执行的政府采购政策。</w:t>
      </w:r>
    </w:p>
    <w:p w14:paraId="44B187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4C48A19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合同包1(延安市甘泉县2026年省级林业草原改革发展资金林业产业（林下养鸡）发展补助项目)特定资格要求如下:</w:t>
      </w:r>
    </w:p>
    <w:p w14:paraId="760965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供应商须提供有效的《动物防疫条件合格证》。</w:t>
      </w:r>
    </w:p>
    <w:p w14:paraId="45932F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179E25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2026年07月02日 至 2026年07月08日 ，每天上午 08:00:00 至 12:00:00 ，下午 15:00:00 至 18:00:00 （北京时间）</w:t>
      </w:r>
    </w:p>
    <w:p w14:paraId="1C8308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3531E89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24429C1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2FB390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0AFF7D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2026年07月13日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6D088F0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0FC36F9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44E951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2026年07月13日 15时30分00秒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64A3CF4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179B8B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11EA1C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44F3F8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5B8CB9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555673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4369DF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1DD83B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2C64A3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12E5F7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725BC4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53AF9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6DC8EE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880320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687687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1C7D699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6EE7FE2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甘泉县林业工作站</w:t>
      </w:r>
    </w:p>
    <w:p w14:paraId="418385A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延安市甘泉县金庄</w:t>
      </w:r>
    </w:p>
    <w:p w14:paraId="0EA291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15891514004</w:t>
      </w:r>
    </w:p>
    <w:p w14:paraId="324093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120ED7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5AD0C7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04EDDD6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629ECFC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7E84642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63D52A9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2DCB00C6">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088E0FE">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7018DF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2D15E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051131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23AE77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03EE54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第二章　</w:t>
      </w:r>
      <w:r>
        <w:rPr>
          <w:rFonts w:hint="eastAsia" w:ascii="宋体" w:hAnsi="宋体" w:eastAsia="宋体" w:cs="宋体"/>
          <w:b/>
          <w:bCs/>
          <w:color w:val="auto"/>
          <w:kern w:val="44"/>
          <w:sz w:val="36"/>
          <w:szCs w:val="36"/>
          <w:lang w:eastAsia="zh-CN"/>
        </w:rPr>
        <w:t>潜在供应商</w:t>
      </w:r>
      <w:r>
        <w:rPr>
          <w:rFonts w:hint="eastAsia" w:ascii="宋体" w:hAnsi="宋体" w:eastAsia="宋体" w:cs="宋体"/>
          <w:b/>
          <w:bCs/>
          <w:color w:val="auto"/>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500323094"/>
      <w:bookmarkEnd w:id="0"/>
      <w:bookmarkStart w:id="1" w:name="_Toc420591642"/>
      <w:bookmarkEnd w:id="1"/>
      <w:bookmarkStart w:id="2" w:name="_Toc15103"/>
      <w:bookmarkEnd w:id="2"/>
      <w:bookmarkStart w:id="3" w:name="_Toc526842682"/>
      <w:bookmarkEnd w:id="3"/>
      <w:bookmarkStart w:id="4" w:name="_Toc421778364"/>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甘泉县林业工作站</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甘泉县迎宾路016号</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瓮强</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15891514004</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延安市甘泉县2026年省级林业草原改革发展资金林业产业（林下养鸡）发展补助项目(二次)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服务</w:t>
            </w:r>
            <w:r>
              <w:rPr>
                <w:rFonts w:hint="eastAsia" w:ascii="宋体" w:hAnsi="宋体" w:eastAsia="宋体" w:cs="宋体"/>
                <w:color w:val="auto"/>
                <w:sz w:val="24"/>
              </w:rPr>
              <w:sym w:font="Wingdings" w:char="00FE"/>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350,000.00</w:t>
            </w:r>
            <w:r>
              <w:rPr>
                <w:rFonts w:hint="eastAsia" w:ascii="宋体" w:hAnsi="宋体" w:eastAsia="宋体" w:cs="宋体"/>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340,255.40</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auto"/>
                <w:sz w:val="24"/>
                <w:lang w:val="en-US" w:eastAsia="zh-CN"/>
              </w:rPr>
            </w:pPr>
            <w:r>
              <w:rPr>
                <w:rFonts w:hint="eastAsia" w:ascii="宋体" w:hAnsi="宋体" w:cs="宋体"/>
                <w:color w:val="auto"/>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bCs/>
                <w:color w:val="auto"/>
                <w:sz w:val="24"/>
              </w:rPr>
            </w:pPr>
            <w:r>
              <w:rPr>
                <w:rFonts w:hint="eastAsia" w:ascii="宋体" w:hAnsi="宋体" w:eastAsia="宋体" w:cs="宋体"/>
                <w:color w:val="auto"/>
                <w:sz w:val="24"/>
                <w:lang w:val="en-US" w:eastAsia="zh-CN"/>
              </w:rPr>
              <w:t>合同签订后，分批次供货，30日内第一批次货物（肉杂鸡5000只，鸡饲料31460kg）供货到位；2026年10月底前第二批次货物（肉杂鸡5000只）供货到位。</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鸡苗供货落地日10天内，死亡补发鸡苗。</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lang w:eastAsia="zh-CN"/>
              </w:rPr>
            </w:pPr>
            <w:r>
              <w:rPr>
                <w:rFonts w:hint="eastAsia" w:cs="宋体"/>
                <w:b/>
                <w:bCs/>
                <w:i w:val="0"/>
                <w:iCs w:val="0"/>
                <w:caps w:val="0"/>
                <w:color w:val="auto"/>
                <w:spacing w:val="0"/>
                <w:sz w:val="21"/>
                <w:szCs w:val="21"/>
                <w:shd w:val="clear" w:fill="FFFFFF"/>
                <w:lang w:eastAsia="zh-CN"/>
              </w:rPr>
              <w:t>2026年07月13日 15时30分00秒</w:t>
            </w:r>
            <w:r>
              <w:rPr>
                <w:rFonts w:hint="eastAsia" w:cs="宋体"/>
                <w:i w:val="0"/>
                <w:iCs w:val="0"/>
                <w:caps w:val="0"/>
                <w:color w:val="auto"/>
                <w:spacing w:val="0"/>
                <w:sz w:val="21"/>
                <w:szCs w:val="21"/>
                <w:shd w:val="clear" w:fill="FFFFFF"/>
                <w:lang w:eastAsia="zh-CN"/>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w:t>
            </w:r>
            <w:r>
              <w:rPr>
                <w:rFonts w:hint="eastAsia" w:ascii="宋体" w:hAnsi="宋体" w:cs="宋体"/>
                <w:color w:val="auto"/>
                <w:sz w:val="24"/>
                <w:lang w:val="en-US" w:eastAsia="zh-CN"/>
              </w:rPr>
              <w:t>日</w:t>
            </w:r>
            <w:r>
              <w:rPr>
                <w:rFonts w:hint="eastAsia" w:ascii="宋体" w:hAnsi="宋体" w:eastAsia="宋体" w:cs="宋体"/>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auto"/>
                <w:sz w:val="24"/>
                <w:highlight w:val="none"/>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rPr>
            </w:pPr>
            <w:r>
              <w:rPr>
                <w:rFonts w:hint="eastAsia" w:ascii="宋体" w:hAnsi="宋体" w:eastAsia="宋体" w:cs="宋体"/>
                <w:color w:val="auto"/>
                <w:sz w:val="24"/>
              </w:rPr>
              <w:t>磋商时间：</w:t>
            </w:r>
            <w:r>
              <w:rPr>
                <w:rFonts w:hint="eastAsia" w:cs="宋体"/>
                <w:b/>
                <w:bCs/>
                <w:i w:val="0"/>
                <w:iCs w:val="0"/>
                <w:caps w:val="0"/>
                <w:color w:val="auto"/>
                <w:spacing w:val="0"/>
                <w:sz w:val="21"/>
                <w:szCs w:val="21"/>
                <w:shd w:val="clear" w:color="auto" w:fill="FFFFFF"/>
                <w:lang w:eastAsia="zh-CN"/>
              </w:rPr>
              <w:t>2026年07月13日 15时30分00秒 </w:t>
            </w:r>
            <w:r>
              <w:rPr>
                <w:rFonts w:hint="eastAsia" w:cs="宋体"/>
                <w:i w:val="0"/>
                <w:iCs w:val="0"/>
                <w:caps w:val="0"/>
                <w:color w:val="auto"/>
                <w:spacing w:val="0"/>
                <w:sz w:val="21"/>
                <w:szCs w:val="21"/>
                <w:shd w:val="clear" w:color="auto" w:fill="FFFFFF"/>
                <w:lang w:eastAsia="zh-CN"/>
              </w:rPr>
              <w:t>（北京时间）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rPr>
            </w:pPr>
            <w:r>
              <w:rPr>
                <w:rFonts w:hint="eastAsia" w:ascii="宋体" w:hAnsi="宋体" w:eastAsia="宋体" w:cs="宋体"/>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auto"/>
                <w:sz w:val="24"/>
                <w:lang w:val="en-US" w:eastAsia="zh-CN"/>
              </w:rPr>
            </w:pPr>
            <w:r>
              <w:rPr>
                <w:rFonts w:hint="eastAsia" w:ascii="宋体" w:hAnsi="宋体" w:cs="宋体"/>
                <w:b/>
                <w:bCs/>
                <w:color w:val="auto"/>
                <w:sz w:val="24"/>
                <w:szCs w:val="32"/>
                <w:lang w:val="en-US" w:eastAsia="zh-CN"/>
              </w:rPr>
              <w:t>农、林、牧、渔业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甘泉县林业工作站</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21B58E20">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7B6A2E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特定资格要求：</w:t>
      </w:r>
    </w:p>
    <w:p w14:paraId="61556E6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供应商须提供有效的《动物防疫条件合格证》。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（三）法定代表人（负责人）委托授权书：</w:t>
      </w:r>
      <w:r>
        <w:rPr>
          <w:rFonts w:hint="eastAsia" w:ascii="宋体" w:hAnsi="宋体" w:eastAsia="宋体" w:cs="宋体"/>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auto"/>
          <w:sz w:val="24"/>
          <w:szCs w:val="24"/>
        </w:rPr>
        <w:t>及被授权人身份证</w:t>
      </w:r>
      <w:r>
        <w:rPr>
          <w:rFonts w:hint="eastAsia" w:ascii="宋体" w:hAnsi="宋体" w:eastAsia="宋体" w:cs="宋体"/>
          <w:color w:val="auto"/>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492D3DF8">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）中小企业执行情况</w:t>
      </w:r>
      <w:r>
        <w:rPr>
          <w:rFonts w:hint="eastAsia" w:ascii="宋体" w:hAnsi="宋体" w:eastAsia="宋体" w:cs="宋体"/>
          <w:color w:val="auto"/>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（七）税收缴纳证明：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（八）社会保障资金缴纳证明：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九</w:t>
      </w:r>
      <w:r>
        <w:rPr>
          <w:rFonts w:hint="eastAsia" w:ascii="宋体" w:hAnsi="宋体" w:eastAsia="宋体" w:cs="宋体"/>
          <w:b/>
          <w:bCs/>
          <w:color w:val="auto"/>
          <w:sz w:val="24"/>
          <w:szCs w:val="24"/>
          <w:lang w:val="en-US" w:eastAsia="zh-CN"/>
        </w:rPr>
        <w:t>）财务状况报告：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9</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auto"/>
          <w:sz w:val="24"/>
          <w:lang w:val="en-US" w:eastAsia="zh-CN"/>
        </w:rPr>
      </w:pPr>
      <w:r>
        <w:rPr>
          <w:rFonts w:hint="eastAsia" w:ascii="宋体" w:hAnsi="宋体" w:cs="宋体"/>
          <w:color w:val="auto"/>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瓮强</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eastAsia="宋体" w:cs="宋体"/>
          <w:color w:val="auto"/>
          <w:sz w:val="24"/>
          <w:lang w:val="en-US" w:eastAsia="zh-CN"/>
        </w:rPr>
        <w:t>15891514004</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甘泉县迎宾路016号</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bCs/>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绿色发展政策</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9.1、供应商</w:t>
      </w:r>
      <w:r>
        <w:rPr>
          <w:rFonts w:hint="eastAsia" w:ascii="宋体" w:hAnsi="宋体" w:eastAsia="宋体" w:cs="宋体"/>
          <w:b w:val="0"/>
          <w:bCs/>
          <w:color w:val="auto"/>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9.2、供应商</w:t>
      </w:r>
      <w:r>
        <w:rPr>
          <w:rFonts w:hint="eastAsia" w:ascii="宋体" w:hAnsi="宋体" w:eastAsia="宋体" w:cs="宋体"/>
          <w:b w:val="0"/>
          <w:bCs/>
          <w:color w:val="auto"/>
          <w:sz w:val="24"/>
          <w:szCs w:val="24"/>
          <w:lang w:val="en-US" w:eastAsia="zh-CN"/>
        </w:rPr>
        <w:t>所投产品属于下列情形之一的，属于优先采购的不再享受优先采购政策，或者属于强制采购的按无效</w:t>
      </w:r>
      <w:r>
        <w:rPr>
          <w:rFonts w:hint="eastAsia" w:ascii="宋体" w:hAnsi="宋体" w:cs="宋体"/>
          <w:b w:val="0"/>
          <w:bCs/>
          <w:color w:val="auto"/>
          <w:sz w:val="24"/>
          <w:szCs w:val="24"/>
          <w:lang w:val="en-US" w:eastAsia="zh-CN"/>
        </w:rPr>
        <w:t>响应</w:t>
      </w:r>
      <w:r>
        <w:rPr>
          <w:rFonts w:hint="eastAsia" w:ascii="宋体" w:hAnsi="宋体" w:eastAsia="宋体" w:cs="宋体"/>
          <w:b w:val="0"/>
          <w:bCs/>
          <w:color w:val="auto"/>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未提供上述声明函原件/证明文件复印件的，不能享受</w:t>
      </w:r>
      <w:r>
        <w:rPr>
          <w:rFonts w:hint="eastAsia" w:ascii="宋体" w:hAnsi="宋体" w:cs="宋体"/>
          <w:b w:val="0"/>
          <w:bCs/>
          <w:color w:val="auto"/>
          <w:sz w:val="24"/>
          <w:szCs w:val="24"/>
          <w:lang w:eastAsia="zh-CN"/>
        </w:rPr>
        <w:t>响应</w:t>
      </w:r>
      <w:r>
        <w:rPr>
          <w:rFonts w:hint="eastAsia" w:ascii="宋体" w:hAnsi="宋体" w:eastAsia="宋体" w:cs="宋体"/>
          <w:b w:val="0"/>
          <w:bCs/>
          <w:color w:val="auto"/>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bCs/>
          <w:color w:val="auto"/>
          <w:sz w:val="24"/>
          <w:highlight w:val="none"/>
          <w:lang w:val="en-US" w:eastAsia="zh-CN"/>
        </w:rPr>
        <w:t>个体工商户，在政府采购活动中视同中小企业</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w:t>
      </w:r>
      <w:r>
        <w:rPr>
          <w:rFonts w:hint="eastAsia" w:ascii="宋体" w:hAnsi="宋体" w:cs="宋体"/>
          <w:color w:val="auto"/>
          <w:sz w:val="24"/>
          <w:lang w:eastAsia="zh-CN"/>
        </w:rPr>
        <w:t>供货期</w:t>
      </w:r>
      <w:r>
        <w:rPr>
          <w:rFonts w:hint="eastAsia" w:ascii="宋体" w:hAnsi="宋体" w:eastAsia="宋体" w:cs="宋体"/>
          <w:color w:val="auto"/>
          <w:sz w:val="24"/>
        </w:rPr>
        <w:t>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延安市甘泉县2026年省级林业草原改革发展资金林业产业（林下养鸡）发展补助项目(二次)</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w:t>
      </w:r>
      <w:r>
        <w:rPr>
          <w:rFonts w:hint="eastAsia" w:ascii="宋体" w:hAnsi="宋体" w:cs="宋体"/>
          <w:color w:val="auto"/>
          <w:sz w:val="24"/>
          <w:lang w:val="en-US" w:eastAsia="zh-CN"/>
        </w:rPr>
        <w:t>由高至低推荐</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488CC15B">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15.宣读磋商结果。</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供货期</w:t>
            </w:r>
            <w:r>
              <w:rPr>
                <w:rFonts w:hint="eastAsia" w:ascii="宋体" w:hAnsi="宋体" w:eastAsia="宋体" w:cs="宋体"/>
                <w:i w:val="0"/>
                <w:iCs w:val="0"/>
                <w:color w:val="auto"/>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00"/>
        <w:gridCol w:w="942"/>
        <w:gridCol w:w="7744"/>
      </w:tblGrid>
      <w:tr w14:paraId="6C02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vAlign w:val="center"/>
          </w:tcPr>
          <w:p w14:paraId="6B434DE7">
            <w:pPr>
              <w:spacing w:line="480" w:lineRule="exact"/>
              <w:ind w:left="-119" w:leftChars="-56" w:right="-95" w:rightChars="-45"/>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评审</w:t>
            </w:r>
          </w:p>
          <w:p w14:paraId="7A8A24D9">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大项</w:t>
            </w:r>
          </w:p>
        </w:tc>
        <w:tc>
          <w:tcPr>
            <w:tcW w:w="900" w:type="dxa"/>
            <w:vAlign w:val="center"/>
          </w:tcPr>
          <w:p w14:paraId="6C39A96D">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2" w:type="dxa"/>
            <w:vAlign w:val="center"/>
          </w:tcPr>
          <w:p w14:paraId="44C02F51">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44" w:type="dxa"/>
            <w:vAlign w:val="center"/>
          </w:tcPr>
          <w:p w14:paraId="14E6D852">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79EE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vAlign w:val="center"/>
          </w:tcPr>
          <w:p w14:paraId="629D4D68">
            <w:pPr>
              <w:spacing w:line="480" w:lineRule="exact"/>
              <w:ind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w:t>
            </w:r>
          </w:p>
        </w:tc>
        <w:tc>
          <w:tcPr>
            <w:tcW w:w="900" w:type="dxa"/>
            <w:vAlign w:val="center"/>
          </w:tcPr>
          <w:p w14:paraId="14AC0A66">
            <w:pPr>
              <w:spacing w:line="480" w:lineRule="exact"/>
              <w:ind w:left="-119" w:leftChars="-56" w:right="-95" w:rightChars="-45"/>
              <w:jc w:val="center"/>
              <w:rPr>
                <w:rFonts w:hint="default" w:ascii="宋体" w:hAnsi="宋体" w:eastAsia="宋体" w:cs="宋体"/>
                <w:b/>
                <w:bCs/>
                <w:color w:val="0000FF"/>
                <w:szCs w:val="21"/>
                <w:highlight w:val="none"/>
                <w:lang w:val="en-US" w:eastAsia="zh-CN"/>
              </w:rPr>
            </w:pPr>
            <w:r>
              <w:rPr>
                <w:rFonts w:hint="eastAsia" w:ascii="宋体" w:hAnsi="宋体" w:cs="宋体"/>
                <w:b/>
                <w:bCs/>
                <w:color w:val="0000FF"/>
                <w:szCs w:val="21"/>
                <w:highlight w:val="none"/>
                <w:lang w:val="en-US" w:eastAsia="zh-CN"/>
              </w:rPr>
              <w:t>投标报价</w:t>
            </w:r>
          </w:p>
        </w:tc>
        <w:tc>
          <w:tcPr>
            <w:tcW w:w="942" w:type="dxa"/>
            <w:vAlign w:val="center"/>
          </w:tcPr>
          <w:p w14:paraId="44DD93E9">
            <w:pPr>
              <w:spacing w:line="480" w:lineRule="exact"/>
              <w:ind w:left="-119" w:leftChars="-56" w:right="-95" w:rightChars="-45"/>
              <w:jc w:val="center"/>
              <w:rPr>
                <w:rFonts w:hint="eastAsia" w:ascii="宋体" w:hAnsi="宋体" w:eastAsia="宋体" w:cs="宋体"/>
                <w:color w:val="0000FF"/>
                <w:szCs w:val="21"/>
                <w:highlight w:val="none"/>
              </w:rPr>
            </w:pPr>
            <w:r>
              <w:rPr>
                <w:rFonts w:hint="eastAsia" w:ascii="宋体" w:hAnsi="宋体" w:cs="宋体"/>
                <w:color w:val="0000FF"/>
                <w:szCs w:val="21"/>
                <w:highlight w:val="none"/>
                <w:lang w:val="en-US" w:eastAsia="zh-CN"/>
              </w:rPr>
              <w:t>40</w:t>
            </w:r>
            <w:r>
              <w:rPr>
                <w:rFonts w:hint="eastAsia" w:ascii="宋体" w:hAnsi="宋体" w:eastAsia="宋体" w:cs="宋体"/>
                <w:color w:val="0000FF"/>
                <w:szCs w:val="21"/>
                <w:highlight w:val="none"/>
              </w:rPr>
              <w:t>分</w:t>
            </w:r>
          </w:p>
        </w:tc>
        <w:tc>
          <w:tcPr>
            <w:tcW w:w="7744" w:type="dxa"/>
            <w:vAlign w:val="center"/>
          </w:tcPr>
          <w:p w14:paraId="555927D7">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w:t>
            </w:r>
            <w:r>
              <w:rPr>
                <w:rFonts w:hint="eastAsia" w:ascii="宋体" w:hAnsi="宋体" w:cs="宋体"/>
                <w:b/>
                <w:bCs/>
                <w:color w:val="auto"/>
                <w:kern w:val="2"/>
                <w:sz w:val="20"/>
                <w:szCs w:val="20"/>
                <w:highlight w:val="none"/>
                <w:lang w:val="en-US" w:eastAsia="zh-CN" w:bidi="ar-SA"/>
              </w:rPr>
              <w:t>4</w:t>
            </w:r>
            <w:r>
              <w:rPr>
                <w:rFonts w:hint="eastAsia" w:ascii="宋体" w:hAnsi="宋体" w:eastAsia="宋体" w:cs="宋体"/>
                <w:b/>
                <w:bCs/>
                <w:color w:val="auto"/>
                <w:kern w:val="2"/>
                <w:sz w:val="20"/>
                <w:szCs w:val="20"/>
                <w:highlight w:val="none"/>
                <w:lang w:val="en-US" w:eastAsia="zh-CN" w:bidi="ar-SA"/>
              </w:rPr>
              <w:t>0%）×100计算分数时四舍五入取小数点后两位</w:t>
            </w:r>
          </w:p>
          <w:p w14:paraId="18EA95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备注：因本项目全部面向中小企业采购，磋商报价得分针对《政府采购促进中小企业发展管理办法》的通知--财库[2020]46号不再进行扣除。</w:t>
            </w:r>
          </w:p>
          <w:p w14:paraId="1BB59535">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 w:val="20"/>
                <w:szCs w:val="20"/>
                <w:highlight w:val="none"/>
              </w:rPr>
              <w:t>本项目所属行业：</w:t>
            </w:r>
            <w:r>
              <w:rPr>
                <w:rFonts w:hint="eastAsia" w:ascii="宋体" w:hAnsi="宋体" w:eastAsia="宋体" w:cs="宋体"/>
                <w:b/>
                <w:bCs/>
                <w:color w:val="auto"/>
                <w:sz w:val="20"/>
                <w:szCs w:val="20"/>
                <w:highlight w:val="none"/>
                <w:lang w:val="en-US" w:eastAsia="zh-CN"/>
              </w:rPr>
              <w:t>农、林、牧、渔业</w:t>
            </w:r>
          </w:p>
        </w:tc>
      </w:tr>
      <w:tr w14:paraId="4746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851" w:type="dxa"/>
            <w:vMerge w:val="restart"/>
            <w:noWrap w:val="0"/>
            <w:vAlign w:val="center"/>
          </w:tcPr>
          <w:p w14:paraId="01015E87">
            <w:pPr>
              <w:spacing w:line="240" w:lineRule="auto"/>
              <w:jc w:val="center"/>
              <w:rPr>
                <w:rFonts w:hint="eastAsia" w:ascii="宋体" w:hAnsi="宋体" w:eastAsia="宋体" w:cs="宋体"/>
                <w:b/>
                <w:bCs/>
                <w:color w:val="auto"/>
                <w:kern w:val="2"/>
                <w:sz w:val="21"/>
                <w:szCs w:val="21"/>
                <w:highlight w:val="none"/>
                <w:lang w:val="en-US" w:eastAsia="zh-CN" w:bidi="ar-SA"/>
              </w:rPr>
            </w:pPr>
          </w:p>
          <w:p w14:paraId="2BDF6828">
            <w:pPr>
              <w:spacing w:line="240" w:lineRule="auto"/>
              <w:jc w:val="center"/>
              <w:rPr>
                <w:rFonts w:hint="eastAsia" w:ascii="宋体" w:hAnsi="宋体" w:eastAsia="宋体" w:cs="宋体"/>
                <w:b/>
                <w:bCs/>
                <w:color w:val="auto"/>
                <w:kern w:val="2"/>
                <w:sz w:val="21"/>
                <w:szCs w:val="21"/>
                <w:highlight w:val="none"/>
                <w:lang w:val="en-US" w:eastAsia="zh-CN" w:bidi="ar-SA"/>
              </w:rPr>
            </w:pPr>
          </w:p>
          <w:p w14:paraId="2EAA9406">
            <w:pPr>
              <w:spacing w:line="240" w:lineRule="auto"/>
              <w:jc w:val="center"/>
              <w:rPr>
                <w:rFonts w:hint="eastAsia" w:ascii="宋体" w:hAnsi="宋体" w:eastAsia="宋体" w:cs="宋体"/>
                <w:b/>
                <w:bCs/>
                <w:color w:val="auto"/>
                <w:kern w:val="2"/>
                <w:sz w:val="21"/>
                <w:szCs w:val="21"/>
                <w:highlight w:val="none"/>
                <w:lang w:val="en-US" w:eastAsia="zh-CN" w:bidi="ar-SA"/>
              </w:rPr>
            </w:pPr>
          </w:p>
          <w:p w14:paraId="587BE11F">
            <w:pPr>
              <w:spacing w:line="240" w:lineRule="auto"/>
              <w:jc w:val="center"/>
              <w:rPr>
                <w:rFonts w:hint="eastAsia" w:ascii="宋体" w:hAnsi="宋体" w:eastAsia="宋体" w:cs="宋体"/>
                <w:b/>
                <w:bCs/>
                <w:color w:val="auto"/>
                <w:kern w:val="2"/>
                <w:sz w:val="21"/>
                <w:szCs w:val="21"/>
                <w:highlight w:val="none"/>
                <w:lang w:val="en-US" w:eastAsia="zh-CN" w:bidi="ar-SA"/>
              </w:rPr>
            </w:pPr>
          </w:p>
          <w:p w14:paraId="216EE79C">
            <w:pPr>
              <w:spacing w:line="240" w:lineRule="auto"/>
              <w:jc w:val="center"/>
              <w:rPr>
                <w:rFonts w:hint="eastAsia" w:ascii="宋体" w:hAnsi="宋体" w:eastAsia="宋体" w:cs="宋体"/>
                <w:b/>
                <w:bCs/>
                <w:color w:val="auto"/>
                <w:kern w:val="2"/>
                <w:sz w:val="21"/>
                <w:szCs w:val="21"/>
                <w:highlight w:val="none"/>
                <w:lang w:val="en-US" w:eastAsia="zh-CN" w:bidi="ar-SA"/>
              </w:rPr>
            </w:pPr>
          </w:p>
          <w:p w14:paraId="4B158576">
            <w:pPr>
              <w:spacing w:line="24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技术参数响应</w:t>
            </w:r>
          </w:p>
          <w:p w14:paraId="30484463">
            <w:pPr>
              <w:spacing w:line="480" w:lineRule="exact"/>
              <w:ind w:right="-95" w:rightChars="-45"/>
              <w:jc w:val="center"/>
              <w:rPr>
                <w:rFonts w:hint="eastAsia" w:ascii="宋体" w:hAnsi="宋体" w:eastAsia="宋体" w:cs="宋体"/>
                <w:b/>
                <w:bCs/>
                <w:color w:val="auto"/>
                <w:szCs w:val="21"/>
                <w:highlight w:val="none"/>
                <w:lang w:val="en-US" w:eastAsia="zh-CN"/>
              </w:rPr>
            </w:pPr>
          </w:p>
        </w:tc>
        <w:tc>
          <w:tcPr>
            <w:tcW w:w="900" w:type="dxa"/>
            <w:noWrap w:val="0"/>
            <w:vAlign w:val="center"/>
          </w:tcPr>
          <w:p w14:paraId="5104BBD7">
            <w:pPr>
              <w:spacing w:line="240" w:lineRule="auto"/>
              <w:ind w:left="-119" w:leftChars="-56" w:right="-95" w:rightChars="-45"/>
              <w:jc w:val="center"/>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鸡苗</w:t>
            </w:r>
            <w:r>
              <w:rPr>
                <w:rFonts w:hint="eastAsia" w:ascii="宋体" w:hAnsi="宋体" w:cs="宋体"/>
                <w:b/>
                <w:bCs/>
                <w:color w:val="0000FF"/>
                <w:szCs w:val="21"/>
                <w:highlight w:val="none"/>
                <w:lang w:val="en-US" w:eastAsia="zh-CN"/>
              </w:rPr>
              <w:t>及饲料</w:t>
            </w:r>
            <w:r>
              <w:rPr>
                <w:rFonts w:hint="eastAsia" w:ascii="宋体" w:hAnsi="宋体" w:eastAsia="宋体" w:cs="宋体"/>
                <w:b/>
                <w:bCs/>
                <w:color w:val="0000FF"/>
                <w:szCs w:val="21"/>
                <w:highlight w:val="none"/>
                <w:lang w:val="en-US" w:eastAsia="zh-CN"/>
              </w:rPr>
              <w:t>核心技术参数符合性</w:t>
            </w:r>
          </w:p>
          <w:p w14:paraId="3C25BAD7">
            <w:pPr>
              <w:spacing w:line="240" w:lineRule="auto"/>
              <w:ind w:left="-119" w:leftChars="-56" w:right="-95" w:rightChars="-45"/>
              <w:jc w:val="center"/>
              <w:rPr>
                <w:rFonts w:hint="eastAsia" w:ascii="宋体" w:hAnsi="宋体" w:eastAsia="宋体" w:cs="宋体"/>
                <w:b/>
                <w:bCs/>
                <w:color w:val="0000FF"/>
                <w:szCs w:val="21"/>
                <w:highlight w:val="none"/>
                <w:lang w:val="en-US" w:eastAsia="zh-CN"/>
              </w:rPr>
            </w:pPr>
          </w:p>
        </w:tc>
        <w:tc>
          <w:tcPr>
            <w:tcW w:w="942" w:type="dxa"/>
            <w:noWrap w:val="0"/>
            <w:vAlign w:val="center"/>
          </w:tcPr>
          <w:p w14:paraId="602E5198">
            <w:pPr>
              <w:spacing w:line="240" w:lineRule="auto"/>
              <w:ind w:right="-95" w:rightChars="-45"/>
              <w:jc w:val="center"/>
              <w:rPr>
                <w:rFonts w:hint="eastAsia" w:ascii="宋体" w:hAnsi="宋体" w:cs="宋体"/>
                <w:color w:val="0000FF"/>
                <w:szCs w:val="21"/>
                <w:highlight w:val="none"/>
                <w:lang w:val="en-US" w:eastAsia="zh-CN"/>
              </w:rPr>
            </w:pPr>
          </w:p>
          <w:p w14:paraId="32D9C4E7">
            <w:pPr>
              <w:spacing w:line="240" w:lineRule="auto"/>
              <w:ind w:right="-95" w:rightChars="-45"/>
              <w:jc w:val="center"/>
              <w:rPr>
                <w:rFonts w:hint="eastAsia" w:ascii="宋体" w:hAnsi="宋体" w:cs="宋体"/>
                <w:color w:val="0000FF"/>
                <w:szCs w:val="21"/>
                <w:highlight w:val="none"/>
                <w:lang w:val="en-US" w:eastAsia="zh-CN"/>
              </w:rPr>
            </w:pPr>
          </w:p>
          <w:p w14:paraId="6AEFEF74">
            <w:pPr>
              <w:spacing w:line="240" w:lineRule="auto"/>
              <w:ind w:left="-119" w:leftChars="-56" w:right="-95" w:rightChars="-45"/>
              <w:jc w:val="center"/>
              <w:rPr>
                <w:rFonts w:hint="default" w:ascii="宋体" w:hAnsi="宋体" w:eastAsia="宋体" w:cs="宋体"/>
                <w:color w:val="0000FF"/>
                <w:kern w:val="2"/>
                <w:sz w:val="21"/>
                <w:szCs w:val="21"/>
                <w:highlight w:val="none"/>
                <w:lang w:val="en-US" w:eastAsia="zh-CN" w:bidi="ar-SA"/>
              </w:rPr>
            </w:pPr>
            <w:r>
              <w:rPr>
                <w:rFonts w:hint="eastAsia" w:ascii="宋体" w:hAnsi="宋体" w:cs="宋体"/>
                <w:color w:val="0000FF"/>
                <w:szCs w:val="21"/>
                <w:highlight w:val="none"/>
                <w:lang w:val="en-US" w:eastAsia="zh-CN"/>
              </w:rPr>
              <w:t>20</w:t>
            </w:r>
            <w:r>
              <w:rPr>
                <w:rFonts w:hint="eastAsia" w:ascii="宋体" w:hAnsi="宋体" w:eastAsia="宋体" w:cs="宋体"/>
                <w:color w:val="0000FF"/>
                <w:szCs w:val="21"/>
                <w:highlight w:val="none"/>
                <w:lang w:val="en-US" w:eastAsia="zh-CN"/>
              </w:rPr>
              <w:t>分</w:t>
            </w:r>
          </w:p>
        </w:tc>
        <w:tc>
          <w:tcPr>
            <w:tcW w:w="7744" w:type="dxa"/>
            <w:noWrap w:val="0"/>
            <w:vAlign w:val="top"/>
          </w:tcPr>
          <w:p w14:paraId="4C98EC25">
            <w:pPr>
              <w:numPr>
                <w:ilvl w:val="0"/>
                <w:numId w:val="0"/>
              </w:num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鸡苗核心技术参数符合性</w:t>
            </w:r>
          </w:p>
          <w:p w14:paraId="69DD8357">
            <w:pPr>
              <w:numPr>
                <w:ilvl w:val="0"/>
                <w:numId w:val="3"/>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生长期：生长期均≥</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5天，体重区间1-1.5斤/只（</w:t>
            </w:r>
            <w:r>
              <w:rPr>
                <w:rFonts w:hint="eastAsia" w:ascii="宋体" w:hAnsi="宋体" w:cs="宋体"/>
                <w:color w:val="auto"/>
                <w:kern w:val="2"/>
                <w:sz w:val="21"/>
                <w:szCs w:val="21"/>
                <w:highlight w:val="none"/>
                <w:lang w:val="en-US" w:eastAsia="zh-CN" w:bidi="ar-SA"/>
              </w:rPr>
              <w:t>16</w:t>
            </w:r>
            <w:r>
              <w:rPr>
                <w:rFonts w:hint="eastAsia" w:ascii="宋体" w:hAnsi="宋体" w:eastAsia="宋体" w:cs="宋体"/>
                <w:color w:val="auto"/>
                <w:kern w:val="2"/>
                <w:sz w:val="21"/>
                <w:szCs w:val="21"/>
                <w:highlight w:val="none"/>
                <w:lang w:val="en-US" w:eastAsia="zh-CN" w:bidi="ar-SA"/>
              </w:rPr>
              <w:t>分）；生长期</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体重</w:t>
            </w:r>
            <w:r>
              <w:rPr>
                <w:rFonts w:hint="eastAsia" w:ascii="宋体" w:hAnsi="宋体" w:cs="宋体"/>
                <w:color w:val="auto"/>
                <w:kern w:val="2"/>
                <w:sz w:val="21"/>
                <w:szCs w:val="21"/>
                <w:highlight w:val="none"/>
                <w:lang w:val="en-US" w:eastAsia="zh-CN" w:bidi="ar-SA"/>
              </w:rPr>
              <w:t>不达标</w:t>
            </w:r>
            <w:r>
              <w:rPr>
                <w:rFonts w:hint="eastAsia" w:ascii="宋体" w:hAnsi="宋体" w:eastAsia="宋体" w:cs="宋体"/>
                <w:color w:val="auto"/>
                <w:kern w:val="2"/>
                <w:sz w:val="21"/>
                <w:szCs w:val="21"/>
                <w:highlight w:val="none"/>
                <w:lang w:val="en-US" w:eastAsia="zh-CN" w:bidi="ar-SA"/>
              </w:rPr>
              <w:t xml:space="preserve">，本项0分； </w:t>
            </w:r>
            <w:r>
              <w:rPr>
                <w:rFonts w:hint="eastAsia" w:ascii="宋体" w:hAnsi="宋体" w:cs="宋体"/>
                <w:color w:val="auto"/>
                <w:kern w:val="2"/>
                <w:sz w:val="21"/>
                <w:szCs w:val="21"/>
                <w:highlight w:val="none"/>
                <w:lang w:val="en-US" w:eastAsia="zh-CN" w:bidi="ar-SA"/>
              </w:rPr>
              <w:t>提供相关养殖场承诺证明</w:t>
            </w:r>
          </w:p>
          <w:p w14:paraId="107A2D2E">
            <w:pPr>
              <w:numPr>
                <w:ilvl w:val="0"/>
                <w:numId w:val="3"/>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产品</w:t>
            </w:r>
            <w:r>
              <w:rPr>
                <w:rFonts w:hint="eastAsia" w:ascii="宋体" w:hAnsi="宋体" w:cs="宋体"/>
                <w:color w:val="auto"/>
                <w:kern w:val="2"/>
                <w:sz w:val="21"/>
                <w:szCs w:val="21"/>
                <w:highlight w:val="none"/>
                <w:lang w:val="en-US" w:eastAsia="zh-CN" w:bidi="ar-SA"/>
              </w:rPr>
              <w:t>技术参数</w:t>
            </w:r>
            <w:r>
              <w:rPr>
                <w:rFonts w:hint="eastAsia" w:ascii="宋体" w:hAnsi="宋体" w:eastAsia="宋体" w:cs="宋体"/>
                <w:color w:val="auto"/>
                <w:kern w:val="2"/>
                <w:sz w:val="21"/>
                <w:szCs w:val="21"/>
                <w:highlight w:val="none"/>
                <w:lang w:val="en-US" w:eastAsia="zh-CN" w:bidi="ar-SA"/>
              </w:rPr>
              <w:t>：均须提供佐证材料（包括但不限于检测报告、</w:t>
            </w:r>
            <w:r>
              <w:rPr>
                <w:rFonts w:hint="eastAsia" w:ascii="宋体" w:hAnsi="宋体" w:cs="宋体"/>
                <w:color w:val="auto"/>
                <w:kern w:val="2"/>
                <w:sz w:val="21"/>
                <w:szCs w:val="21"/>
                <w:highlight w:val="none"/>
                <w:lang w:val="en-US" w:eastAsia="zh-CN" w:bidi="ar-SA"/>
              </w:rPr>
              <w:t>合格证、产品包装图片、</w:t>
            </w:r>
            <w:r>
              <w:rPr>
                <w:rFonts w:hint="eastAsia" w:ascii="宋体" w:hAnsi="宋体" w:eastAsia="宋体" w:cs="宋体"/>
                <w:color w:val="auto"/>
                <w:kern w:val="2"/>
                <w:sz w:val="21"/>
                <w:szCs w:val="21"/>
                <w:highlight w:val="none"/>
                <w:lang w:val="en-US" w:eastAsia="zh-CN" w:bidi="ar-SA"/>
              </w:rPr>
              <w:t>官⽹功能截图等（4分）；</w:t>
            </w:r>
          </w:p>
        </w:tc>
      </w:tr>
      <w:tr w14:paraId="4CA3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851" w:type="dxa"/>
            <w:vMerge w:val="continue"/>
            <w:noWrap w:val="0"/>
            <w:vAlign w:val="center"/>
          </w:tcPr>
          <w:p w14:paraId="44A78719">
            <w:pPr>
              <w:spacing w:line="480" w:lineRule="exact"/>
              <w:ind w:right="-95" w:rightChars="-45"/>
              <w:jc w:val="center"/>
              <w:rPr>
                <w:rFonts w:hint="eastAsia" w:ascii="宋体" w:hAnsi="宋体" w:eastAsia="宋体" w:cs="宋体"/>
                <w:b/>
                <w:bCs/>
                <w:color w:val="auto"/>
                <w:szCs w:val="21"/>
                <w:highlight w:val="none"/>
                <w:lang w:val="en-US" w:eastAsia="zh-CN"/>
              </w:rPr>
            </w:pPr>
          </w:p>
        </w:tc>
        <w:tc>
          <w:tcPr>
            <w:tcW w:w="900" w:type="dxa"/>
            <w:noWrap w:val="0"/>
            <w:vAlign w:val="center"/>
          </w:tcPr>
          <w:p w14:paraId="4F10277D">
            <w:pPr>
              <w:spacing w:line="240" w:lineRule="auto"/>
              <w:ind w:right="-95" w:rightChars="-45"/>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防疫溯源及检测保障方案</w:t>
            </w:r>
          </w:p>
          <w:p w14:paraId="3822D8ED">
            <w:pPr>
              <w:spacing w:line="240" w:lineRule="auto"/>
              <w:ind w:right="-95" w:rightChars="-45"/>
              <w:jc w:val="center"/>
              <w:rPr>
                <w:rFonts w:hint="eastAsia" w:ascii="宋体" w:hAnsi="宋体" w:cs="宋体"/>
                <w:b/>
                <w:bCs/>
                <w:color w:val="auto"/>
                <w:szCs w:val="21"/>
                <w:highlight w:val="none"/>
                <w:lang w:val="en-US" w:eastAsia="zh-CN"/>
              </w:rPr>
            </w:pPr>
          </w:p>
        </w:tc>
        <w:tc>
          <w:tcPr>
            <w:tcW w:w="942" w:type="dxa"/>
            <w:noWrap w:val="0"/>
            <w:vAlign w:val="center"/>
          </w:tcPr>
          <w:p w14:paraId="531258F9">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tc>
        <w:tc>
          <w:tcPr>
            <w:tcW w:w="7744" w:type="dxa"/>
            <w:noWrap w:val="0"/>
            <w:vAlign w:val="center"/>
          </w:tcPr>
          <w:p w14:paraId="459657E7">
            <w:pPr>
              <w:numPr>
                <w:ilvl w:val="0"/>
                <w:numId w:val="0"/>
              </w:num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防疫溯源及检测保障方案</w:t>
            </w:r>
          </w:p>
          <w:p w14:paraId="0C4CF935">
            <w:pPr>
              <w:numPr>
                <w:ilvl w:val="0"/>
                <w:numId w:val="4"/>
              </w:numPr>
              <w:spacing w:line="240" w:lineRule="auto"/>
              <w:ind w:left="106" w:leftChars="0" w:firstLine="0" w:firstLine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具备完整活鸡溯源台账搭建方案，可配合采购人疫病抽样检测、溯源查验（</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 提供相关养殖场</w:t>
            </w:r>
            <w:r>
              <w:rPr>
                <w:rFonts w:hint="eastAsia" w:ascii="宋体" w:hAnsi="宋体" w:cs="宋体"/>
                <w:b w:val="0"/>
                <w:bCs w:val="0"/>
                <w:color w:val="auto"/>
                <w:kern w:val="2"/>
                <w:sz w:val="21"/>
                <w:szCs w:val="21"/>
                <w:highlight w:val="none"/>
                <w:lang w:val="en-US" w:eastAsia="zh-CN" w:bidi="ar-SA"/>
              </w:rPr>
              <w:t>台账</w:t>
            </w:r>
            <w:r>
              <w:rPr>
                <w:rFonts w:hint="eastAsia" w:ascii="宋体" w:hAnsi="宋体" w:eastAsia="宋体" w:cs="宋体"/>
                <w:b w:val="0"/>
                <w:bCs w:val="0"/>
                <w:color w:val="auto"/>
                <w:kern w:val="2"/>
                <w:sz w:val="21"/>
                <w:szCs w:val="21"/>
                <w:highlight w:val="none"/>
                <w:lang w:val="en-US" w:eastAsia="zh-CN" w:bidi="ar-SA"/>
              </w:rPr>
              <w:t>证明</w:t>
            </w:r>
            <w:r>
              <w:rPr>
                <w:rFonts w:hint="eastAsia" w:ascii="宋体" w:hAnsi="宋体" w:cs="宋体"/>
                <w:b w:val="0"/>
                <w:bCs w:val="0"/>
                <w:color w:val="auto"/>
                <w:kern w:val="2"/>
                <w:sz w:val="21"/>
                <w:szCs w:val="21"/>
                <w:highlight w:val="none"/>
                <w:lang w:val="en-US" w:eastAsia="zh-CN" w:bidi="ar-SA"/>
              </w:rPr>
              <w:t>或</w:t>
            </w:r>
            <w:r>
              <w:rPr>
                <w:rFonts w:hint="eastAsia" w:ascii="宋体" w:hAnsi="宋体" w:eastAsia="宋体" w:cs="宋体"/>
                <w:b w:val="0"/>
                <w:bCs w:val="0"/>
                <w:color w:val="auto"/>
                <w:kern w:val="2"/>
                <w:sz w:val="21"/>
                <w:szCs w:val="21"/>
                <w:highlight w:val="none"/>
                <w:lang w:val="en-US" w:eastAsia="zh-CN" w:bidi="ar-SA"/>
              </w:rPr>
              <w:t>承诺证明</w:t>
            </w:r>
          </w:p>
          <w:p w14:paraId="0BBC0AC6">
            <w:pPr>
              <w:numPr>
                <w:ilvl w:val="0"/>
                <w:numId w:val="4"/>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每批次随车《动物检疫合格证明》闭环管理方案、防疫应急处置预案（</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w:t>
            </w:r>
          </w:p>
          <w:p w14:paraId="19DA2ECA">
            <w:pPr>
              <w:numPr>
                <w:ilvl w:val="0"/>
                <w:numId w:val="0"/>
              </w:numPr>
              <w:spacing w:line="240" w:lineRule="auto"/>
              <w:ind w:left="106"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3.鸡苗疫病前置筛查、出厂体检管控措施完善（</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分）；</w:t>
            </w:r>
          </w:p>
        </w:tc>
      </w:tr>
      <w:tr w14:paraId="1399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851" w:type="dxa"/>
            <w:vMerge w:val="restart"/>
            <w:noWrap w:val="0"/>
            <w:vAlign w:val="center"/>
          </w:tcPr>
          <w:p w14:paraId="01FD09D6">
            <w:pPr>
              <w:spacing w:line="480" w:lineRule="exact"/>
              <w:ind w:right="-95" w:rightChars="-45"/>
              <w:jc w:val="both"/>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商务及服务响应</w:t>
            </w:r>
          </w:p>
        </w:tc>
        <w:tc>
          <w:tcPr>
            <w:tcW w:w="900" w:type="dxa"/>
            <w:noWrap w:val="0"/>
            <w:vAlign w:val="center"/>
          </w:tcPr>
          <w:p w14:paraId="267C6CF2">
            <w:pPr>
              <w:spacing w:line="240" w:lineRule="auto"/>
              <w:ind w:right="-95" w:rightChars="-45"/>
              <w:jc w:val="center"/>
              <w:rPr>
                <w:rFonts w:hint="eastAsia" w:ascii="宋体" w:hAnsi="宋体" w:eastAsia="宋体" w:cs="宋体"/>
                <w:b/>
                <w:bCs/>
                <w:color w:val="0000FF"/>
                <w:szCs w:val="21"/>
                <w:highlight w:val="none"/>
                <w:lang w:val="en-US" w:eastAsia="zh-CN"/>
              </w:rPr>
            </w:pPr>
          </w:p>
          <w:p w14:paraId="16A3A8C2">
            <w:pPr>
              <w:spacing w:line="240" w:lineRule="auto"/>
              <w:ind w:right="-95" w:rightChars="-45"/>
              <w:jc w:val="center"/>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人员 </w:t>
            </w:r>
          </w:p>
          <w:p w14:paraId="18C04404">
            <w:pPr>
              <w:spacing w:line="240" w:lineRule="auto"/>
              <w:ind w:right="-95" w:rightChars="-45"/>
              <w:jc w:val="center"/>
              <w:rPr>
                <w:rFonts w:hint="eastAsia" w:ascii="宋体" w:hAnsi="宋体" w:eastAsia="宋体" w:cs="宋体"/>
                <w:b/>
                <w:bCs/>
                <w:color w:val="0000FF"/>
                <w:szCs w:val="21"/>
                <w:highlight w:val="none"/>
                <w:lang w:val="en-US" w:eastAsia="zh-CN"/>
              </w:rPr>
            </w:pPr>
          </w:p>
        </w:tc>
        <w:tc>
          <w:tcPr>
            <w:tcW w:w="942" w:type="dxa"/>
            <w:noWrap w:val="0"/>
            <w:vAlign w:val="center"/>
          </w:tcPr>
          <w:p w14:paraId="3D3146F0">
            <w:pPr>
              <w:spacing w:line="240" w:lineRule="auto"/>
              <w:ind w:right="-95" w:rightChars="-45"/>
              <w:jc w:val="center"/>
              <w:rPr>
                <w:rFonts w:hint="eastAsia"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12</w:t>
            </w:r>
            <w:r>
              <w:rPr>
                <w:rFonts w:hint="eastAsia" w:ascii="宋体" w:hAnsi="宋体" w:eastAsia="宋体" w:cs="宋体"/>
                <w:color w:val="0000FF"/>
                <w:szCs w:val="21"/>
                <w:highlight w:val="none"/>
                <w:lang w:val="en-US" w:eastAsia="zh-CN"/>
              </w:rPr>
              <w:t>分</w:t>
            </w:r>
          </w:p>
        </w:tc>
        <w:tc>
          <w:tcPr>
            <w:tcW w:w="7744" w:type="dxa"/>
            <w:noWrap w:val="0"/>
            <w:vAlign w:val="center"/>
          </w:tcPr>
          <w:p w14:paraId="78998EB1">
            <w:p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人员 </w:t>
            </w:r>
          </w:p>
          <w:p w14:paraId="7D7DA964">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组成人员具备职业兽医资格证书每提供一个得 </w:t>
            </w:r>
            <w:r>
              <w:rPr>
                <w:rFonts w:hint="eastAsia" w:ascii="宋体" w:hAnsi="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kern w:val="2"/>
                <w:sz w:val="21"/>
                <w:szCs w:val="21"/>
                <w:highlight w:val="none"/>
                <w:lang w:val="en-US" w:eastAsia="zh-CN" w:bidi="ar-SA"/>
              </w:rPr>
              <w:t xml:space="preserve"> 分，最多得 </w:t>
            </w:r>
            <w:r>
              <w:rPr>
                <w:rFonts w:hint="eastAsia" w:ascii="宋体" w:hAnsi="宋体" w:cs="宋体"/>
                <w:b w:val="0"/>
                <w:bCs w:val="0"/>
                <w:color w:val="auto"/>
                <w:kern w:val="2"/>
                <w:sz w:val="21"/>
                <w:szCs w:val="21"/>
                <w:highlight w:val="none"/>
                <w:lang w:val="en-US" w:eastAsia="zh-CN" w:bidi="ar-SA"/>
              </w:rPr>
              <w:t>12</w:t>
            </w:r>
            <w:r>
              <w:rPr>
                <w:rFonts w:hint="eastAsia" w:ascii="宋体" w:hAnsi="宋体" w:eastAsia="宋体" w:cs="宋体"/>
                <w:b w:val="0"/>
                <w:bCs w:val="0"/>
                <w:color w:val="auto"/>
                <w:kern w:val="2"/>
                <w:sz w:val="21"/>
                <w:szCs w:val="21"/>
                <w:highlight w:val="none"/>
                <w:lang w:val="en-US" w:eastAsia="zh-CN" w:bidi="ar-SA"/>
              </w:rPr>
              <w:t xml:space="preserve">分。 </w:t>
            </w:r>
          </w:p>
          <w:p w14:paraId="60257A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备注：以上人员须提供相关证明资料(身份证、资格证书等)，否则不计分。</w:t>
            </w:r>
          </w:p>
        </w:tc>
      </w:tr>
      <w:tr w14:paraId="5A87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1" w:type="dxa"/>
            <w:vMerge w:val="continue"/>
            <w:noWrap w:val="0"/>
            <w:vAlign w:val="center"/>
          </w:tcPr>
          <w:p w14:paraId="657DB11A">
            <w:pPr>
              <w:spacing w:line="480" w:lineRule="exact"/>
              <w:ind w:right="-95" w:rightChars="-45"/>
              <w:jc w:val="center"/>
              <w:rPr>
                <w:rFonts w:hint="eastAsia" w:ascii="宋体" w:hAnsi="宋体" w:eastAsia="宋体" w:cs="宋体"/>
                <w:b/>
                <w:bCs/>
                <w:color w:val="auto"/>
                <w:szCs w:val="21"/>
                <w:highlight w:val="none"/>
                <w:lang w:val="en-US" w:eastAsia="zh-CN"/>
              </w:rPr>
            </w:pPr>
          </w:p>
        </w:tc>
        <w:tc>
          <w:tcPr>
            <w:tcW w:w="900" w:type="dxa"/>
            <w:noWrap w:val="0"/>
            <w:vAlign w:val="center"/>
          </w:tcPr>
          <w:p w14:paraId="671D5A02">
            <w:pPr>
              <w:spacing w:line="240" w:lineRule="auto"/>
              <w:ind w:right="-95" w:rightChars="-45"/>
              <w:jc w:val="center"/>
              <w:rPr>
                <w:rFonts w:hint="eastAsia" w:ascii="宋体" w:hAnsi="宋体" w:eastAsia="宋体" w:cs="宋体"/>
                <w:b/>
                <w:bCs/>
                <w:color w:val="auto"/>
                <w:szCs w:val="21"/>
                <w:highlight w:val="none"/>
                <w:lang w:val="en-US" w:eastAsia="zh-CN"/>
              </w:rPr>
            </w:pPr>
          </w:p>
          <w:p w14:paraId="7258CFCD">
            <w:pPr>
              <w:spacing w:line="240" w:lineRule="auto"/>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供货组织安排</w:t>
            </w:r>
          </w:p>
          <w:p w14:paraId="29141DB4">
            <w:pPr>
              <w:spacing w:line="240" w:lineRule="auto"/>
              <w:ind w:right="-95" w:rightChars="-45"/>
              <w:jc w:val="center"/>
              <w:rPr>
                <w:rFonts w:hint="eastAsia" w:ascii="宋体" w:hAnsi="宋体" w:eastAsia="宋体" w:cs="宋体"/>
                <w:b/>
                <w:bCs/>
                <w:color w:val="auto"/>
                <w:szCs w:val="21"/>
                <w:highlight w:val="none"/>
                <w:lang w:val="en-US" w:eastAsia="zh-CN"/>
              </w:rPr>
            </w:pPr>
          </w:p>
        </w:tc>
        <w:tc>
          <w:tcPr>
            <w:tcW w:w="942" w:type="dxa"/>
            <w:noWrap w:val="0"/>
            <w:vAlign w:val="center"/>
          </w:tcPr>
          <w:p w14:paraId="0FDE9854">
            <w:pPr>
              <w:spacing w:line="240" w:lineRule="auto"/>
              <w:ind w:right="-95" w:rightChars="-45"/>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tc>
        <w:tc>
          <w:tcPr>
            <w:tcW w:w="7744" w:type="dxa"/>
            <w:noWrap w:val="0"/>
            <w:vAlign w:val="center"/>
          </w:tcPr>
          <w:p w14:paraId="5E966ABD">
            <w:pPr>
              <w:spacing w:line="24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供货实施方案 </w:t>
            </w:r>
          </w:p>
          <w:p w14:paraId="33A1F4E4">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1.鸡苗采购、调拨、运输整体方案科学合理得</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 xml:space="preserve">分； </w:t>
            </w:r>
          </w:p>
          <w:p w14:paraId="1740576B">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2.分批次配送、定点发放、现场交接流程完善得 </w:t>
            </w:r>
            <w:r>
              <w:rPr>
                <w:rFonts w:hint="eastAsia" w:ascii="宋体" w:hAnsi="宋体" w:cs="宋体"/>
                <w:b w:val="0"/>
                <w:bCs w:val="0"/>
                <w:color w:val="auto"/>
                <w:kern w:val="2"/>
                <w:sz w:val="21"/>
                <w:szCs w:val="21"/>
                <w:highlight w:val="none"/>
                <w:lang w:val="en-US" w:eastAsia="zh-CN" w:bidi="ar-SA"/>
              </w:rPr>
              <w:t>0-2</w:t>
            </w:r>
            <w:r>
              <w:rPr>
                <w:rFonts w:hint="eastAsia" w:ascii="宋体" w:hAnsi="宋体" w:eastAsia="宋体" w:cs="宋体"/>
                <w:b w:val="0"/>
                <w:bCs w:val="0"/>
                <w:color w:val="auto"/>
                <w:kern w:val="2"/>
                <w:sz w:val="21"/>
                <w:szCs w:val="21"/>
                <w:highlight w:val="none"/>
                <w:lang w:val="en-US" w:eastAsia="zh-CN" w:bidi="ar-SA"/>
              </w:rPr>
              <w:t xml:space="preserve"> 分； </w:t>
            </w:r>
          </w:p>
          <w:p w14:paraId="56BB373C">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3.鸡苗防疫检疫、疫病监测防控计划、中转管护、应急保障措施完善得</w:t>
            </w:r>
            <w:r>
              <w:rPr>
                <w:rFonts w:hint="eastAsia" w:ascii="宋体" w:hAnsi="宋体" w:cs="宋体"/>
                <w:b w:val="0"/>
                <w:bCs w:val="0"/>
                <w:color w:val="auto"/>
                <w:kern w:val="2"/>
                <w:sz w:val="21"/>
                <w:szCs w:val="21"/>
                <w:highlight w:val="none"/>
                <w:lang w:val="en-US" w:eastAsia="zh-CN" w:bidi="ar-SA"/>
              </w:rPr>
              <w:t>0-</w:t>
            </w:r>
            <w:r>
              <w:rPr>
                <w:rFonts w:hint="eastAsia" w:ascii="宋体" w:hAnsi="宋体" w:eastAsia="宋体" w:cs="宋体"/>
                <w:b w:val="0"/>
                <w:bCs w:val="0"/>
                <w:color w:val="auto"/>
                <w:kern w:val="2"/>
                <w:sz w:val="21"/>
                <w:szCs w:val="21"/>
                <w:highlight w:val="none"/>
                <w:lang w:val="en-US" w:eastAsia="zh-CN" w:bidi="ar-SA"/>
              </w:rPr>
              <w:t xml:space="preserve"> </w:t>
            </w: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 xml:space="preserve">分； </w:t>
            </w:r>
          </w:p>
        </w:tc>
      </w:tr>
      <w:tr w14:paraId="42139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851" w:type="dxa"/>
            <w:vMerge w:val="continue"/>
            <w:noWrap w:val="0"/>
            <w:vAlign w:val="center"/>
          </w:tcPr>
          <w:p w14:paraId="49032DD8">
            <w:pPr>
              <w:spacing w:line="480" w:lineRule="exact"/>
              <w:ind w:right="-95" w:rightChars="-45"/>
              <w:jc w:val="center"/>
              <w:rPr>
                <w:rFonts w:hint="eastAsia" w:ascii="宋体" w:hAnsi="宋体" w:eastAsia="宋体" w:cs="宋体"/>
                <w:b/>
                <w:bCs/>
                <w:color w:val="auto"/>
                <w:szCs w:val="21"/>
                <w:highlight w:val="none"/>
                <w:lang w:val="en-US" w:eastAsia="en-US"/>
              </w:rPr>
            </w:pPr>
          </w:p>
        </w:tc>
        <w:tc>
          <w:tcPr>
            <w:tcW w:w="900" w:type="dxa"/>
            <w:noWrap w:val="0"/>
            <w:vAlign w:val="center"/>
          </w:tcPr>
          <w:p w14:paraId="5E1E5D81">
            <w:pPr>
              <w:spacing w:line="240" w:lineRule="auto"/>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质保及售后承诺</w:t>
            </w:r>
          </w:p>
        </w:tc>
        <w:tc>
          <w:tcPr>
            <w:tcW w:w="942" w:type="dxa"/>
            <w:noWrap w:val="0"/>
            <w:vAlign w:val="center"/>
          </w:tcPr>
          <w:p w14:paraId="6B79DB3C">
            <w:pPr>
              <w:spacing w:line="240" w:lineRule="auto"/>
              <w:ind w:right="-95" w:rightChars="-45"/>
              <w:jc w:val="center"/>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分</w:t>
            </w:r>
          </w:p>
        </w:tc>
        <w:tc>
          <w:tcPr>
            <w:tcW w:w="7744" w:type="dxa"/>
            <w:noWrap w:val="0"/>
            <w:vAlign w:val="top"/>
          </w:tcPr>
          <w:p w14:paraId="03763DB6">
            <w:pPr>
              <w:spacing w:line="240" w:lineRule="auto"/>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en-US"/>
              </w:rPr>
              <w:t>质保及售后承诺</w:t>
            </w:r>
          </w:p>
          <w:p w14:paraId="738B0120">
            <w:pPr>
              <w:numPr>
                <w:ilvl w:val="0"/>
                <w:numId w:val="5"/>
              </w:numPr>
              <w:spacing w:line="240" w:lineRule="auto"/>
              <w:rPr>
                <w:rFonts w:hint="eastAsia" w:ascii="宋体" w:hAnsi="宋体" w:eastAsia="宋体" w:cs="宋体"/>
                <w:b w:val="0"/>
                <w:bCs w:val="0"/>
                <w:color w:val="auto"/>
                <w:szCs w:val="21"/>
                <w:highlight w:val="none"/>
                <w:lang w:val="en-US" w:eastAsia="en-US"/>
              </w:rPr>
            </w:pPr>
            <w:r>
              <w:rPr>
                <w:rFonts w:hint="eastAsia" w:ascii="宋体" w:hAnsi="宋体" w:eastAsia="宋体" w:cs="宋体"/>
                <w:b w:val="0"/>
                <w:bCs w:val="0"/>
                <w:color w:val="auto"/>
                <w:szCs w:val="21"/>
                <w:highlight w:val="none"/>
                <w:lang w:val="en-US" w:eastAsia="en-US"/>
              </w:rPr>
              <w:t>完全响应质保条款：售后承诺鸡苗落地10天死亡无条件补发同品质鸡苗（3分）；</w:t>
            </w:r>
          </w:p>
          <w:p w14:paraId="48645FC6">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Cs w:val="21"/>
                <w:highlight w:val="none"/>
                <w:lang w:val="en-US" w:eastAsia="en-US"/>
              </w:rPr>
              <w:t>2.售后承诺两批次鸡苗成活率均≥95%，未达标自愿配合采购人补发同品质鸡苗（3分）；</w:t>
            </w:r>
          </w:p>
        </w:tc>
      </w:tr>
      <w:tr w14:paraId="69062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1" w:type="dxa"/>
            <w:vMerge w:val="continue"/>
            <w:noWrap w:val="0"/>
            <w:vAlign w:val="center"/>
          </w:tcPr>
          <w:p w14:paraId="6EB28131">
            <w:pPr>
              <w:spacing w:line="480" w:lineRule="exact"/>
              <w:ind w:right="-95" w:rightChars="-45"/>
              <w:jc w:val="center"/>
              <w:rPr>
                <w:rFonts w:hint="eastAsia" w:ascii="宋体" w:hAnsi="宋体" w:eastAsia="宋体" w:cs="宋体"/>
                <w:b/>
                <w:bCs/>
                <w:color w:val="auto"/>
                <w:szCs w:val="21"/>
                <w:highlight w:val="none"/>
                <w:lang w:val="en-US" w:eastAsia="zh-CN"/>
              </w:rPr>
            </w:pPr>
          </w:p>
        </w:tc>
        <w:tc>
          <w:tcPr>
            <w:tcW w:w="900" w:type="dxa"/>
            <w:noWrap w:val="0"/>
            <w:vAlign w:val="center"/>
          </w:tcPr>
          <w:p w14:paraId="21F6D014">
            <w:pPr>
              <w:spacing w:line="240" w:lineRule="auto"/>
              <w:ind w:right="-95" w:rightChars="-45"/>
              <w:jc w:val="center"/>
              <w:rPr>
                <w:rFonts w:hint="default" w:ascii="宋体" w:hAnsi="宋体" w:eastAsia="宋体" w:cs="宋体"/>
                <w:b/>
                <w:bCs/>
                <w:color w:val="0000FF"/>
                <w:szCs w:val="21"/>
                <w:highlight w:val="none"/>
                <w:lang w:val="en-US" w:eastAsia="zh-CN"/>
              </w:rPr>
            </w:pPr>
            <w:r>
              <w:rPr>
                <w:rFonts w:hint="eastAsia" w:ascii="宋体" w:hAnsi="宋体" w:cs="宋体"/>
                <w:b/>
                <w:bCs/>
                <w:color w:val="0000FF"/>
                <w:szCs w:val="21"/>
                <w:highlight w:val="none"/>
                <w:lang w:val="en-US" w:eastAsia="zh-CN"/>
              </w:rPr>
              <w:t>业绩</w:t>
            </w:r>
          </w:p>
        </w:tc>
        <w:tc>
          <w:tcPr>
            <w:tcW w:w="942" w:type="dxa"/>
            <w:noWrap w:val="0"/>
            <w:vAlign w:val="center"/>
          </w:tcPr>
          <w:p w14:paraId="250ACB07">
            <w:pPr>
              <w:spacing w:line="240" w:lineRule="auto"/>
              <w:ind w:right="-95" w:rightChars="-45"/>
              <w:jc w:val="center"/>
              <w:rPr>
                <w:rFonts w:hint="eastAsia"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10</w:t>
            </w:r>
            <w:r>
              <w:rPr>
                <w:rFonts w:hint="eastAsia" w:ascii="宋体" w:hAnsi="宋体" w:eastAsia="宋体" w:cs="宋体"/>
                <w:color w:val="0000FF"/>
                <w:szCs w:val="21"/>
                <w:highlight w:val="none"/>
                <w:lang w:val="en-US" w:eastAsia="zh-CN"/>
              </w:rPr>
              <w:t>分</w:t>
            </w:r>
          </w:p>
        </w:tc>
        <w:tc>
          <w:tcPr>
            <w:tcW w:w="7744" w:type="dxa"/>
            <w:noWrap w:val="0"/>
            <w:vAlign w:val="center"/>
          </w:tcPr>
          <w:p w14:paraId="6444086C">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2023</w:t>
            </w:r>
            <w:r>
              <w:rPr>
                <w:rFonts w:hint="eastAsia" w:ascii="宋体" w:hAnsi="宋体" w:eastAsia="宋体" w:cs="宋体"/>
                <w:color w:val="auto"/>
                <w:kern w:val="2"/>
                <w:sz w:val="21"/>
                <w:szCs w:val="21"/>
                <w:highlight w:val="none"/>
                <w:lang w:val="en-US" w:eastAsia="zh-CN" w:bidi="ar-SA"/>
              </w:rPr>
              <w:t>年</w:t>
            </w:r>
            <w:r>
              <w:rPr>
                <w:rFonts w:hint="eastAsia" w:ascii="宋体" w:hAnsi="宋体" w:cs="宋体"/>
                <w:color w:val="auto"/>
                <w:kern w:val="2"/>
                <w:sz w:val="21"/>
                <w:szCs w:val="21"/>
                <w:highlight w:val="none"/>
                <w:lang w:val="en-US" w:eastAsia="zh-CN" w:bidi="ar-SA"/>
              </w:rPr>
              <w:t>1月1日</w:t>
            </w:r>
            <w:r>
              <w:rPr>
                <w:rFonts w:hint="eastAsia" w:ascii="宋体" w:hAnsi="宋体" w:eastAsia="宋体" w:cs="宋体"/>
                <w:color w:val="auto"/>
                <w:kern w:val="2"/>
                <w:sz w:val="21"/>
                <w:szCs w:val="21"/>
                <w:highlight w:val="none"/>
                <w:lang w:val="en-US" w:eastAsia="zh-CN" w:bidi="ar-SA"/>
              </w:rPr>
              <w:t>畜禽苗</w:t>
            </w:r>
            <w:r>
              <w:rPr>
                <w:rFonts w:hint="eastAsia" w:ascii="宋体" w:hAnsi="宋体" w:cs="宋体"/>
                <w:color w:val="auto"/>
                <w:kern w:val="2"/>
                <w:sz w:val="21"/>
                <w:szCs w:val="21"/>
                <w:highlight w:val="none"/>
                <w:lang w:val="en-US" w:eastAsia="zh-CN" w:bidi="ar-SA"/>
              </w:rPr>
              <w:t>或</w:t>
            </w:r>
            <w:r>
              <w:rPr>
                <w:rFonts w:hint="eastAsia" w:ascii="宋体" w:hAnsi="宋体" w:eastAsia="宋体" w:cs="宋体"/>
                <w:color w:val="auto"/>
                <w:kern w:val="2"/>
                <w:sz w:val="21"/>
                <w:szCs w:val="21"/>
                <w:highlight w:val="none"/>
                <w:lang w:val="en-US" w:eastAsia="zh-CN" w:bidi="ar-SA"/>
              </w:rPr>
              <w:t>养殖饲料</w:t>
            </w:r>
            <w:r>
              <w:rPr>
                <w:rFonts w:hint="eastAsia" w:ascii="宋体" w:hAnsi="宋体" w:cs="宋体"/>
                <w:color w:val="auto"/>
                <w:kern w:val="2"/>
                <w:sz w:val="21"/>
                <w:szCs w:val="21"/>
                <w:highlight w:val="none"/>
                <w:lang w:val="en-US" w:eastAsia="zh-CN" w:bidi="ar-SA"/>
              </w:rPr>
              <w:t>类似</w:t>
            </w:r>
            <w:r>
              <w:rPr>
                <w:rFonts w:hint="eastAsia" w:ascii="宋体" w:hAnsi="宋体" w:eastAsia="宋体" w:cs="宋体"/>
                <w:color w:val="auto"/>
                <w:kern w:val="2"/>
                <w:sz w:val="21"/>
                <w:szCs w:val="21"/>
                <w:highlight w:val="none"/>
                <w:lang w:val="en-US" w:eastAsia="zh-CN" w:bidi="ar-SA"/>
              </w:rPr>
              <w:t>供货业绩，每份有效业绩</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分，最高</w:t>
            </w: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分；</w:t>
            </w:r>
          </w:p>
          <w:p w14:paraId="567E1408">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以合同或中标通知书复印件为准。</w:t>
            </w:r>
            <w:r>
              <w:rPr>
                <w:rFonts w:hint="eastAsia" w:ascii="宋体" w:hAnsi="宋体" w:eastAsia="宋体" w:cs="宋体"/>
                <w:color w:val="auto"/>
                <w:kern w:val="2"/>
                <w:sz w:val="21"/>
                <w:szCs w:val="21"/>
                <w:highlight w:val="none"/>
                <w:lang w:val="en-US" w:eastAsia="zh-CN" w:bidi="ar-SA"/>
              </w:rPr>
              <w:t xml:space="preserve"> </w:t>
            </w:r>
          </w:p>
        </w:tc>
      </w:tr>
      <w:tr w14:paraId="1D42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10437" w:type="dxa"/>
            <w:gridSpan w:val="4"/>
            <w:shd w:val="clear" w:color="auto" w:fill="auto"/>
            <w:noWrap w:val="0"/>
            <w:vAlign w:val="center"/>
          </w:tcPr>
          <w:p w14:paraId="4DA0AA9F">
            <w:pPr>
              <w:numPr>
                <w:ilvl w:val="0"/>
                <w:numId w:val="6"/>
              </w:num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汇总上述各项得分，按由高至低的顺序确定成交候选人。</w:t>
            </w:r>
          </w:p>
          <w:p w14:paraId="7A47F669">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2、计算采用</w:t>
            </w:r>
            <w:r>
              <w:rPr>
                <w:rFonts w:hint="eastAsia" w:ascii="宋体" w:hAnsi="宋体" w:eastAsia="宋体" w:cs="宋体"/>
                <w:color w:val="auto"/>
                <w:kern w:val="0"/>
                <w:szCs w:val="21"/>
                <w:highlight w:val="none"/>
                <w:shd w:val="clear" w:color="auto" w:fill="FCFCFC"/>
                <w:lang w:val="en-US" w:eastAsia="zh-CN"/>
              </w:rPr>
              <w:t>低价优先法</w:t>
            </w:r>
            <w:r>
              <w:rPr>
                <w:rFonts w:hint="eastAsia" w:ascii="宋体" w:hAnsi="宋体" w:eastAsia="宋体" w:cs="宋体"/>
                <w:color w:val="auto"/>
                <w:kern w:val="0"/>
                <w:szCs w:val="21"/>
                <w:highlight w:val="none"/>
                <w:shd w:val="clear" w:color="auto" w:fill="FCFCFC"/>
              </w:rPr>
              <w:t>，数据汇总时保留小数点后两位，第三位四舍五入。</w:t>
            </w:r>
          </w:p>
          <w:p w14:paraId="7CCAACBE">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3、当递交磋商文件的</w:t>
            </w:r>
            <w:r>
              <w:rPr>
                <w:rFonts w:hint="eastAsia" w:ascii="宋体" w:hAnsi="宋体" w:eastAsia="宋体" w:cs="宋体"/>
                <w:color w:val="auto"/>
                <w:kern w:val="0"/>
                <w:szCs w:val="21"/>
                <w:highlight w:val="none"/>
                <w:shd w:val="clear" w:color="auto" w:fill="FCFCFC"/>
                <w:lang w:eastAsia="zh-CN"/>
              </w:rPr>
              <w:t>供应商</w:t>
            </w:r>
            <w:r>
              <w:rPr>
                <w:rFonts w:hint="eastAsia" w:ascii="宋体" w:hAnsi="宋体" w:eastAsia="宋体" w:cs="宋体"/>
                <w:color w:val="auto"/>
                <w:kern w:val="0"/>
                <w:szCs w:val="21"/>
                <w:highlight w:val="none"/>
                <w:shd w:val="clear" w:color="auto" w:fill="FCFCFC"/>
              </w:rPr>
              <w:t>少于三个或经磋商委员会评审合格的</w:t>
            </w:r>
            <w:r>
              <w:rPr>
                <w:rFonts w:hint="eastAsia" w:ascii="宋体" w:hAnsi="宋体" w:eastAsia="宋体" w:cs="宋体"/>
                <w:color w:val="auto"/>
                <w:kern w:val="0"/>
                <w:szCs w:val="21"/>
                <w:highlight w:val="none"/>
                <w:shd w:val="clear" w:color="auto" w:fill="FCFCFC"/>
                <w:lang w:eastAsia="zh-CN"/>
              </w:rPr>
              <w:t>供应商</w:t>
            </w:r>
            <w:r>
              <w:rPr>
                <w:rFonts w:hint="eastAsia" w:ascii="宋体" w:hAnsi="宋体" w:eastAsia="宋体" w:cs="宋体"/>
                <w:color w:val="auto"/>
                <w:kern w:val="0"/>
                <w:szCs w:val="21"/>
                <w:highlight w:val="none"/>
                <w:shd w:val="clear" w:color="auto" w:fill="FCFCFC"/>
              </w:rPr>
              <w:t>少于三个且明显缺乏竞争时，</w:t>
            </w:r>
            <w:r>
              <w:rPr>
                <w:rFonts w:hint="eastAsia" w:ascii="宋体" w:hAnsi="宋体" w:eastAsia="宋体" w:cs="宋体"/>
                <w:color w:val="auto"/>
                <w:kern w:val="0"/>
                <w:szCs w:val="21"/>
                <w:highlight w:val="none"/>
                <w:shd w:val="clear" w:color="auto" w:fill="FCFCFC"/>
                <w:lang w:eastAsia="zh-CN"/>
              </w:rPr>
              <w:t>集中采购机构</w:t>
            </w:r>
            <w:r>
              <w:rPr>
                <w:rFonts w:hint="eastAsia" w:ascii="宋体" w:hAnsi="宋体" w:eastAsia="宋体" w:cs="宋体"/>
                <w:color w:val="auto"/>
                <w:kern w:val="0"/>
                <w:szCs w:val="21"/>
                <w:highlight w:val="none"/>
                <w:shd w:val="clear" w:color="auto" w:fill="FCFCFC"/>
              </w:rPr>
              <w:t>将依法重新组织磋商。</w:t>
            </w:r>
          </w:p>
          <w:p w14:paraId="0C1D4AA7">
            <w:pPr>
              <w:overflowPunct w:val="0"/>
              <w:topLinePunct/>
              <w:spacing w:line="240" w:lineRule="auto"/>
              <w:jc w:val="left"/>
              <w:rPr>
                <w:rFonts w:hint="eastAsia" w:ascii="宋体" w:hAnsi="宋体" w:eastAsia="宋体" w:cs="宋体"/>
                <w:color w:val="auto"/>
                <w:kern w:val="0"/>
                <w:szCs w:val="21"/>
                <w:highlight w:val="none"/>
                <w:shd w:val="clear" w:color="auto" w:fill="FCFCFC"/>
              </w:rPr>
            </w:pPr>
            <w:r>
              <w:rPr>
                <w:rFonts w:hint="eastAsia" w:ascii="宋体" w:hAnsi="宋体" w:eastAsia="宋体" w:cs="宋体"/>
                <w:color w:val="auto"/>
                <w:kern w:val="0"/>
                <w:szCs w:val="21"/>
                <w:highlight w:val="none"/>
                <w:shd w:val="clear" w:color="auto" w:fill="FCFCFC"/>
              </w:rPr>
              <w:t>4、磋商委员会成员应写出评审报告，并在评标原始记录上签名。</w:t>
            </w:r>
          </w:p>
          <w:p w14:paraId="1634DB1F">
            <w:pPr>
              <w:overflowPunct w:val="0"/>
              <w:topLinePunct/>
              <w:spacing w:line="240" w:lineRule="auto"/>
              <w:jc w:val="left"/>
              <w:rPr>
                <w:rFonts w:hint="eastAsia" w:ascii="宋体" w:hAnsi="宋体" w:eastAsia="宋体" w:cs="宋体"/>
                <w:color w:val="auto"/>
                <w:kern w:val="0"/>
                <w:szCs w:val="21"/>
                <w:highlight w:val="none"/>
                <w:shd w:val="clear" w:color="auto" w:fill="FCFCFC"/>
                <w:lang w:val="en-US" w:eastAsia="zh-CN"/>
              </w:rPr>
            </w:pPr>
            <w:r>
              <w:rPr>
                <w:rFonts w:hint="eastAsia" w:ascii="宋体" w:hAnsi="宋体" w:eastAsia="宋体" w:cs="宋体"/>
                <w:color w:val="auto"/>
                <w:kern w:val="0"/>
                <w:szCs w:val="21"/>
                <w:highlight w:val="none"/>
                <w:shd w:val="clear" w:color="auto" w:fill="FCFCFC"/>
              </w:rPr>
              <w:t>5、磋商文件的其它否决条件按相关法律、法规和规定执行。</w:t>
            </w:r>
          </w:p>
          <w:p w14:paraId="1D5C078D">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szCs w:val="21"/>
                <w:highlight w:val="none"/>
                <w:shd w:val="clear" w:color="auto" w:fill="FCFCFC"/>
                <w:lang w:val="en-US" w:eastAsia="zh-CN"/>
              </w:rPr>
              <w:t>6</w:t>
            </w:r>
            <w:r>
              <w:rPr>
                <w:rFonts w:hint="eastAsia" w:ascii="宋体" w:hAnsi="宋体" w:eastAsia="宋体" w:cs="宋体"/>
                <w:color w:val="auto"/>
                <w:kern w:val="0"/>
                <w:szCs w:val="21"/>
                <w:highlight w:val="none"/>
                <w:shd w:val="clear" w:color="auto" w:fill="FCFCFC"/>
              </w:rPr>
              <w:t>、未尽事宜按有关规定执行。本文件最终解释权为</w:t>
            </w:r>
            <w:r>
              <w:rPr>
                <w:rFonts w:hint="eastAsia" w:ascii="宋体" w:hAnsi="宋体" w:eastAsia="宋体" w:cs="宋体"/>
                <w:color w:val="auto"/>
                <w:kern w:val="0"/>
                <w:szCs w:val="21"/>
                <w:highlight w:val="none"/>
                <w:shd w:val="clear" w:color="auto" w:fill="FCFCFC"/>
                <w:lang w:eastAsia="zh-CN"/>
              </w:rPr>
              <w:t>集中采购机构。</w:t>
            </w:r>
          </w:p>
        </w:tc>
      </w:tr>
    </w:tbl>
    <w:p w14:paraId="52DAA8E8">
      <w:pPr>
        <w:spacing w:line="360" w:lineRule="auto"/>
        <w:ind w:firstLine="486" w:firstLineChars="200"/>
        <w:rPr>
          <w:rFonts w:hint="eastAsia" w:ascii="宋体" w:hAnsi="宋体" w:eastAsia="宋体" w:cs="宋体"/>
          <w:b/>
          <w:color w:val="auto"/>
          <w:sz w:val="24"/>
        </w:rPr>
      </w:pPr>
      <w:r>
        <w:rPr>
          <w:rFonts w:hint="eastAsia" w:ascii="宋体" w:hAnsi="宋体" w:cs="宋体"/>
          <w:b/>
          <w:color w:val="auto"/>
          <w:sz w:val="24"/>
          <w:lang w:val="en-US" w:eastAsia="zh-CN"/>
        </w:rPr>
        <w:t>9.</w:t>
      </w:r>
      <w:r>
        <w:rPr>
          <w:rFonts w:hint="eastAsia" w:ascii="宋体" w:hAnsi="宋体" w:eastAsia="宋体" w:cs="宋体"/>
          <w:b/>
          <w:color w:val="auto"/>
          <w:sz w:val="24"/>
        </w:rPr>
        <w:t>相同品牌评审依据</w:t>
      </w:r>
    </w:p>
    <w:p w14:paraId="49279121">
      <w:pPr>
        <w:ind w:firstLine="426" w:firstLineChars="200"/>
        <w:rPr>
          <w:rFonts w:hint="eastAsia"/>
          <w:color w:val="auto"/>
        </w:rPr>
      </w:pPr>
      <w:r>
        <w:rPr>
          <w:rFonts w:hint="eastAsia"/>
          <w:color w:val="auto"/>
          <w:lang w:val="en-US" w:eastAsia="zh-CN"/>
        </w:rPr>
        <w:t>1）</w:t>
      </w:r>
      <w:r>
        <w:rPr>
          <w:rFonts w:hint="eastAsia"/>
          <w:color w:val="auto"/>
        </w:rPr>
        <w:t>采用最低评标价法的采购项目，</w:t>
      </w:r>
      <w:r>
        <w:rPr>
          <w:rFonts w:hint="eastAsia"/>
          <w:b/>
          <w:bCs/>
          <w:color w:val="auto"/>
        </w:rPr>
        <w:t>提供相同核心产品品牌</w:t>
      </w:r>
      <w:r>
        <w:rPr>
          <w:rFonts w:hint="eastAsia"/>
          <w:color w:val="auto"/>
        </w:rPr>
        <w:t>的不同</w:t>
      </w:r>
      <w:r>
        <w:rPr>
          <w:rFonts w:hint="eastAsia"/>
          <w:color w:val="auto"/>
          <w:lang w:eastAsia="zh-CN"/>
        </w:rPr>
        <w:t>供应商</w:t>
      </w:r>
      <w:r>
        <w:rPr>
          <w:rFonts w:hint="eastAsia"/>
          <w:color w:val="auto"/>
        </w:rPr>
        <w:t>参加</w:t>
      </w:r>
      <w:r>
        <w:rPr>
          <w:rFonts w:hint="eastAsia"/>
          <w:b/>
          <w:bCs/>
          <w:color w:val="auto"/>
        </w:rPr>
        <w:t>同一合同项</w:t>
      </w:r>
      <w:r>
        <w:rPr>
          <w:rFonts w:hint="eastAsia"/>
          <w:color w:val="auto"/>
        </w:rPr>
        <w:t>下投标的，以其中通过资格审查、符合性审查且报价最低的参加评审；报价相同的，由采购人或者采购人委托磋商小组按照竞争性磋商文件规定的方式确定一个参加评审的</w:t>
      </w:r>
      <w:r>
        <w:rPr>
          <w:rFonts w:hint="eastAsia"/>
          <w:color w:val="auto"/>
          <w:lang w:eastAsia="zh-CN"/>
        </w:rPr>
        <w:t>供应商</w:t>
      </w:r>
      <w:r>
        <w:rPr>
          <w:rFonts w:hint="eastAsia"/>
          <w:color w:val="auto"/>
        </w:rPr>
        <w:t>，竞争性磋商文件未规定的采取随机抽取方式确定，其他投标无效。</w:t>
      </w:r>
    </w:p>
    <w:p w14:paraId="40A6A716">
      <w:pPr>
        <w:ind w:firstLine="426" w:firstLineChars="200"/>
        <w:rPr>
          <w:rFonts w:hint="eastAsia"/>
          <w:color w:val="auto"/>
        </w:rPr>
      </w:pPr>
      <w:r>
        <w:rPr>
          <w:rFonts w:hint="eastAsia"/>
          <w:color w:val="auto"/>
          <w:lang w:val="en-US" w:eastAsia="zh-CN"/>
        </w:rPr>
        <w:t>2）</w:t>
      </w:r>
      <w:r>
        <w:rPr>
          <w:rFonts w:hint="eastAsia"/>
          <w:color w:val="auto"/>
        </w:rPr>
        <w:t>使用综合评分法的采购项目，提供相同核心产品品牌且通过资格审查、符合性审查的不同</w:t>
      </w:r>
      <w:r>
        <w:rPr>
          <w:rFonts w:hint="eastAsia"/>
          <w:color w:val="auto"/>
          <w:lang w:eastAsia="zh-CN"/>
        </w:rPr>
        <w:t>供应商</w:t>
      </w:r>
      <w:r>
        <w:rPr>
          <w:rFonts w:hint="eastAsia"/>
          <w:color w:val="auto"/>
        </w:rPr>
        <w:t>参加同一合同项下投标的，按一家</w:t>
      </w:r>
      <w:r>
        <w:rPr>
          <w:rFonts w:hint="eastAsia"/>
          <w:color w:val="auto"/>
          <w:lang w:eastAsia="zh-CN"/>
        </w:rPr>
        <w:t>供应商</w:t>
      </w:r>
      <w:r>
        <w:rPr>
          <w:rFonts w:hint="eastAsia"/>
          <w:color w:val="auto"/>
        </w:rPr>
        <w:t>计算，评审后得分最高的相同核心产品品牌</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推荐资格；评审得分相同的，由采购人或者采购人委托磋商小组按照竞争性磋商文件规定的方式确定一个</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推荐资格，竞争性磋商文件未规定的采取随机抽取方式确定，其他相同核心产品品牌</w:t>
      </w:r>
      <w:r>
        <w:rPr>
          <w:rFonts w:hint="eastAsia"/>
          <w:color w:val="auto"/>
          <w:lang w:eastAsia="zh-CN"/>
        </w:rPr>
        <w:t>供应商</w:t>
      </w:r>
      <w:r>
        <w:rPr>
          <w:rFonts w:hint="eastAsia"/>
          <w:color w:val="auto"/>
        </w:rPr>
        <w:t>不作为成交候选人。</w:t>
      </w: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cs="宋体"/>
          <w:b/>
          <w:color w:val="auto"/>
          <w:sz w:val="24"/>
          <w:lang w:val="en-US" w:eastAsia="zh-CN"/>
        </w:rPr>
        <w:t>10</w:t>
      </w:r>
      <w:r>
        <w:rPr>
          <w:rFonts w:hint="eastAsia" w:ascii="宋体" w:hAnsi="宋体" w:eastAsia="宋体" w:cs="宋体"/>
          <w:b/>
          <w:color w:val="auto"/>
          <w:sz w:val="24"/>
        </w:rPr>
        <w:t>.推荐成交候选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1</w:t>
      </w:r>
      <w:r>
        <w:rPr>
          <w:rFonts w:hint="eastAsia" w:ascii="宋体" w:hAnsi="宋体" w:eastAsia="宋体" w:cs="宋体"/>
          <w:b/>
          <w:color w:val="auto"/>
          <w:sz w:val="24"/>
        </w:rPr>
        <w:t>.在评审过程中，出现下列情况之一的，响应文件视为无效：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3</w:t>
      </w:r>
      <w:r>
        <w:rPr>
          <w:rFonts w:hint="eastAsia" w:ascii="宋体" w:hAnsi="宋体" w:eastAsia="宋体" w:cs="宋体"/>
          <w:b/>
          <w:bCs/>
          <w:color w:val="auto"/>
          <w:sz w:val="24"/>
        </w:rPr>
        <w:t>.签订政府采购合同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4</w:t>
      </w:r>
      <w:r>
        <w:rPr>
          <w:rFonts w:hint="eastAsia" w:ascii="宋体" w:hAnsi="宋体" w:eastAsia="宋体" w:cs="宋体"/>
          <w:b/>
          <w:bCs/>
          <w:color w:val="auto"/>
          <w:sz w:val="24"/>
        </w:rPr>
        <w:t>.其他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26DCE3BA">
      <w:pPr>
        <w:spacing w:line="360" w:lineRule="auto"/>
        <w:ind w:firstLine="486" w:firstLineChars="200"/>
        <w:rPr>
          <w:rFonts w:hint="eastAsia" w:ascii="宋体" w:hAnsi="宋体" w:eastAsia="宋体" w:cs="宋体"/>
          <w:color w:val="auto"/>
          <w:sz w:val="24"/>
        </w:rPr>
      </w:pPr>
    </w:p>
    <w:p w14:paraId="2F429545">
      <w:pPr>
        <w:spacing w:line="360" w:lineRule="auto"/>
        <w:ind w:firstLine="486" w:firstLineChars="200"/>
        <w:rPr>
          <w:rFonts w:hint="eastAsia" w:ascii="宋体" w:hAnsi="宋体" w:eastAsia="宋体" w:cs="宋体"/>
          <w:color w:val="auto"/>
          <w:sz w:val="24"/>
        </w:rPr>
      </w:pPr>
    </w:p>
    <w:p w14:paraId="61031CD5">
      <w:pPr>
        <w:spacing w:line="360" w:lineRule="auto"/>
        <w:ind w:firstLine="486" w:firstLineChars="200"/>
        <w:rPr>
          <w:rFonts w:hint="eastAsia" w:ascii="宋体" w:hAnsi="宋体" w:eastAsia="宋体" w:cs="宋体"/>
          <w:color w:val="auto"/>
          <w:sz w:val="24"/>
        </w:rPr>
      </w:pPr>
    </w:p>
    <w:p w14:paraId="3A9342FC">
      <w:pPr>
        <w:spacing w:line="360" w:lineRule="auto"/>
        <w:ind w:firstLine="486" w:firstLineChars="200"/>
        <w:rPr>
          <w:rFonts w:hint="eastAsia" w:ascii="宋体" w:hAnsi="宋体" w:eastAsia="宋体" w:cs="宋体"/>
          <w:color w:val="auto"/>
          <w:sz w:val="24"/>
        </w:rPr>
      </w:pPr>
    </w:p>
    <w:p w14:paraId="522FC391">
      <w:pPr>
        <w:spacing w:line="360" w:lineRule="auto"/>
        <w:ind w:firstLine="486" w:firstLineChars="200"/>
        <w:rPr>
          <w:rFonts w:hint="eastAsia" w:ascii="宋体" w:hAnsi="宋体" w:eastAsia="宋体" w:cs="宋体"/>
          <w:color w:val="auto"/>
          <w:sz w:val="24"/>
        </w:rPr>
      </w:pPr>
    </w:p>
    <w:p w14:paraId="4DAEBEB9">
      <w:pPr>
        <w:spacing w:line="360" w:lineRule="auto"/>
        <w:ind w:firstLine="486" w:firstLineChars="200"/>
        <w:rPr>
          <w:rFonts w:hint="eastAsia" w:ascii="宋体" w:hAnsi="宋体" w:eastAsia="宋体" w:cs="宋体"/>
          <w:color w:val="auto"/>
          <w:sz w:val="24"/>
        </w:rPr>
      </w:pPr>
    </w:p>
    <w:p w14:paraId="5012D0D5">
      <w:pPr>
        <w:spacing w:line="360" w:lineRule="auto"/>
        <w:ind w:firstLine="486" w:firstLineChars="200"/>
        <w:rPr>
          <w:rFonts w:hint="eastAsia" w:ascii="宋体" w:hAnsi="宋体" w:eastAsia="宋体" w:cs="宋体"/>
          <w:color w:val="auto"/>
          <w:sz w:val="24"/>
        </w:rPr>
      </w:pPr>
    </w:p>
    <w:p w14:paraId="1B2ED11B">
      <w:pPr>
        <w:spacing w:line="360" w:lineRule="auto"/>
        <w:ind w:firstLine="486" w:firstLineChars="200"/>
        <w:rPr>
          <w:rFonts w:hint="eastAsia" w:ascii="宋体" w:hAnsi="宋体" w:eastAsia="宋体" w:cs="宋体"/>
          <w:color w:val="auto"/>
          <w:sz w:val="24"/>
        </w:rPr>
      </w:pPr>
    </w:p>
    <w:p w14:paraId="528A8080">
      <w:pPr>
        <w:spacing w:line="360" w:lineRule="auto"/>
        <w:ind w:firstLine="486" w:firstLineChars="200"/>
        <w:rPr>
          <w:rFonts w:hint="eastAsia" w:ascii="宋体" w:hAnsi="宋体" w:eastAsia="宋体" w:cs="宋体"/>
          <w:color w:val="auto"/>
          <w:sz w:val="24"/>
        </w:rPr>
      </w:pPr>
    </w:p>
    <w:p w14:paraId="1DFC62C9">
      <w:pPr>
        <w:spacing w:line="360" w:lineRule="auto"/>
        <w:ind w:firstLine="486" w:firstLineChars="200"/>
        <w:rPr>
          <w:rFonts w:hint="eastAsia" w:ascii="宋体" w:hAnsi="宋体" w:eastAsia="宋体" w:cs="宋体"/>
          <w:color w:val="auto"/>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2373"/>
        <w:gridCol w:w="3779"/>
        <w:gridCol w:w="1045"/>
        <w:gridCol w:w="152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35D60E53">
      <w:pPr>
        <w:spacing w:line="400" w:lineRule="exact"/>
        <w:ind w:firstLine="486" w:firstLineChars="200"/>
        <w:rPr>
          <w:rFonts w:hint="eastAsia" w:ascii="宋体" w:hAnsi="宋体" w:eastAsia="宋体" w:cs="宋体"/>
          <w:b/>
          <w:bCs/>
          <w:color w:val="auto"/>
          <w:sz w:val="24"/>
          <w:szCs w:val="24"/>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304" w:bottom="1418" w:left="1417"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0142E755">
      <w:pPr>
        <w:numPr>
          <w:ilvl w:val="0"/>
          <w:numId w:val="7"/>
        </w:numPr>
        <w:spacing w:line="240" w:lineRule="auto"/>
        <w:ind w:firstLine="643" w:firstLineChars="200"/>
        <w:rPr>
          <w:rFonts w:hint="eastAsia" w:ascii="Times New Roman" w:hAnsi="Times New Roman" w:eastAsia="宋体" w:cs="Times New Roman"/>
          <w:b/>
          <w:bCs/>
          <w:color w:val="auto"/>
          <w:sz w:val="32"/>
          <w:szCs w:val="40"/>
          <w:lang w:val="en-US" w:eastAsia="zh-CN"/>
        </w:rPr>
      </w:pPr>
      <w:r>
        <w:rPr>
          <w:rFonts w:hint="eastAsia" w:ascii="Times New Roman" w:hAnsi="Times New Roman" w:eastAsia="宋体" w:cs="Times New Roman"/>
          <w:b/>
          <w:bCs/>
          <w:color w:val="auto"/>
          <w:sz w:val="32"/>
          <w:szCs w:val="40"/>
          <w:lang w:val="en-US" w:eastAsia="zh-CN"/>
        </w:rPr>
        <w:t>采购需求</w:t>
      </w:r>
    </w:p>
    <w:tbl>
      <w:tblPr>
        <w:tblStyle w:val="20"/>
        <w:tblpPr w:leftFromText="180" w:rightFromText="180" w:vertAnchor="text" w:horzAnchor="page" w:tblpX="880" w:tblpY="157"/>
        <w:tblOverlap w:val="never"/>
        <w:tblW w:w="14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1843"/>
        <w:gridCol w:w="6499"/>
        <w:gridCol w:w="1462"/>
        <w:gridCol w:w="3705"/>
      </w:tblGrid>
      <w:tr w14:paraId="76E0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088" w:type="dxa"/>
            <w:tcBorders>
              <w:tl2br w:val="nil"/>
              <w:tr2bl w:val="nil"/>
            </w:tcBorders>
            <w:noWrap w:val="0"/>
            <w:vAlign w:val="center"/>
          </w:tcPr>
          <w:p w14:paraId="61B47264">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843" w:type="dxa"/>
            <w:tcBorders>
              <w:tl2br w:val="nil"/>
              <w:tr2bl w:val="nil"/>
            </w:tcBorders>
            <w:noWrap w:val="0"/>
            <w:vAlign w:val="center"/>
          </w:tcPr>
          <w:p w14:paraId="58B225B8">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鸡苗类型/饲料</w:t>
            </w:r>
          </w:p>
        </w:tc>
        <w:tc>
          <w:tcPr>
            <w:tcW w:w="6499" w:type="dxa"/>
            <w:tcBorders>
              <w:tl2br w:val="nil"/>
              <w:tr2bl w:val="nil"/>
            </w:tcBorders>
            <w:noWrap w:val="0"/>
            <w:vAlign w:val="center"/>
          </w:tcPr>
          <w:p w14:paraId="7CC2A5AE">
            <w:pPr>
              <w:keepNext w:val="0"/>
              <w:keepLines w:val="0"/>
              <w:widowControl/>
              <w:suppressLineNumbers w:val="0"/>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参数说明</w:t>
            </w:r>
          </w:p>
        </w:tc>
        <w:tc>
          <w:tcPr>
            <w:tcW w:w="1462" w:type="dxa"/>
            <w:tcBorders>
              <w:tl2br w:val="nil"/>
              <w:tr2bl w:val="nil"/>
            </w:tcBorders>
            <w:noWrap w:val="0"/>
            <w:vAlign w:val="center"/>
          </w:tcPr>
          <w:p w14:paraId="4CCC6817">
            <w:pPr>
              <w:keepNext w:val="0"/>
              <w:keepLines w:val="0"/>
              <w:widowControl/>
              <w:suppressLineNumbers w:val="0"/>
              <w:jc w:val="center"/>
              <w:rPr>
                <w:rFonts w:hint="eastAsia" w:ascii="宋体" w:hAnsi="宋体" w:eastAsia="宋体" w:cs="宋体"/>
                <w:b/>
                <w:bCs/>
                <w:i w:val="0"/>
                <w:iCs w:val="0"/>
                <w:color w:val="auto"/>
                <w:sz w:val="22"/>
                <w:szCs w:val="22"/>
                <w:u w:val="none"/>
              </w:rPr>
            </w:pPr>
            <w:r>
              <w:rPr>
                <w:rStyle w:val="45"/>
                <w:color w:val="auto"/>
                <w:sz w:val="22"/>
                <w:szCs w:val="22"/>
                <w:lang w:val="en-US" w:eastAsia="zh-CN" w:bidi="ar"/>
              </w:rPr>
              <w:t>数量</w:t>
            </w:r>
            <w:r>
              <w:rPr>
                <w:rFonts w:ascii="Calibri" w:hAnsi="Calibri" w:eastAsia="宋体" w:cs="Calibri"/>
                <w:b/>
                <w:bCs/>
                <w:color w:val="auto"/>
                <w:sz w:val="22"/>
                <w:szCs w:val="22"/>
                <w:u w:val="none"/>
                <w:lang w:val="en-US" w:eastAsia="zh-CN" w:bidi="ar"/>
              </w:rPr>
              <w:t>/</w:t>
            </w:r>
            <w:r>
              <w:rPr>
                <w:rFonts w:hint="eastAsia" w:ascii="宋体" w:hAnsi="宋体" w:eastAsia="宋体" w:cs="宋体"/>
                <w:b/>
                <w:bCs/>
                <w:i w:val="0"/>
                <w:iCs w:val="0"/>
                <w:color w:val="auto"/>
                <w:kern w:val="0"/>
                <w:sz w:val="22"/>
                <w:szCs w:val="22"/>
                <w:u w:val="none"/>
                <w:lang w:val="en-US" w:eastAsia="zh-CN" w:bidi="ar"/>
              </w:rPr>
              <w:t>单位</w:t>
            </w:r>
          </w:p>
        </w:tc>
        <w:tc>
          <w:tcPr>
            <w:tcW w:w="3705" w:type="dxa"/>
            <w:tcBorders>
              <w:tl2br w:val="nil"/>
              <w:tr2bl w:val="nil"/>
            </w:tcBorders>
            <w:noWrap w:val="0"/>
            <w:vAlign w:val="center"/>
          </w:tcPr>
          <w:p w14:paraId="5564C98C">
            <w:pPr>
              <w:keepNext w:val="0"/>
              <w:keepLines w:val="0"/>
              <w:widowControl/>
              <w:suppressLineNumbers w:val="0"/>
              <w:jc w:val="center"/>
              <w:rPr>
                <w:rFonts w:hint="default"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备注</w:t>
            </w:r>
          </w:p>
        </w:tc>
      </w:tr>
      <w:tr w14:paraId="4EA0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trPr>
        <w:tc>
          <w:tcPr>
            <w:tcW w:w="1088" w:type="dxa"/>
            <w:tcBorders>
              <w:tl2br w:val="nil"/>
              <w:tr2bl w:val="nil"/>
            </w:tcBorders>
            <w:noWrap w:val="0"/>
            <w:vAlign w:val="center"/>
          </w:tcPr>
          <w:p w14:paraId="35CFC59F">
            <w:pPr>
              <w:keepNext w:val="0"/>
              <w:keepLines w:val="0"/>
              <w:widowControl/>
              <w:suppressLineNumbers w:val="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p w14:paraId="0FBC6731">
            <w:pPr>
              <w:keepNext w:val="0"/>
              <w:keepLines w:val="0"/>
              <w:widowControl/>
              <w:suppressLineNumbers w:val="0"/>
              <w:jc w:val="center"/>
              <w:rPr>
                <w:rFonts w:hint="eastAsia" w:ascii="宋体" w:hAnsi="宋体" w:eastAsia="宋体" w:cs="宋体"/>
                <w:i w:val="0"/>
                <w:iCs w:val="0"/>
                <w:color w:val="auto"/>
                <w:sz w:val="21"/>
                <w:szCs w:val="21"/>
                <w:u w:val="none"/>
                <w:lang w:val="en-US" w:eastAsia="zh-CN"/>
              </w:rPr>
            </w:pPr>
          </w:p>
        </w:tc>
        <w:tc>
          <w:tcPr>
            <w:tcW w:w="1843" w:type="dxa"/>
            <w:tcBorders>
              <w:tl2br w:val="nil"/>
              <w:tr2bl w:val="nil"/>
            </w:tcBorders>
            <w:noWrap w:val="0"/>
            <w:vAlign w:val="center"/>
          </w:tcPr>
          <w:p w14:paraId="2C9AA3B7">
            <w:pPr>
              <w:keepNext w:val="0"/>
              <w:keepLines w:val="0"/>
              <w:widowControl/>
              <w:suppressLineNumbers w:val="0"/>
              <w:jc w:val="center"/>
              <w:textAlignment w:val="center"/>
              <w:rPr>
                <w:rFonts w:hint="eastAsia" w:ascii="宋体" w:hAnsi="宋体" w:cs="宋体"/>
                <w:b w:val="0"/>
                <w:bCs w:val="0"/>
                <w:i w:val="0"/>
                <w:iCs w:val="0"/>
                <w:color w:val="auto"/>
                <w:sz w:val="24"/>
                <w:szCs w:val="24"/>
                <w:u w:val="none"/>
                <w:lang w:val="en-US" w:eastAsia="zh-CN"/>
              </w:rPr>
            </w:pPr>
            <w:r>
              <w:rPr>
                <w:rFonts w:hint="eastAsia" w:ascii="宋体" w:hAnsi="宋体" w:cs="宋体"/>
                <w:b w:val="0"/>
                <w:bCs w:val="0"/>
                <w:i w:val="0"/>
                <w:iCs w:val="0"/>
                <w:color w:val="auto"/>
                <w:sz w:val="24"/>
                <w:szCs w:val="24"/>
                <w:u w:val="none"/>
                <w:lang w:val="en-US" w:eastAsia="zh-CN"/>
              </w:rPr>
              <w:t>肉杂鸡</w:t>
            </w:r>
          </w:p>
          <w:p w14:paraId="4DA7991E">
            <w:pPr>
              <w:keepNext w:val="0"/>
              <w:keepLines w:val="0"/>
              <w:widowControl/>
              <w:suppressLineNumbers w:val="0"/>
              <w:jc w:val="center"/>
              <w:textAlignment w:val="center"/>
              <w:rPr>
                <w:rFonts w:hint="default" w:ascii="宋体" w:hAnsi="宋体" w:eastAsia="宋体" w:cs="宋体"/>
                <w:b w:val="0"/>
                <w:bCs w:val="0"/>
                <w:i w:val="0"/>
                <w:iCs w:val="0"/>
                <w:color w:val="auto"/>
                <w:sz w:val="24"/>
                <w:szCs w:val="24"/>
                <w:u w:val="none"/>
                <w:lang w:val="en-US"/>
              </w:rPr>
            </w:pPr>
          </w:p>
        </w:tc>
        <w:tc>
          <w:tcPr>
            <w:tcW w:w="6499" w:type="dxa"/>
            <w:tcBorders>
              <w:tl2br w:val="nil"/>
              <w:tr2bl w:val="nil"/>
            </w:tcBorders>
            <w:noWrap w:val="0"/>
            <w:vAlign w:val="center"/>
          </w:tcPr>
          <w:p w14:paraId="5FAC5775">
            <w:pPr>
              <w:keepNext w:val="0"/>
              <w:keepLines w:val="0"/>
              <w:widowControl/>
              <w:numPr>
                <w:ilvl w:val="0"/>
                <w:numId w:val="8"/>
              </w:numPr>
              <w:suppressLineNumbers w:val="0"/>
              <w:spacing w:line="240" w:lineRule="auto"/>
              <w:ind w:leftChars="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生长期≥</w:t>
            </w:r>
            <w:r>
              <w:rPr>
                <w:rFonts w:hint="eastAsia" w:ascii="宋体" w:hAnsi="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5</w:t>
            </w:r>
            <w:r>
              <w:rPr>
                <w:rFonts w:hint="eastAsia" w:ascii="宋体" w:hAnsi="宋体" w:cs="宋体"/>
                <w:b w:val="0"/>
                <w:bCs w:val="0"/>
                <w:i w:val="0"/>
                <w:iCs w:val="0"/>
                <w:color w:val="auto"/>
                <w:kern w:val="0"/>
                <w:sz w:val="24"/>
                <w:szCs w:val="24"/>
                <w:u w:val="none"/>
                <w:lang w:val="en-US" w:eastAsia="zh-CN" w:bidi="ar"/>
              </w:rPr>
              <w:t>日龄；</w:t>
            </w:r>
          </w:p>
          <w:p w14:paraId="01F43BC8">
            <w:pPr>
              <w:keepNext w:val="0"/>
              <w:keepLines w:val="0"/>
              <w:widowControl/>
              <w:numPr>
                <w:ilvl w:val="0"/>
                <w:numId w:val="8"/>
              </w:numPr>
              <w:suppressLineNumbers w:val="0"/>
              <w:spacing w:line="240" w:lineRule="auto"/>
              <w:ind w:leftChars="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体重</w:t>
            </w:r>
            <w:r>
              <w:rPr>
                <w:rFonts w:hint="eastAsia" w:ascii="宋体" w:hAnsi="宋体" w:cs="宋体"/>
                <w:b w:val="0"/>
                <w:bCs w:val="0"/>
                <w:i w:val="0"/>
                <w:iCs w:val="0"/>
                <w:color w:val="auto"/>
                <w:kern w:val="0"/>
                <w:sz w:val="24"/>
                <w:szCs w:val="24"/>
                <w:u w:val="none"/>
                <w:lang w:val="en-US" w:eastAsia="zh-CN" w:bidi="ar"/>
              </w:rPr>
              <w:t>：1-1.5斤/只；</w:t>
            </w:r>
          </w:p>
          <w:p w14:paraId="665491E6">
            <w:pPr>
              <w:keepNext w:val="0"/>
              <w:keepLines w:val="0"/>
              <w:widowControl/>
              <w:numPr>
                <w:ilvl w:val="0"/>
                <w:numId w:val="8"/>
              </w:numPr>
              <w:suppressLineNumbers w:val="0"/>
              <w:spacing w:line="240" w:lineRule="auto"/>
              <w:ind w:leftChars="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母鸡只数≤5%。</w:t>
            </w:r>
          </w:p>
          <w:p w14:paraId="5C63709A">
            <w:pPr>
              <w:keepNext w:val="0"/>
              <w:keepLines w:val="0"/>
              <w:widowControl/>
              <w:numPr>
                <w:ilvl w:val="0"/>
                <w:numId w:val="8"/>
              </w:numPr>
              <w:suppressLineNumbers w:val="0"/>
              <w:spacing w:line="240" w:lineRule="auto"/>
              <w:ind w:leftChars="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防疫：马立克、新城疫等，按照防疫程序进行。</w:t>
            </w:r>
          </w:p>
        </w:tc>
        <w:tc>
          <w:tcPr>
            <w:tcW w:w="1462" w:type="dxa"/>
            <w:tcBorders>
              <w:tl2br w:val="nil"/>
              <w:tr2bl w:val="nil"/>
            </w:tcBorders>
            <w:noWrap w:val="0"/>
            <w:vAlign w:val="center"/>
          </w:tcPr>
          <w:p w14:paraId="4D9DB08C">
            <w:pPr>
              <w:keepNext w:val="0"/>
              <w:keepLines w:val="0"/>
              <w:widowControl/>
              <w:suppressLineNumbers w:val="0"/>
              <w:jc w:val="center"/>
              <w:rPr>
                <w:rStyle w:val="45"/>
                <w:rFonts w:hint="eastAsia"/>
                <w:b w:val="0"/>
                <w:bCs w:val="0"/>
                <w:color w:val="auto"/>
                <w:lang w:val="en-US" w:eastAsia="zh-CN" w:bidi="ar"/>
              </w:rPr>
            </w:pPr>
            <w:r>
              <w:rPr>
                <w:rStyle w:val="45"/>
                <w:rFonts w:hint="eastAsia"/>
                <w:b w:val="0"/>
                <w:bCs w:val="0"/>
                <w:color w:val="auto"/>
                <w:lang w:val="en-US" w:eastAsia="zh-CN" w:bidi="ar"/>
              </w:rPr>
              <w:t>10000只</w:t>
            </w:r>
          </w:p>
          <w:p w14:paraId="16B80D24">
            <w:pPr>
              <w:keepNext w:val="0"/>
              <w:keepLines w:val="0"/>
              <w:widowControl/>
              <w:suppressLineNumbers w:val="0"/>
              <w:jc w:val="center"/>
              <w:rPr>
                <w:rStyle w:val="45"/>
                <w:rFonts w:hint="default" w:ascii="Times New Roman" w:hAnsi="Times New Roman" w:eastAsia="宋体" w:cs="Times New Roman"/>
                <w:b w:val="0"/>
                <w:bCs w:val="0"/>
                <w:color w:val="auto"/>
                <w:lang w:val="en-US" w:eastAsia="zh-CN" w:bidi="ar"/>
              </w:rPr>
            </w:pPr>
          </w:p>
        </w:tc>
        <w:tc>
          <w:tcPr>
            <w:tcW w:w="3705" w:type="dxa"/>
            <w:tcBorders>
              <w:tl2br w:val="nil"/>
              <w:tr2bl w:val="nil"/>
            </w:tcBorders>
            <w:noWrap w:val="0"/>
            <w:vAlign w:val="center"/>
          </w:tcPr>
          <w:p w14:paraId="71F834C9">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1.交货时目测体态健康，且全身没有局部脱毛裸露皮肤，外表无明显寄生虫</w:t>
            </w:r>
            <w:r>
              <w:rPr>
                <w:rFonts w:hint="eastAsia" w:ascii="宋体" w:hAnsi="宋体" w:eastAsia="宋体" w:cs="宋体"/>
                <w:b w:val="0"/>
                <w:bCs w:val="0"/>
                <w:i w:val="0"/>
                <w:iCs w:val="0"/>
                <w:color w:val="auto"/>
                <w:kern w:val="0"/>
                <w:sz w:val="24"/>
                <w:szCs w:val="24"/>
                <w:u w:val="none"/>
                <w:lang w:val="en-US" w:eastAsia="zh-CN" w:bidi="ar"/>
              </w:rPr>
              <w:t>。</w:t>
            </w:r>
          </w:p>
          <w:p w14:paraId="57E331A8">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2</w:t>
            </w:r>
            <w:r>
              <w:rPr>
                <w:rFonts w:hint="eastAsia" w:ascii="宋体" w:hAnsi="宋体" w:eastAsia="宋体" w:cs="宋体"/>
                <w:b w:val="0"/>
                <w:bCs w:val="0"/>
                <w:i w:val="0"/>
                <w:iCs w:val="0"/>
                <w:color w:val="auto"/>
                <w:kern w:val="0"/>
                <w:sz w:val="24"/>
                <w:szCs w:val="24"/>
                <w:u w:val="none"/>
                <w:lang w:val="en-US" w:eastAsia="zh-CN" w:bidi="ar"/>
              </w:rPr>
              <w:t>.</w:t>
            </w:r>
            <w:r>
              <w:rPr>
                <w:rFonts w:hint="default" w:ascii="宋体" w:hAnsi="宋体" w:eastAsia="宋体" w:cs="宋体"/>
                <w:b w:val="0"/>
                <w:bCs w:val="0"/>
                <w:i w:val="0"/>
                <w:iCs w:val="0"/>
                <w:color w:val="auto"/>
                <w:kern w:val="0"/>
                <w:sz w:val="24"/>
                <w:szCs w:val="24"/>
                <w:u w:val="none"/>
                <w:lang w:val="en-US" w:eastAsia="zh-CN" w:bidi="ar"/>
              </w:rPr>
              <w:t>交货时羽毛齐全，无呼吸道疾病，鸡只活泼好动。</w:t>
            </w:r>
          </w:p>
          <w:p w14:paraId="3241B912">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w:t>
            </w:r>
            <w:r>
              <w:rPr>
                <w:rFonts w:hint="default" w:ascii="宋体" w:hAnsi="宋体" w:eastAsia="宋体" w:cs="宋体"/>
                <w:b w:val="0"/>
                <w:bCs w:val="0"/>
                <w:i w:val="0"/>
                <w:iCs w:val="0"/>
                <w:color w:val="auto"/>
                <w:kern w:val="0"/>
                <w:sz w:val="24"/>
                <w:szCs w:val="24"/>
                <w:u w:val="none"/>
                <w:lang w:val="en-US" w:eastAsia="zh-CN" w:bidi="ar"/>
              </w:rPr>
              <w:t>供应商所供的鸡苗交货时需提供《动物检疫证明》</w:t>
            </w:r>
            <w:r>
              <w:rPr>
                <w:rFonts w:hint="eastAsia" w:ascii="宋体" w:hAnsi="宋体" w:eastAsia="宋体" w:cs="宋体"/>
                <w:b w:val="0"/>
                <w:bCs w:val="0"/>
                <w:i w:val="0"/>
                <w:iCs w:val="0"/>
                <w:color w:val="auto"/>
                <w:kern w:val="0"/>
                <w:sz w:val="24"/>
                <w:szCs w:val="24"/>
                <w:u w:val="none"/>
                <w:lang w:val="en-US" w:eastAsia="zh-CN" w:bidi="ar"/>
              </w:rPr>
              <w:t>。</w:t>
            </w:r>
          </w:p>
        </w:tc>
      </w:tr>
      <w:tr w14:paraId="4464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trPr>
        <w:tc>
          <w:tcPr>
            <w:tcW w:w="1088" w:type="dxa"/>
            <w:tcBorders>
              <w:tl2br w:val="nil"/>
              <w:tr2bl w:val="nil"/>
            </w:tcBorders>
            <w:noWrap w:val="0"/>
            <w:vAlign w:val="center"/>
          </w:tcPr>
          <w:p w14:paraId="7AC159B0">
            <w:pPr>
              <w:keepNext w:val="0"/>
              <w:keepLines w:val="0"/>
              <w:widowControl/>
              <w:suppressLineNumbers w:val="0"/>
              <w:jc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2</w:t>
            </w:r>
          </w:p>
        </w:tc>
        <w:tc>
          <w:tcPr>
            <w:tcW w:w="1843" w:type="dxa"/>
            <w:tcBorders>
              <w:tl2br w:val="nil"/>
              <w:tr2bl w:val="nil"/>
            </w:tcBorders>
            <w:noWrap w:val="0"/>
            <w:vAlign w:val="center"/>
          </w:tcPr>
          <w:p w14:paraId="1FBA62A5">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鸡饲料</w:t>
            </w:r>
          </w:p>
        </w:tc>
        <w:tc>
          <w:tcPr>
            <w:tcW w:w="6499" w:type="dxa"/>
            <w:tcBorders>
              <w:tl2br w:val="nil"/>
              <w:tr2bl w:val="nil"/>
            </w:tcBorders>
            <w:noWrap w:val="0"/>
            <w:vAlign w:val="center"/>
          </w:tcPr>
          <w:p w14:paraId="39F5B420">
            <w:pPr>
              <w:keepNext w:val="0"/>
              <w:keepLines w:val="0"/>
              <w:widowControl/>
              <w:numPr>
                <w:ilvl w:val="0"/>
                <w:numId w:val="9"/>
              </w:numPr>
              <w:suppressLineNumbers w:val="0"/>
              <w:spacing w:line="240" w:lineRule="auto"/>
              <w:jc w:val="both"/>
              <w:textAlignment w:val="center"/>
              <w:rPr>
                <w:rFonts w:hint="eastAsia" w:ascii="宋体" w:hAnsi="宋体" w:eastAsia="宋体" w:cs="宋体"/>
                <w:b w:val="0"/>
                <w:bCs w:val="0"/>
                <w:i w:val="0"/>
                <w:iCs w:val="0"/>
                <w:color w:val="auto"/>
                <w:kern w:val="0"/>
                <w:sz w:val="24"/>
                <w:szCs w:val="24"/>
                <w:u w:val="none"/>
                <w:lang w:val="en-US" w:eastAsia="zh-CN" w:bidi="ar"/>
              </w:rPr>
            </w:pPr>
            <w:bookmarkStart w:id="10" w:name="_GoBack"/>
            <w:r>
              <w:rPr>
                <w:rFonts w:hint="eastAsia" w:ascii="宋体" w:hAnsi="宋体" w:eastAsia="宋体" w:cs="宋体"/>
                <w:b w:val="0"/>
                <w:bCs w:val="0"/>
                <w:i w:val="0"/>
                <w:iCs w:val="0"/>
                <w:color w:val="auto"/>
                <w:kern w:val="0"/>
                <w:sz w:val="24"/>
                <w:szCs w:val="24"/>
                <w:u w:val="none"/>
                <w:lang w:val="en-US" w:eastAsia="zh-CN" w:bidi="ar"/>
              </w:rPr>
              <w:t>每袋净重40kg，</w:t>
            </w:r>
          </w:p>
          <w:p w14:paraId="35893695">
            <w:pPr>
              <w:keepNext w:val="0"/>
              <w:keepLines w:val="0"/>
              <w:widowControl/>
              <w:numPr>
                <w:ilvl w:val="0"/>
                <w:numId w:val="9"/>
              </w:numPr>
              <w:suppressLineNumbers w:val="0"/>
              <w:spacing w:line="240" w:lineRule="auto"/>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产品主要成分：粗蛋白质≥</w:t>
            </w:r>
            <w:r>
              <w:rPr>
                <w:rFonts w:hint="eastAsia" w:ascii="宋体" w:hAnsi="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6%；粗灰分≤</w:t>
            </w:r>
            <w:r>
              <w:rPr>
                <w:rFonts w:hint="eastAsia" w:ascii="宋体" w:hAnsi="宋体" w:cs="宋体"/>
                <w:b w:val="0"/>
                <w:bCs w:val="0"/>
                <w:i w:val="0"/>
                <w:iCs w:val="0"/>
                <w:color w:val="auto"/>
                <w:kern w:val="0"/>
                <w:sz w:val="24"/>
                <w:szCs w:val="24"/>
                <w:u w:val="none"/>
                <w:lang w:val="en-US" w:eastAsia="zh-CN" w:bidi="ar"/>
              </w:rPr>
              <w:t>23</w:t>
            </w:r>
            <w:r>
              <w:rPr>
                <w:rFonts w:hint="eastAsia" w:ascii="宋体" w:hAnsi="宋体" w:eastAsia="宋体" w:cs="宋体"/>
                <w:b w:val="0"/>
                <w:bCs w:val="0"/>
                <w:i w:val="0"/>
                <w:iCs w:val="0"/>
                <w:color w:val="auto"/>
                <w:kern w:val="0"/>
                <w:sz w:val="24"/>
                <w:szCs w:val="24"/>
                <w:u w:val="none"/>
                <w:lang w:val="en-US" w:eastAsia="zh-CN" w:bidi="ar"/>
              </w:rPr>
              <w:t>%；钙</w:t>
            </w:r>
            <w:r>
              <w:rPr>
                <w:rFonts w:hint="eastAsia" w:ascii="宋体" w:hAnsi="宋体" w:cs="宋体"/>
                <w:b w:val="0"/>
                <w:bCs w:val="0"/>
                <w:i w:val="0"/>
                <w:iCs w:val="0"/>
                <w:color w:val="auto"/>
                <w:kern w:val="0"/>
                <w:sz w:val="24"/>
                <w:szCs w:val="24"/>
                <w:u w:val="none"/>
                <w:lang w:val="en-US" w:eastAsia="zh-CN" w:bidi="ar"/>
              </w:rPr>
              <w:t>2.4</w:t>
            </w: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cs="宋体"/>
                <w:b w:val="0"/>
                <w:bCs w:val="0"/>
                <w:i w:val="0"/>
                <w:iCs w:val="0"/>
                <w:color w:val="auto"/>
                <w:kern w:val="0"/>
                <w:sz w:val="24"/>
                <w:szCs w:val="24"/>
                <w:u w:val="none"/>
                <w:lang w:val="en-US" w:eastAsia="zh-CN" w:bidi="ar"/>
              </w:rPr>
              <w:t>5</w:t>
            </w:r>
            <w:r>
              <w:rPr>
                <w:rFonts w:hint="eastAsia" w:ascii="宋体" w:hAnsi="宋体" w:eastAsia="宋体" w:cs="宋体"/>
                <w:b w:val="0"/>
                <w:bCs w:val="0"/>
                <w:i w:val="0"/>
                <w:iCs w:val="0"/>
                <w:color w:val="auto"/>
                <w:kern w:val="0"/>
                <w:sz w:val="24"/>
                <w:szCs w:val="24"/>
                <w:u w:val="none"/>
                <w:lang w:val="en-US" w:eastAsia="zh-CN" w:bidi="ar"/>
              </w:rPr>
              <w:t>%等</w:t>
            </w:r>
          </w:p>
          <w:p w14:paraId="23911B9F">
            <w:pPr>
              <w:keepNext w:val="0"/>
              <w:keepLines w:val="0"/>
              <w:widowControl/>
              <w:numPr>
                <w:ilvl w:val="0"/>
                <w:numId w:val="9"/>
              </w:numPr>
              <w:suppressLineNumbers w:val="0"/>
              <w:spacing w:line="240" w:lineRule="auto"/>
              <w:jc w:val="both"/>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产品须符合饲料卫生标准。</w:t>
            </w:r>
            <w:bookmarkEnd w:id="10"/>
          </w:p>
        </w:tc>
        <w:tc>
          <w:tcPr>
            <w:tcW w:w="1462" w:type="dxa"/>
            <w:tcBorders>
              <w:tl2br w:val="nil"/>
              <w:tr2bl w:val="nil"/>
            </w:tcBorders>
            <w:noWrap w:val="0"/>
            <w:vAlign w:val="center"/>
          </w:tcPr>
          <w:p w14:paraId="10639066">
            <w:pPr>
              <w:keepNext w:val="0"/>
              <w:keepLines w:val="0"/>
              <w:widowControl/>
              <w:suppressLineNumbers w:val="0"/>
              <w:jc w:val="center"/>
              <w:rPr>
                <w:rStyle w:val="45"/>
                <w:rFonts w:hint="default" w:ascii="Times New Roman" w:hAnsi="Times New Roman" w:eastAsia="宋体" w:cs="Times New Roman"/>
                <w:b w:val="0"/>
                <w:bCs w:val="0"/>
                <w:color w:val="auto"/>
                <w:lang w:val="en-US" w:eastAsia="zh-CN" w:bidi="ar"/>
              </w:rPr>
            </w:pPr>
            <w:r>
              <w:rPr>
                <w:rStyle w:val="45"/>
                <w:rFonts w:hint="eastAsia"/>
                <w:b w:val="0"/>
                <w:bCs w:val="0"/>
                <w:color w:val="auto"/>
                <w:lang w:val="en-US" w:eastAsia="zh-CN" w:bidi="ar"/>
              </w:rPr>
              <w:t>31460kg</w:t>
            </w:r>
          </w:p>
        </w:tc>
        <w:tc>
          <w:tcPr>
            <w:tcW w:w="3705" w:type="dxa"/>
            <w:tcBorders>
              <w:tl2br w:val="nil"/>
              <w:tr2bl w:val="nil"/>
            </w:tcBorders>
            <w:noWrap w:val="0"/>
            <w:vAlign w:val="center"/>
          </w:tcPr>
          <w:p w14:paraId="028052DB">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产品须符合饲料卫生标准，具备产品合格证，在保质期内。</w:t>
            </w:r>
          </w:p>
        </w:tc>
      </w:tr>
    </w:tbl>
    <w:p w14:paraId="4AA289DF">
      <w:pP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二、商务要求：</w:t>
      </w:r>
    </w:p>
    <w:p w14:paraId="0CBFA769">
      <w:pPr>
        <w:spacing w:line="360" w:lineRule="auto"/>
        <w:rPr>
          <w:rFonts w:hint="eastAsia" w:ascii="宋体" w:hAnsi="宋体" w:eastAsia="宋体" w:cs="Times New Roman"/>
          <w:color w:val="auto"/>
          <w:spacing w:val="4"/>
          <w:szCs w:val="21"/>
          <w:lang w:val="en-US" w:eastAsia="zh-CN"/>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val="en-US" w:eastAsia="zh-CN"/>
        </w:rPr>
        <w:t>供</w:t>
      </w:r>
      <w:r>
        <w:rPr>
          <w:rFonts w:hint="eastAsia" w:ascii="宋体" w:hAnsi="宋体" w:eastAsia="宋体" w:cs="宋体"/>
          <w:b/>
          <w:bCs/>
          <w:color w:val="auto"/>
          <w:sz w:val="24"/>
          <w:szCs w:val="24"/>
        </w:rPr>
        <w:t>货期、</w:t>
      </w:r>
      <w:r>
        <w:rPr>
          <w:rFonts w:hint="eastAsia" w:ascii="宋体" w:hAnsi="宋体" w:eastAsia="宋体" w:cs="宋体"/>
          <w:b/>
          <w:bCs/>
          <w:color w:val="auto"/>
          <w:sz w:val="24"/>
          <w:szCs w:val="24"/>
          <w:lang w:val="en-US" w:eastAsia="zh-CN"/>
        </w:rPr>
        <w:t>质保期及供</w:t>
      </w:r>
      <w:r>
        <w:rPr>
          <w:rFonts w:hint="eastAsia" w:ascii="宋体" w:hAnsi="宋体" w:eastAsia="宋体" w:cs="宋体"/>
          <w:b/>
          <w:bCs/>
          <w:color w:val="auto"/>
          <w:sz w:val="24"/>
          <w:szCs w:val="24"/>
        </w:rPr>
        <w:t>货地点：</w:t>
      </w:r>
      <w:r>
        <w:rPr>
          <w:rFonts w:hint="eastAsia" w:ascii="宋体" w:hAnsi="宋体" w:eastAsia="宋体" w:cs="宋体"/>
          <w:color w:val="auto"/>
          <w:sz w:val="24"/>
          <w:szCs w:val="24"/>
        </w:rPr>
        <w:br w:type="textWrapping"/>
      </w:r>
      <w:r>
        <w:rPr>
          <w:rFonts w:hint="eastAsia" w:ascii="宋体" w:hAnsi="宋体" w:eastAsia="宋体" w:cs="Times New Roman"/>
          <w:color w:val="auto"/>
          <w:spacing w:val="4"/>
          <w:szCs w:val="21"/>
          <w:lang w:val="en-US" w:eastAsia="zh-CN"/>
        </w:rPr>
        <w:t xml:space="preserve">  （一）供货期：合同签订后，分批次供货，30日内第一批次货物（肉杂鸡</w:t>
      </w:r>
      <w:r>
        <w:rPr>
          <w:rFonts w:hint="eastAsia" w:ascii="宋体" w:hAnsi="宋体" w:cs="Times New Roman"/>
          <w:color w:val="auto"/>
          <w:spacing w:val="4"/>
          <w:szCs w:val="21"/>
          <w:lang w:val="en-US" w:eastAsia="zh-CN"/>
        </w:rPr>
        <w:t>5000只，</w:t>
      </w:r>
      <w:r>
        <w:rPr>
          <w:rFonts w:hint="eastAsia" w:ascii="宋体" w:hAnsi="宋体" w:eastAsia="宋体" w:cs="Times New Roman"/>
          <w:color w:val="auto"/>
          <w:spacing w:val="4"/>
          <w:szCs w:val="21"/>
          <w:lang w:val="en-US" w:eastAsia="zh-CN"/>
        </w:rPr>
        <w:t>鸡饲料31460kg）供货到位；2026年10月底前第二批次货物（肉杂鸡5000只）供货到位。</w:t>
      </w:r>
    </w:p>
    <w:p w14:paraId="287A8880">
      <w:pPr>
        <w:spacing w:line="360" w:lineRule="auto"/>
        <w:ind w:firstLine="218" w:firstLineChars="100"/>
        <w:rPr>
          <w:rFonts w:hint="eastAsia" w:ascii="宋体" w:hAnsi="宋体" w:eastAsia="宋体" w:cs="Times New Roman"/>
          <w:color w:val="auto"/>
          <w:spacing w:val="4"/>
          <w:szCs w:val="21"/>
          <w:lang w:val="en-US" w:eastAsia="zh-CN"/>
        </w:rPr>
      </w:pPr>
      <w:r>
        <w:rPr>
          <w:rFonts w:hint="eastAsia" w:ascii="宋体" w:hAnsi="宋体" w:eastAsia="宋体" w:cs="Times New Roman"/>
          <w:color w:val="auto"/>
          <w:spacing w:val="4"/>
          <w:szCs w:val="21"/>
          <w:lang w:val="en-US" w:eastAsia="zh-CN"/>
        </w:rPr>
        <w:t>（二）质保期：鸡苗供货落地日10天内，死亡补发鸡苗。</w:t>
      </w:r>
    </w:p>
    <w:p w14:paraId="56628516">
      <w:pPr>
        <w:spacing w:line="360" w:lineRule="auto"/>
        <w:ind w:firstLine="218" w:firstLineChars="100"/>
        <w:rPr>
          <w:rFonts w:hint="eastAsia" w:ascii="宋体" w:hAnsi="宋体" w:eastAsia="宋体" w:cs="Times New Roman"/>
          <w:color w:val="auto"/>
          <w:spacing w:val="4"/>
          <w:szCs w:val="21"/>
          <w:lang w:val="en-US" w:eastAsia="zh-CN"/>
        </w:rPr>
      </w:pPr>
      <w:r>
        <w:rPr>
          <w:rFonts w:hint="eastAsia" w:ascii="宋体" w:hAnsi="宋体" w:eastAsia="宋体" w:cs="Times New Roman"/>
          <w:color w:val="auto"/>
          <w:spacing w:val="4"/>
          <w:szCs w:val="21"/>
          <w:lang w:val="en-US" w:eastAsia="zh-CN"/>
        </w:rPr>
        <w:t>（三）供货地点：采购人指定地点</w:t>
      </w:r>
    </w:p>
    <w:p w14:paraId="7ADF0C3F">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2.验收方式：</w:t>
      </w:r>
    </w:p>
    <w:p w14:paraId="0D5DFE76">
      <w:pPr>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1、货物到达交货地点后，由采购人组织相关单位及专家根据合同对货物的规格、产地、数量进行验收，验收合格后签发《政府采购货物验收单》。</w:t>
      </w:r>
    </w:p>
    <w:p w14:paraId="5A5D7DD9">
      <w:pPr>
        <w:ind w:firstLine="480" w:firstLineChars="2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43519AC9">
      <w:pPr>
        <w:ind w:firstLine="480" w:firstLineChars="200"/>
        <w:rPr>
          <w:rFonts w:hint="eastAsia" w:ascii="宋体" w:hAnsi="宋体" w:eastAsia="宋体" w:cs="宋体"/>
          <w:b/>
          <w:bCs/>
          <w:color w:val="auto"/>
          <w:sz w:val="24"/>
          <w:szCs w:val="24"/>
          <w:lang w:val="en-US" w:eastAsia="zh-CN"/>
        </w:rPr>
      </w:pPr>
      <w:r>
        <w:rPr>
          <w:rFonts w:hint="eastAsia" w:ascii="Times New Roman" w:hAnsi="Times New Roman" w:eastAsia="宋体" w:cs="Times New Roman"/>
          <w:color w:val="auto"/>
          <w:sz w:val="24"/>
          <w:szCs w:val="32"/>
          <w:lang w:val="en-US" w:eastAsia="zh-CN"/>
        </w:rPr>
        <w:t>3.验收依据：</w:t>
      </w:r>
    </w:p>
    <w:p w14:paraId="23066638">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（1）磋商文件、响应文件、澄清表（函）；</w:t>
      </w:r>
    </w:p>
    <w:p w14:paraId="4407EF01">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（2）本合同及附件文本；</w:t>
      </w:r>
    </w:p>
    <w:p w14:paraId="023C0ABE">
      <w:pPr>
        <w:ind w:firstLine="240" w:firstLineChars="100"/>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（3）国家相应的标准、规范。</w:t>
      </w:r>
    </w:p>
    <w:p w14:paraId="63B54E45">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（4）验收标准：采购的全部产品质量、规格必须符合主要技术指标要求及国家相关质量标准要求。</w:t>
      </w:r>
    </w:p>
    <w:p w14:paraId="1A9436FA">
      <w:pPr>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3.其他要求：</w:t>
      </w:r>
    </w:p>
    <w:p w14:paraId="40261F0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（1）每批次交货随车附带官方动物卫生监督机构出具的《动物检疫合格证明》，无检疫证明采购人有权拒收。</w:t>
      </w:r>
    </w:p>
    <w:p w14:paraId="13B0BA5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（2）建立活鸡来源溯源台账，按需配合采购人溯源查验、抽样疫病检测。</w:t>
      </w:r>
    </w:p>
    <w:p w14:paraId="11F446D1">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.付款方式：</w:t>
      </w:r>
    </w:p>
    <w:p w14:paraId="62793E73">
      <w:pPr>
        <w:spacing w:line="360" w:lineRule="auto"/>
        <w:ind w:firstLine="480" w:firstLineChars="200"/>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Times New Roman"/>
          <w:color w:val="auto"/>
          <w:sz w:val="24"/>
          <w:szCs w:val="32"/>
          <w:lang w:val="en-US" w:eastAsia="zh-CN"/>
        </w:rPr>
        <w:t>签订合同之日起15个工作日内，付合同总额的30%；第一批次产品送到采购人指定地点，核实鸡苗规格、数量，通过验收合格后支付合同总额的35%；第二批次产品送到采购人指定地点，核实鸡苗规格、数量，通过验收合格后支付合同总额的35%。</w:t>
      </w: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rPr>
        <w:t>应当根据公告、</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文件及中标（成交）通知书等</w:t>
      </w:r>
      <w:r>
        <w:rPr>
          <w:rFonts w:hint="eastAsia" w:ascii="宋体" w:hAnsi="宋体" w:eastAsia="宋体" w:cs="宋体"/>
          <w:b w:val="0"/>
          <w:bCs w:val="0"/>
          <w:color w:val="auto"/>
          <w:sz w:val="24"/>
          <w:szCs w:val="24"/>
          <w:lang w:val="en-US" w:eastAsia="zh-CN"/>
        </w:rPr>
        <w:t>有关文本要求，</w:t>
      </w:r>
      <w:r>
        <w:rPr>
          <w:rFonts w:hint="eastAsia" w:ascii="宋体" w:hAnsi="宋体" w:eastAsia="宋体" w:cs="宋体"/>
          <w:b w:val="0"/>
          <w:bCs w:val="0"/>
          <w:color w:val="auto"/>
          <w:sz w:val="24"/>
          <w:szCs w:val="24"/>
        </w:rPr>
        <w:t>并按照</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延安市甘泉县2026年省级林业草原改革发展资金林业产业（林下养鸡）发展补助项目(二次)</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lang w:val="en-US" w:eastAsia="zh-CN"/>
        </w:rPr>
        <w:t>具体</w:t>
      </w:r>
      <w:r>
        <w:rPr>
          <w:rFonts w:hint="eastAsia" w:ascii="宋体" w:hAnsi="宋体" w:eastAsia="宋体" w:cs="宋体"/>
          <w:b w:val="0"/>
          <w:bCs w:val="0"/>
          <w:color w:val="auto"/>
          <w:sz w:val="24"/>
          <w:szCs w:val="24"/>
        </w:rPr>
        <w:t>内容详见</w:t>
      </w:r>
      <w:r>
        <w:rPr>
          <w:rFonts w:hint="eastAsia" w:ascii="宋体" w:hAnsi="宋体" w:eastAsia="宋体" w:cs="宋体"/>
          <w:b w:val="0"/>
          <w:bCs w:val="0"/>
          <w:color w:val="auto"/>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合同总价包括：货物、运输、装卸、安装、调试、验收、培训、交付使用及质保期内等其他有关各项费用（含税）；合同总价为固定不变价格，不受市场价格变化等因素影响。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D1C807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1.1、供货期：合同签订后，分批次供货，30日内第一批次货物（肉杂鸡5000只，鸡饲料31460kg）供货到位；2026年10月底前第二批次货物（肉杂鸡5000只）供货到位。</w:t>
      </w:r>
    </w:p>
    <w:p w14:paraId="41BC288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1.2、供货地点：采购人指定地点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66EAF028">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auto"/>
          <w:sz w:val="24"/>
          <w:szCs w:val="24"/>
          <w:u w:val="none"/>
          <w:lang w:val="en-US" w:eastAsia="zh-CN"/>
        </w:rPr>
        <w:t>2.付款方式：</w:t>
      </w:r>
      <w:r>
        <w:rPr>
          <w:rFonts w:hint="eastAsia" w:ascii="宋体" w:hAnsi="宋体" w:eastAsia="宋体" w:cs="宋体"/>
          <w:b w:val="0"/>
          <w:bCs w:val="0"/>
          <w:color w:val="auto"/>
          <w:kern w:val="0"/>
          <w:sz w:val="24"/>
          <w:szCs w:val="24"/>
          <w:lang w:val="en-US" w:eastAsia="zh-CN"/>
        </w:rPr>
        <w:t>签订合同之日起15个工作日内，付合同总额的30%；第一批次产品送到采购人指定地点，核实鸡苗规格、数量，通过验收合格后支付合同总额的35%；第二批次产品送到采购人指定地点，核实鸡苗规格、数量，通过验收合格后支付合同总额的35%。</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2FCAA4B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1、质保期：鸡苗供货落地日10天内，死亡补发鸡苗。</w:t>
      </w:r>
    </w:p>
    <w:p w14:paraId="2395BE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2.1、每批次交货随车附带官方动物卫生监督机构出具的《动物检疫合格证明》，无检疫证明采购人有权拒收。</w:t>
      </w:r>
    </w:p>
    <w:p w14:paraId="12A0242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2.2、建立活鸡来源溯源台账，按需配合采购人溯源查验、抽样疫病检测。</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3D7DE937">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1.甲方在验收中，如果发现乙方所供的苗类型、数量和生长期、体重及疫苗接种要求</w:t>
      </w:r>
      <w:r>
        <w:rPr>
          <w:rFonts w:hint="eastAsia" w:ascii="宋体" w:hAnsi="宋体" w:cs="宋体"/>
          <w:color w:val="auto"/>
          <w:sz w:val="24"/>
          <w:szCs w:val="24"/>
          <w:u w:val="none"/>
          <w:lang w:val="en-US" w:eastAsia="zh-CN"/>
        </w:rPr>
        <w:t>等</w:t>
      </w:r>
      <w:r>
        <w:rPr>
          <w:rFonts w:hint="eastAsia" w:ascii="宋体" w:hAnsi="宋体" w:eastAsia="宋体" w:cs="宋体"/>
          <w:color w:val="auto"/>
          <w:sz w:val="24"/>
          <w:szCs w:val="24"/>
          <w:u w:val="none"/>
          <w:lang w:val="en-US" w:eastAsia="zh-CN"/>
        </w:rPr>
        <w:t>不符合本合同规定，可立即拒收，也可验收后三日内向乙方书面提出异议。若甲方未在规定期限提出书面异议，视为乙方所供</w:t>
      </w:r>
      <w:r>
        <w:rPr>
          <w:rFonts w:hint="eastAsia" w:ascii="宋体" w:hAnsi="宋体" w:cs="宋体"/>
          <w:color w:val="auto"/>
          <w:sz w:val="24"/>
          <w:szCs w:val="24"/>
          <w:u w:val="none"/>
          <w:lang w:val="en-US" w:eastAsia="zh-CN"/>
        </w:rPr>
        <w:t>货物</w:t>
      </w:r>
      <w:r>
        <w:rPr>
          <w:rFonts w:hint="eastAsia" w:ascii="宋体" w:hAnsi="宋体" w:eastAsia="宋体" w:cs="宋体"/>
          <w:color w:val="auto"/>
          <w:sz w:val="24"/>
          <w:szCs w:val="24"/>
          <w:u w:val="none"/>
          <w:lang w:val="en-US" w:eastAsia="zh-CN"/>
        </w:rPr>
        <w:t>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27F9710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w:t>
      </w:r>
      <w:r>
        <w:rPr>
          <w:rFonts w:hint="eastAsia" w:ascii="宋体" w:hAnsi="宋体" w:cs="宋体"/>
          <w:color w:val="auto"/>
          <w:sz w:val="24"/>
          <w:szCs w:val="24"/>
          <w:u w:val="none"/>
          <w:lang w:val="en-US" w:eastAsia="zh-CN"/>
        </w:rPr>
        <w:t>鸡苗</w:t>
      </w:r>
      <w:r>
        <w:rPr>
          <w:rFonts w:hint="eastAsia" w:ascii="宋体" w:hAnsi="宋体" w:eastAsia="宋体" w:cs="宋体"/>
          <w:color w:val="auto"/>
          <w:sz w:val="24"/>
          <w:szCs w:val="24"/>
          <w:u w:val="none"/>
          <w:lang w:val="en-US" w:eastAsia="zh-CN"/>
        </w:rPr>
        <w:t>的装卸工作。</w:t>
      </w:r>
    </w:p>
    <w:p w14:paraId="15C12543">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none"/>
          <w:lang w:val="en-US" w:eastAsia="zh-CN"/>
        </w:rPr>
        <w:t>违约金。</w:t>
      </w:r>
    </w:p>
    <w:p w14:paraId="2171F388">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73F62FC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苗类型、数量和生长期、体重及疫苗接种要求等是通过正常渠道获得的，且为交货时目测体态健康，且全身没有局部脱毛裸露皮肤，外表无明显寄生虫。交货时羽毛齐全，无呼吸道疾病，鸡只活泼好动。供应商所供的鸡苗交货时需提供《动物检疫证明》。其有关技术、检验、商务等均要符合有关法律、法规；</w:t>
      </w:r>
    </w:p>
    <w:p w14:paraId="5B7E95E6">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rPr>
        <w:t>按照</w:t>
      </w:r>
      <w:r>
        <w:rPr>
          <w:rFonts w:hint="eastAsia" w:ascii="宋体" w:hAnsi="宋体" w:eastAsia="宋体" w:cs="宋体"/>
          <w:color w:val="auto"/>
          <w:sz w:val="24"/>
          <w:szCs w:val="24"/>
          <w:lang w:val="en-US" w:eastAsia="zh-CN"/>
        </w:rPr>
        <w:t>运输</w:t>
      </w:r>
      <w:r>
        <w:rPr>
          <w:rFonts w:hint="eastAsia" w:ascii="宋体" w:hAnsi="宋体" w:eastAsia="宋体" w:cs="宋体"/>
          <w:color w:val="auto"/>
          <w:sz w:val="24"/>
          <w:szCs w:val="24"/>
        </w:rPr>
        <w:t>标准进行包装，以适应于远距离运输、防潮、防震、防锈等要求，确保货物安全无损地运抵交货地点</w:t>
      </w:r>
      <w:r>
        <w:rPr>
          <w:rFonts w:hint="eastAsia" w:ascii="宋体" w:hAnsi="宋体" w:eastAsia="宋体" w:cs="宋体"/>
          <w:color w:val="auto"/>
          <w:sz w:val="24"/>
          <w:szCs w:val="24"/>
          <w:lang w:eastAsia="zh-CN"/>
        </w:rPr>
        <w:t>。</w:t>
      </w:r>
    </w:p>
    <w:p w14:paraId="5D0F3722">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6</w:t>
      </w:r>
      <w:r>
        <w:rPr>
          <w:rFonts w:hint="eastAsia" w:ascii="宋体" w:hAnsi="宋体" w:eastAsia="宋体" w:cs="宋体"/>
          <w:color w:val="auto"/>
          <w:sz w:val="24"/>
          <w:szCs w:val="24"/>
          <w:u w:val="none"/>
          <w:lang w:val="en-US" w:eastAsia="zh-CN"/>
        </w:rPr>
        <w:t>.乙方负责苗类型、数量和生长期、体重及疫苗接种要求等的运输、验收、培训、交付使用及质保。</w:t>
      </w:r>
    </w:p>
    <w:p w14:paraId="42148C15">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.乙方要提高意识，加强对员工（含雇用人员）的安全管理，上述诸环节发生的安全事故和人员伤亡事件，均由乙方负责，甲方不承担任何责任。</w:t>
      </w:r>
    </w:p>
    <w:p w14:paraId="562B233B">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w:t>
      </w:r>
      <w:r>
        <w:rPr>
          <w:rFonts w:hint="eastAsia" w:ascii="宋体" w:hAnsi="宋体" w:eastAsia="宋体" w:cs="宋体"/>
          <w:color w:val="auto"/>
          <w:sz w:val="24"/>
          <w:szCs w:val="24"/>
        </w:rPr>
        <w:t>商业秘密等权利</w:t>
      </w:r>
      <w:r>
        <w:rPr>
          <w:rFonts w:hint="eastAsia" w:ascii="宋体" w:hAnsi="宋体" w:eastAsia="宋体" w:cs="宋体"/>
          <w:color w:val="auto"/>
          <w:sz w:val="24"/>
          <w:szCs w:val="24"/>
          <w:u w:val="none"/>
          <w:lang w:val="en-US" w:eastAsia="zh-CN"/>
        </w:rPr>
        <w:t>，否则乙方应承担由此引起的一切法律责任及费用。</w:t>
      </w:r>
    </w:p>
    <w:p w14:paraId="7A59E315">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乙方不能按时供货的，应向甲方偿付不能供货部分货款的5%的违约金；如果乙方没有按照规定的时间完成送货、应向甲方支付违约金，违约金从成交总价中扣除，按每周迟交货或未按时交货价的0.5％计收。但违约金的最高限额为迟交货或未按时交货合同价的5％。一周按7天计算，不足7天按一周计算，如果达到最高限额，甲方考虑终止合同，由此给甲方造成的损失由乙方承担。</w:t>
      </w:r>
    </w:p>
    <w:p w14:paraId="462209D0">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10</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kern w:val="0"/>
          <w:sz w:val="24"/>
          <w:szCs w:val="24"/>
        </w:rPr>
        <w:t>除不可抗力因素外</w:t>
      </w:r>
      <w:r>
        <w:rPr>
          <w:rFonts w:hint="eastAsia" w:ascii="宋体" w:hAnsi="宋体" w:eastAsia="宋体" w:cs="宋体"/>
          <w:color w:val="auto"/>
          <w:kern w:val="0"/>
          <w:sz w:val="24"/>
          <w:szCs w:val="24"/>
          <w:lang w:eastAsia="zh-CN"/>
        </w:rPr>
        <w:t>，</w:t>
      </w:r>
      <w:r>
        <w:rPr>
          <w:rFonts w:hint="eastAsia" w:ascii="宋体" w:hAnsi="宋体" w:eastAsia="宋体" w:cs="宋体"/>
          <w:color w:val="auto"/>
          <w:sz w:val="24"/>
          <w:szCs w:val="24"/>
          <w:u w:val="none"/>
          <w:lang w:val="en-US" w:eastAsia="zh-CN"/>
        </w:rPr>
        <w:t>任何一方未经对方同意而单方面终止合同的，应向对方赔偿相当于本合同总价款30％违约金。</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2E2783FA">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1、货物到达交货地点后，由采购人组织相关单位及专家根据合同对货物的规格、产地、数量进行验收，验收合格后签发《政府采购货物验收单》。</w:t>
      </w:r>
    </w:p>
    <w:p w14:paraId="58765AB0">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验收不合格的成交单位，必须在接到通知后7个日历日内确保货物通过验收。如接到通知后7个日历日内验收仍不合格，采购人可提出索赔或取消其供货合同。磋商组织单位将把成交资格授予评审排序下一名的成交单位。</w:t>
      </w:r>
    </w:p>
    <w:p w14:paraId="093DFE2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3.验收依据：</w:t>
      </w:r>
    </w:p>
    <w:p w14:paraId="7E00FDA0">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（1）磋商文件、响应文件、澄清表（函）；</w:t>
      </w:r>
    </w:p>
    <w:p w14:paraId="5C7B3E89">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（2）本合同及附件文本；</w:t>
      </w:r>
    </w:p>
    <w:p w14:paraId="13B930F3">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（3）国家相应的标准、规范。</w:t>
      </w:r>
    </w:p>
    <w:p w14:paraId="0F5323DF">
      <w:pPr>
        <w:keepNext w:val="0"/>
        <w:keepLines w:val="0"/>
        <w:pageBreakBefore w:val="0"/>
        <w:kinsoku/>
        <w:wordWrap/>
        <w:overflowPunct/>
        <w:topLinePunct w:val="0"/>
        <w:autoSpaceDE/>
        <w:autoSpaceDN/>
        <w:bidi w:val="0"/>
        <w:adjustRightInd/>
        <w:spacing w:line="360" w:lineRule="auto"/>
        <w:ind w:firstLine="240" w:firstLineChars="1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（4）验收标准：采购的全部产品质量、规格必须符合主要技术指标要求及国家相关质量标准要求。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auto"/>
          <w:sz w:val="24"/>
          <w:szCs w:val="24"/>
        </w:rPr>
        <w:t>争议解决方式</w:t>
      </w:r>
    </w:p>
    <w:p w14:paraId="6DED032A">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1.按民法典中的相关条款执行。</w:t>
      </w:r>
    </w:p>
    <w:p w14:paraId="0636EEEE">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6255F36F">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2"/>
          <w:sz w:val="24"/>
          <w:szCs w:val="24"/>
          <w:u w:val="none"/>
          <w:lang w:val="en-US" w:eastAsia="zh-CN" w:bidi="ar-SA"/>
        </w:rPr>
        <w:t>3、</w:t>
      </w:r>
      <w:r>
        <w:rPr>
          <w:rFonts w:hint="eastAsia" w:ascii="宋体" w:hAnsi="宋体" w:eastAsia="宋体" w:cs="宋体"/>
          <w:color w:val="auto"/>
          <w:sz w:val="24"/>
          <w:szCs w:val="24"/>
        </w:rPr>
        <w:t>因</w:t>
      </w:r>
      <w:r>
        <w:rPr>
          <w:rFonts w:hint="eastAsia" w:ascii="宋体" w:hAnsi="宋体" w:eastAsia="宋体" w:cs="宋体"/>
          <w:color w:val="auto"/>
          <w:sz w:val="24"/>
          <w:szCs w:val="24"/>
          <w:lang w:val="en-US" w:eastAsia="zh-CN"/>
        </w:rPr>
        <w:t>所供设备</w:t>
      </w:r>
      <w:r>
        <w:rPr>
          <w:rFonts w:hint="eastAsia" w:ascii="宋体" w:hAnsi="宋体" w:eastAsia="宋体" w:cs="宋体"/>
          <w:color w:val="auto"/>
          <w:sz w:val="24"/>
          <w:szCs w:val="24"/>
        </w:rPr>
        <w:t>质量问题发生争议的，应当邀请国家</w:t>
      </w:r>
      <w:r>
        <w:rPr>
          <w:rFonts w:hint="eastAsia" w:ascii="宋体" w:hAnsi="宋体" w:eastAsia="宋体" w:cs="宋体"/>
          <w:color w:val="auto"/>
          <w:sz w:val="24"/>
          <w:szCs w:val="24"/>
          <w:lang w:val="en-US" w:eastAsia="zh-CN"/>
        </w:rPr>
        <w:t>权威</w:t>
      </w:r>
      <w:r>
        <w:rPr>
          <w:rFonts w:hint="eastAsia" w:ascii="宋体" w:hAnsi="宋体" w:eastAsia="宋体" w:cs="宋体"/>
          <w:color w:val="auto"/>
          <w:sz w:val="24"/>
          <w:szCs w:val="24"/>
        </w:rPr>
        <w:t>的质量检测机构对货物质量进行鉴定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货物符合质量标准的，鉴定费由甲方承担；货物不符合质量标准的，鉴定费由乙方承担。</w:t>
      </w:r>
    </w:p>
    <w:p w14:paraId="74B25FB5">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因履行本合同引起的或者与本合同有关的争议，甲乙双方应当通过友好协商方式解决；如协商不能解决争议的，任何一方可以向</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所地的人民法院提起诉讼。</w:t>
      </w:r>
    </w:p>
    <w:p w14:paraId="2374C603">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、合同组成部分</w:t>
      </w:r>
    </w:p>
    <w:p w14:paraId="78DC4208">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公告、采购需求明细、答疑内容、补充通知、</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文件、中标通知书、乙方在招</w:t>
      </w:r>
      <w:r>
        <w:rPr>
          <w:rFonts w:hint="eastAsia" w:ascii="宋体" w:hAnsi="宋体" w:cs="宋体"/>
          <w:color w:val="auto"/>
          <w:sz w:val="24"/>
          <w:szCs w:val="24"/>
          <w:lang w:eastAsia="zh-CN"/>
        </w:rPr>
        <w:t>响应</w:t>
      </w:r>
      <w:r>
        <w:rPr>
          <w:rFonts w:hint="eastAsia" w:ascii="宋体" w:hAnsi="宋体" w:eastAsia="宋体" w:cs="宋体"/>
          <w:color w:val="auto"/>
          <w:sz w:val="24"/>
          <w:szCs w:val="24"/>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auto"/>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DF51D3B">
      <w:pPr>
        <w:rPr>
          <w:rFonts w:hint="eastAsia" w:ascii="仿宋" w:hAnsi="仿宋" w:eastAsia="仿宋" w:cs="仿宋"/>
          <w:color w:val="auto"/>
        </w:rPr>
      </w:pPr>
    </w:p>
    <w:p w14:paraId="543713C7">
      <w:pPr>
        <w:rPr>
          <w:rFonts w:hint="eastAsia" w:ascii="宋体" w:hAnsi="宋体" w:eastAsia="宋体" w:cs="宋体"/>
          <w:color w:val="auto"/>
        </w:rPr>
      </w:pPr>
    </w:p>
    <w:p w14:paraId="2AE938E7">
      <w:pPr>
        <w:rPr>
          <w:rFonts w:hint="eastAsia" w:ascii="宋体" w:hAnsi="宋体" w:eastAsia="宋体" w:cs="宋体"/>
          <w:color w:val="auto"/>
        </w:rPr>
      </w:pPr>
    </w:p>
    <w:p w14:paraId="00268621">
      <w:pPr>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2F9FC04C">
      <w:pPr>
        <w:spacing w:line="360" w:lineRule="auto"/>
        <w:jc w:val="center"/>
        <w:rPr>
          <w:rFonts w:hint="eastAsia" w:ascii="宋体" w:hAnsi="宋体" w:eastAsia="宋体" w:cs="宋体"/>
          <w:b/>
          <w:color w:val="auto"/>
          <w:spacing w:val="-20"/>
          <w:sz w:val="44"/>
          <w:szCs w:val="44"/>
        </w:rPr>
      </w:pPr>
      <w:r>
        <w:rPr>
          <w:rFonts w:hint="eastAsia" w:ascii="宋体" w:hAnsi="宋体" w:cs="宋体"/>
          <w:b/>
          <w:color w:val="auto"/>
          <w:spacing w:val="-20"/>
          <w:sz w:val="44"/>
          <w:szCs w:val="44"/>
          <w:lang w:eastAsia="zh-CN"/>
        </w:rPr>
        <w:t>延安市甘泉县2026年省级林业草原改革发展资金林业产业（林下养鸡）发展补助项目(二次)</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GZC2026-CS-039.1B1</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延安市甘泉县2026年省级林业草原改革发展资金林业产业（林下养鸡）发展补助项目(二次)</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GZC2026-CS-039.1B1</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eastAsia="宋体" w:cs="宋体"/>
          <w:color w:val="auto"/>
          <w:sz w:val="24"/>
          <w:szCs w:val="32"/>
          <w:highlight w:val="none"/>
        </w:rPr>
        <w:t>90个日</w:t>
      </w:r>
      <w:r>
        <w:rPr>
          <w:rFonts w:hint="eastAsia" w:ascii="宋体" w:hAnsi="宋体" w:eastAsia="宋体" w:cs="宋体"/>
          <w:color w:val="auto"/>
          <w:sz w:val="24"/>
          <w:szCs w:val="32"/>
        </w:rPr>
        <w:t>历日内有效，如成交，延长至合同执行完毕时止。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02EC75EE">
      <w:pPr>
        <w:spacing w:line="360" w:lineRule="auto"/>
        <w:ind w:firstLine="567"/>
        <w:rPr>
          <w:rFonts w:hint="eastAsia" w:ascii="宋体" w:hAnsi="宋体" w:eastAsia="宋体" w:cs="宋体"/>
          <w:color w:val="auto"/>
          <w:sz w:val="24"/>
          <w:szCs w:val="32"/>
        </w:rPr>
      </w:pP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10"/>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甘泉县林业工作站</w:t>
      </w:r>
    </w:p>
    <w:p w14:paraId="0A1850F8">
      <w:pPr>
        <w:kinsoku w:val="0"/>
        <w:snapToGrid w:val="0"/>
        <w:spacing w:line="500" w:lineRule="exact"/>
        <w:ind w:firstLine="120" w:firstLineChars="50"/>
        <w:rPr>
          <w:rFonts w:hint="eastAsia" w:ascii="宋体" w:hAnsi="宋体" w:eastAsia="宋体" w:cs="宋体"/>
          <w:color w:val="auto"/>
          <w:sz w:val="24"/>
          <w:szCs w:val="24"/>
          <w:u w:val="non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￥350,000.00元</w:t>
      </w:r>
    </w:p>
    <w:p w14:paraId="78FE29D1">
      <w:pPr>
        <w:kinsoku w:val="0"/>
        <w:snapToGrid w:val="0"/>
        <w:spacing w:line="500" w:lineRule="exact"/>
        <w:ind w:firstLine="120" w:firstLineChars="50"/>
        <w:rPr>
          <w:rFonts w:hint="default" w:ascii="宋体" w:hAnsi="宋体" w:cs="宋体"/>
          <w:color w:val="auto"/>
          <w:sz w:val="24"/>
          <w:szCs w:val="24"/>
          <w:u w:val="single"/>
          <w:lang w:val="en-US" w:eastAsia="zh-CN"/>
        </w:rPr>
      </w:pPr>
      <w:r>
        <w:rPr>
          <w:rFonts w:hint="eastAsia" w:ascii="宋体" w:hAnsi="宋体" w:cs="宋体"/>
          <w:color w:val="auto"/>
          <w:sz w:val="24"/>
          <w:szCs w:val="24"/>
          <w:u w:val="none"/>
          <w:lang w:val="en-US" w:eastAsia="zh-CN"/>
        </w:rPr>
        <w:t>最高限价：</w:t>
      </w:r>
      <w:r>
        <w:rPr>
          <w:rFonts w:hint="eastAsia" w:ascii="宋体" w:hAnsi="宋体" w:cs="宋体"/>
          <w:color w:val="auto"/>
          <w:sz w:val="24"/>
          <w:szCs w:val="24"/>
          <w:u w:val="single"/>
          <w:lang w:val="en-US" w:eastAsia="zh-CN"/>
        </w:rPr>
        <w:t>￥340,255.40元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054"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宋体" w:hAnsi="宋体" w:cs="宋体"/>
                <w:b/>
                <w:color w:val="auto"/>
                <w:sz w:val="24"/>
                <w:szCs w:val="24"/>
                <w:lang w:val="en-US" w:eastAsia="zh-CN"/>
              </w:rPr>
              <w:t>供</w:t>
            </w:r>
            <w:r>
              <w:rPr>
                <w:rFonts w:hint="eastAsia" w:ascii="宋体" w:hAnsi="宋体" w:eastAsia="宋体" w:cs="宋体"/>
                <w:b/>
                <w:color w:val="auto"/>
                <w:sz w:val="24"/>
                <w:szCs w:val="24"/>
              </w:rPr>
              <w:t>货期</w:t>
            </w:r>
            <w:r>
              <w:rPr>
                <w:rFonts w:hint="eastAsia" w:ascii="宋体" w:hAnsi="宋体" w:eastAsia="宋体" w:cs="宋体"/>
                <w:b/>
                <w:color w:val="auto"/>
                <w:spacing w:val="-20"/>
                <w:sz w:val="24"/>
                <w:szCs w:val="24"/>
              </w:rPr>
              <w:t>（</w:t>
            </w:r>
            <w:r>
              <w:rPr>
                <w:rFonts w:hint="eastAsia" w:ascii="宋体" w:hAnsi="宋体" w:cs="宋体"/>
                <w:b/>
                <w:color w:val="auto"/>
                <w:spacing w:val="-20"/>
                <w:sz w:val="24"/>
                <w:szCs w:val="24"/>
                <w:lang w:val="en-US" w:eastAsia="zh-CN"/>
              </w:rPr>
              <w:t>天</w:t>
            </w:r>
            <w:r>
              <w:rPr>
                <w:rFonts w:hint="eastAsia" w:ascii="宋体" w:hAnsi="宋体" w:eastAsia="宋体" w:cs="宋体"/>
                <w:b/>
                <w:color w:val="auto"/>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color w:val="auto"/>
                <w:sz w:val="28"/>
                <w:szCs w:val="28"/>
                <w:lang w:eastAsia="zh-CN"/>
              </w:rPr>
            </w:pPr>
            <w:r>
              <w:rPr>
                <w:rFonts w:hint="eastAsia" w:ascii="宋体" w:hAnsi="宋体" w:cs="宋体"/>
                <w:b/>
                <w:color w:val="auto"/>
                <w:spacing w:val="-20"/>
                <w:sz w:val="24"/>
                <w:szCs w:val="24"/>
                <w:lang w:val="en-US" w:eastAsia="zh-CN"/>
              </w:rPr>
              <w:t>质保</w:t>
            </w:r>
            <w:r>
              <w:rPr>
                <w:rFonts w:hint="eastAsia" w:ascii="宋体" w:hAnsi="宋体" w:eastAsia="宋体" w:cs="宋体"/>
                <w:b/>
                <w:color w:val="auto"/>
                <w:spacing w:val="-20"/>
                <w:sz w:val="24"/>
                <w:szCs w:val="24"/>
              </w:rPr>
              <w:t>期（</w:t>
            </w:r>
            <w:r>
              <w:rPr>
                <w:rFonts w:hint="eastAsia" w:ascii="宋体" w:hAnsi="宋体" w:cs="宋体"/>
                <w:b/>
                <w:color w:val="auto"/>
                <w:spacing w:val="-20"/>
                <w:sz w:val="24"/>
                <w:szCs w:val="24"/>
                <w:lang w:val="en-US" w:eastAsia="zh-CN"/>
              </w:rPr>
              <w:t>落地日</w:t>
            </w:r>
            <w:r>
              <w:rPr>
                <w:rFonts w:hint="eastAsia" w:ascii="宋体" w:hAnsi="宋体" w:eastAsia="宋体" w:cs="宋体"/>
                <w:b/>
                <w:color w:val="auto"/>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延安市甘泉县2026年省级林业草原改革发展资金林业产业（林下养鸡）发展补助项目(二次)</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color w:val="auto"/>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color w:val="auto"/>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5DD28BC7">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11"/>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11"/>
        </w:numPr>
        <w:snapToGrid w:val="0"/>
        <w:spacing w:line="500" w:lineRule="exact"/>
        <w:ind w:firstLine="702" w:firstLineChars="333"/>
        <w:rPr>
          <w:rFonts w:hint="eastAsia" w:ascii="宋体" w:hAnsi="宋体" w:eastAsia="宋体" w:cs="宋体"/>
          <w:b/>
          <w:bCs/>
          <w:color w:val="auto"/>
          <w:szCs w:val="21"/>
        </w:rPr>
        <w:sectPr>
          <w:pgSz w:w="11906" w:h="16838"/>
          <w:pgMar w:top="1418" w:right="1304" w:bottom="1418" w:left="1361"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94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2018"/>
        <w:gridCol w:w="1287"/>
        <w:gridCol w:w="1318"/>
        <w:gridCol w:w="1727"/>
        <w:gridCol w:w="1688"/>
        <w:gridCol w:w="1688"/>
        <w:gridCol w:w="1573"/>
        <w:gridCol w:w="1407"/>
      </w:tblGrid>
      <w:tr w14:paraId="394834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463" w:type="pct"/>
            <w:noWrap w:val="0"/>
            <w:vAlign w:val="center"/>
          </w:tcPr>
          <w:p w14:paraId="3806FFED">
            <w:pPr>
              <w:jc w:val="left"/>
              <w:rPr>
                <w:rFonts w:hint="eastAsia" w:ascii="Calibri" w:hAnsi="Calibri" w:cs="Times New Roman"/>
                <w:b/>
                <w:color w:val="auto"/>
              </w:rPr>
            </w:pPr>
            <w:r>
              <w:rPr>
                <w:rFonts w:hint="eastAsia" w:ascii="Calibri" w:hAnsi="Calibri" w:cs="Times New Roman"/>
                <w:b/>
                <w:color w:val="auto"/>
              </w:rPr>
              <w:t>序号</w:t>
            </w:r>
          </w:p>
        </w:tc>
        <w:tc>
          <w:tcPr>
            <w:tcW w:w="720" w:type="pct"/>
            <w:noWrap w:val="0"/>
            <w:vAlign w:val="center"/>
          </w:tcPr>
          <w:p w14:paraId="65D4DB67">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59" w:type="pct"/>
            <w:noWrap w:val="0"/>
            <w:vAlign w:val="center"/>
          </w:tcPr>
          <w:p w14:paraId="2AE5A794">
            <w:pPr>
              <w:jc w:val="center"/>
              <w:rPr>
                <w:rFonts w:hint="eastAsia" w:ascii="Calibri" w:hAnsi="Calibri" w:cs="Times New Roman"/>
                <w:b/>
                <w:color w:val="auto"/>
                <w:lang w:val="en-US" w:eastAsia="zh-CN"/>
              </w:rPr>
            </w:pPr>
            <w:r>
              <w:rPr>
                <w:rFonts w:hint="eastAsia" w:ascii="Calibri" w:hAnsi="Calibri" w:cs="Times New Roman"/>
                <w:b/>
                <w:color w:val="auto"/>
                <w:lang w:val="en-US" w:eastAsia="zh-CN"/>
              </w:rPr>
              <w:t>养殖场</w:t>
            </w:r>
          </w:p>
          <w:p w14:paraId="1C4C5CD7">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470" w:type="pct"/>
            <w:noWrap w:val="0"/>
            <w:vAlign w:val="center"/>
          </w:tcPr>
          <w:p w14:paraId="5C1CB0CD">
            <w:pPr>
              <w:jc w:val="center"/>
              <w:rPr>
                <w:rFonts w:hint="eastAsia" w:ascii="Calibri" w:hAnsi="Calibri" w:cs="Times New Roman"/>
                <w:b/>
                <w:color w:val="auto"/>
                <w:lang w:val="en-US" w:eastAsia="zh-CN"/>
              </w:rPr>
            </w:pPr>
            <w:r>
              <w:rPr>
                <w:rFonts w:hint="eastAsia" w:ascii="Calibri" w:hAnsi="Calibri" w:cs="Times New Roman"/>
                <w:b/>
                <w:color w:val="auto"/>
                <w:lang w:val="en-US" w:eastAsia="zh-CN"/>
              </w:rPr>
              <w:t>养殖场</w:t>
            </w:r>
          </w:p>
          <w:p w14:paraId="2362E1AB">
            <w:pPr>
              <w:jc w:val="center"/>
              <w:rPr>
                <w:rFonts w:hint="eastAsia" w:ascii="Calibri" w:hAnsi="Calibri" w:cs="Times New Roman"/>
                <w:b/>
                <w:color w:val="auto"/>
              </w:rPr>
            </w:pPr>
            <w:r>
              <w:rPr>
                <w:rFonts w:hint="eastAsia" w:ascii="Calibri" w:hAnsi="Calibri" w:eastAsia="宋体" w:cs="Times New Roman"/>
                <w:b/>
                <w:color w:val="auto"/>
              </w:rPr>
              <w:t>规模</w:t>
            </w:r>
          </w:p>
        </w:tc>
        <w:tc>
          <w:tcPr>
            <w:tcW w:w="616" w:type="pct"/>
            <w:noWrap w:val="0"/>
            <w:vAlign w:val="center"/>
          </w:tcPr>
          <w:p w14:paraId="5FEFF024">
            <w:pPr>
              <w:jc w:val="center"/>
              <w:rPr>
                <w:rFonts w:hint="eastAsia" w:ascii="Calibri" w:hAnsi="Calibri" w:cs="Times New Roman"/>
                <w:b/>
                <w:color w:val="auto"/>
              </w:rPr>
            </w:pPr>
            <w:r>
              <w:rPr>
                <w:rFonts w:hint="eastAsia" w:ascii="Calibri" w:hAnsi="Calibri" w:cs="Times New Roman"/>
                <w:b/>
                <w:color w:val="auto"/>
                <w:lang w:val="en-US" w:eastAsia="zh-CN"/>
              </w:rPr>
              <w:t>参数说明</w:t>
            </w:r>
          </w:p>
        </w:tc>
        <w:tc>
          <w:tcPr>
            <w:tcW w:w="602" w:type="pct"/>
            <w:noWrap w:val="0"/>
            <w:tcMar>
              <w:top w:w="28" w:type="dxa"/>
              <w:left w:w="57" w:type="dxa"/>
              <w:bottom w:w="28" w:type="dxa"/>
              <w:right w:w="57" w:type="dxa"/>
            </w:tcMar>
            <w:vAlign w:val="center"/>
          </w:tcPr>
          <w:p w14:paraId="5F4A8E0A">
            <w:pPr>
              <w:jc w:val="center"/>
              <w:rPr>
                <w:rFonts w:hint="eastAsia" w:ascii="Calibri" w:hAnsi="Calibri" w:cs="Times New Roman"/>
                <w:b/>
                <w:color w:val="auto"/>
              </w:rPr>
            </w:pPr>
            <w:r>
              <w:rPr>
                <w:rFonts w:hint="eastAsia" w:ascii="Calibri" w:hAnsi="Calibri" w:cs="Times New Roman"/>
                <w:b/>
                <w:color w:val="auto"/>
              </w:rPr>
              <w:t>单位/数量</w:t>
            </w:r>
          </w:p>
        </w:tc>
        <w:tc>
          <w:tcPr>
            <w:tcW w:w="602" w:type="pct"/>
            <w:noWrap w:val="0"/>
            <w:tcMar>
              <w:top w:w="28" w:type="dxa"/>
              <w:left w:w="57" w:type="dxa"/>
              <w:bottom w:w="28" w:type="dxa"/>
              <w:right w:w="57" w:type="dxa"/>
            </w:tcMar>
            <w:vAlign w:val="center"/>
          </w:tcPr>
          <w:p w14:paraId="43E47178">
            <w:pPr>
              <w:jc w:val="center"/>
              <w:rPr>
                <w:rFonts w:hint="eastAsia" w:ascii="Calibri" w:hAnsi="Calibri" w:cs="Times New Roman"/>
                <w:b/>
                <w:color w:val="auto"/>
              </w:rPr>
            </w:pPr>
            <w:r>
              <w:rPr>
                <w:rFonts w:hint="eastAsia" w:ascii="Calibri" w:hAnsi="Calibri" w:cs="Times New Roman"/>
                <w:b/>
                <w:color w:val="auto"/>
              </w:rPr>
              <w:t>单价（元）</w:t>
            </w:r>
          </w:p>
        </w:tc>
        <w:tc>
          <w:tcPr>
            <w:tcW w:w="561" w:type="pct"/>
            <w:noWrap w:val="0"/>
            <w:tcMar>
              <w:top w:w="28" w:type="dxa"/>
              <w:left w:w="57" w:type="dxa"/>
              <w:bottom w:w="28" w:type="dxa"/>
              <w:right w:w="57" w:type="dxa"/>
            </w:tcMar>
            <w:vAlign w:val="center"/>
          </w:tcPr>
          <w:p w14:paraId="591F0CE0">
            <w:pPr>
              <w:jc w:val="center"/>
              <w:rPr>
                <w:rFonts w:hint="default" w:ascii="Calibri" w:hAnsi="Calibri" w:eastAsia="宋体" w:cs="Times New Roman"/>
                <w:b/>
                <w:color w:val="auto"/>
                <w:lang w:val="en-US" w:eastAsia="zh-CN"/>
              </w:rPr>
            </w:pPr>
            <w:r>
              <w:rPr>
                <w:rFonts w:hint="eastAsia" w:ascii="Calibri" w:hAnsi="Calibri" w:cs="Times New Roman"/>
                <w:b/>
                <w:color w:val="auto"/>
              </w:rPr>
              <w:t>合价（元）</w:t>
            </w:r>
          </w:p>
        </w:tc>
        <w:tc>
          <w:tcPr>
            <w:tcW w:w="502" w:type="pct"/>
            <w:noWrap w:val="0"/>
            <w:tcMar>
              <w:top w:w="28" w:type="dxa"/>
              <w:left w:w="57" w:type="dxa"/>
              <w:bottom w:w="28" w:type="dxa"/>
              <w:right w:w="57" w:type="dxa"/>
            </w:tcMar>
            <w:vAlign w:val="center"/>
          </w:tcPr>
          <w:p w14:paraId="462C91E5">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6A8A93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3E9037F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720" w:type="pct"/>
            <w:tcBorders>
              <w:bottom w:val="single" w:color="auto" w:sz="4" w:space="0"/>
            </w:tcBorders>
            <w:noWrap w:val="0"/>
            <w:tcMar>
              <w:left w:w="57" w:type="dxa"/>
              <w:right w:w="57" w:type="dxa"/>
            </w:tcMar>
            <w:vAlign w:val="center"/>
          </w:tcPr>
          <w:p w14:paraId="4C2F3C60">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60260E1B">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62865C13">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75B6A007">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6E1F4B34">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36B19B2A">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6258973">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063418EC">
            <w:pPr>
              <w:jc w:val="left"/>
              <w:rPr>
                <w:rFonts w:hint="eastAsia" w:ascii="Calibri" w:hAnsi="Calibri" w:cs="Times New Roman"/>
                <w:color w:val="auto"/>
              </w:rPr>
            </w:pPr>
          </w:p>
        </w:tc>
      </w:tr>
      <w:tr w14:paraId="497584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25F49A2C">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720" w:type="pct"/>
            <w:tcBorders>
              <w:bottom w:val="single" w:color="auto" w:sz="4" w:space="0"/>
            </w:tcBorders>
            <w:noWrap w:val="0"/>
            <w:tcMar>
              <w:left w:w="57" w:type="dxa"/>
              <w:right w:w="57" w:type="dxa"/>
            </w:tcMar>
            <w:vAlign w:val="center"/>
          </w:tcPr>
          <w:p w14:paraId="022F931A">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7BAA5032">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3D959AC0">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443CD764">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6E9322F7">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7F20B8D1">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EBE5BB0">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250B24EB">
            <w:pPr>
              <w:jc w:val="left"/>
              <w:rPr>
                <w:rFonts w:hint="eastAsia" w:ascii="Calibri" w:hAnsi="Calibri" w:cs="Times New Roman"/>
                <w:color w:val="auto"/>
              </w:rPr>
            </w:pPr>
          </w:p>
        </w:tc>
      </w:tr>
      <w:tr w14:paraId="1B6CED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63" w:type="pct"/>
            <w:tcBorders>
              <w:bottom w:val="single" w:color="auto" w:sz="4" w:space="0"/>
            </w:tcBorders>
            <w:noWrap w:val="0"/>
            <w:tcMar>
              <w:left w:w="57" w:type="dxa"/>
              <w:right w:w="57" w:type="dxa"/>
            </w:tcMar>
            <w:vAlign w:val="center"/>
          </w:tcPr>
          <w:p w14:paraId="6CEA4D12">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720" w:type="pct"/>
            <w:tcBorders>
              <w:bottom w:val="single" w:color="auto" w:sz="4" w:space="0"/>
            </w:tcBorders>
            <w:noWrap w:val="0"/>
            <w:tcMar>
              <w:left w:w="57" w:type="dxa"/>
              <w:right w:w="57" w:type="dxa"/>
            </w:tcMar>
            <w:vAlign w:val="center"/>
          </w:tcPr>
          <w:p w14:paraId="45CFD68A">
            <w:pPr>
              <w:jc w:val="left"/>
              <w:rPr>
                <w:rFonts w:hint="eastAsia" w:ascii="Calibri" w:hAnsi="Calibri" w:cs="Times New Roman"/>
                <w:color w:val="auto"/>
              </w:rPr>
            </w:pPr>
          </w:p>
        </w:tc>
        <w:tc>
          <w:tcPr>
            <w:tcW w:w="459" w:type="pct"/>
            <w:tcBorders>
              <w:bottom w:val="single" w:color="auto" w:sz="4" w:space="0"/>
            </w:tcBorders>
            <w:noWrap w:val="0"/>
            <w:tcMar>
              <w:left w:w="57" w:type="dxa"/>
              <w:right w:w="57" w:type="dxa"/>
            </w:tcMar>
            <w:vAlign w:val="center"/>
          </w:tcPr>
          <w:p w14:paraId="3470CC58">
            <w:pPr>
              <w:jc w:val="left"/>
              <w:rPr>
                <w:rFonts w:hint="eastAsia" w:ascii="Calibri" w:hAnsi="Calibri" w:cs="Times New Roman"/>
                <w:color w:val="auto"/>
              </w:rPr>
            </w:pPr>
          </w:p>
        </w:tc>
        <w:tc>
          <w:tcPr>
            <w:tcW w:w="470" w:type="pct"/>
            <w:tcBorders>
              <w:bottom w:val="single" w:color="auto" w:sz="4" w:space="0"/>
            </w:tcBorders>
            <w:noWrap w:val="0"/>
            <w:tcMar>
              <w:left w:w="57" w:type="dxa"/>
              <w:right w:w="57" w:type="dxa"/>
            </w:tcMar>
            <w:vAlign w:val="center"/>
          </w:tcPr>
          <w:p w14:paraId="6BD4D40B">
            <w:pPr>
              <w:jc w:val="left"/>
              <w:rPr>
                <w:rFonts w:hint="eastAsia" w:ascii="Calibri" w:hAnsi="Calibri" w:cs="Times New Roman"/>
                <w:color w:val="auto"/>
              </w:rPr>
            </w:pPr>
          </w:p>
        </w:tc>
        <w:tc>
          <w:tcPr>
            <w:tcW w:w="616" w:type="pct"/>
            <w:tcBorders>
              <w:bottom w:val="single" w:color="auto" w:sz="4" w:space="0"/>
            </w:tcBorders>
            <w:noWrap w:val="0"/>
            <w:tcMar>
              <w:left w:w="57" w:type="dxa"/>
              <w:right w:w="57" w:type="dxa"/>
            </w:tcMar>
            <w:vAlign w:val="center"/>
          </w:tcPr>
          <w:p w14:paraId="790B0150">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07854B00">
            <w:pPr>
              <w:jc w:val="left"/>
              <w:rPr>
                <w:rFonts w:hint="eastAsia" w:ascii="Calibri" w:hAnsi="Calibri" w:cs="Times New Roman"/>
                <w:color w:val="auto"/>
              </w:rPr>
            </w:pPr>
          </w:p>
        </w:tc>
        <w:tc>
          <w:tcPr>
            <w:tcW w:w="602" w:type="pct"/>
            <w:tcBorders>
              <w:bottom w:val="single" w:color="auto" w:sz="4" w:space="0"/>
            </w:tcBorders>
            <w:noWrap w:val="0"/>
            <w:tcMar>
              <w:left w:w="57" w:type="dxa"/>
              <w:right w:w="57" w:type="dxa"/>
            </w:tcMar>
            <w:vAlign w:val="center"/>
          </w:tcPr>
          <w:p w14:paraId="5BE851AB">
            <w:pPr>
              <w:jc w:val="left"/>
              <w:rPr>
                <w:rFonts w:hint="eastAsia" w:ascii="Calibri" w:hAnsi="Calibri" w:cs="Times New Roman"/>
                <w:color w:val="auto"/>
              </w:rPr>
            </w:pPr>
          </w:p>
        </w:tc>
        <w:tc>
          <w:tcPr>
            <w:tcW w:w="561" w:type="pct"/>
            <w:tcBorders>
              <w:bottom w:val="single" w:color="auto" w:sz="4" w:space="0"/>
            </w:tcBorders>
            <w:noWrap w:val="0"/>
            <w:tcMar>
              <w:left w:w="57" w:type="dxa"/>
              <w:right w:w="57" w:type="dxa"/>
            </w:tcMar>
            <w:vAlign w:val="center"/>
          </w:tcPr>
          <w:p w14:paraId="6412F41F">
            <w:pPr>
              <w:jc w:val="left"/>
              <w:rPr>
                <w:rFonts w:hint="eastAsia" w:ascii="Calibri" w:hAnsi="Calibri" w:cs="Times New Roman"/>
                <w:color w:val="auto"/>
              </w:rPr>
            </w:pPr>
          </w:p>
        </w:tc>
        <w:tc>
          <w:tcPr>
            <w:tcW w:w="502" w:type="pct"/>
            <w:tcBorders>
              <w:bottom w:val="single" w:color="auto" w:sz="4" w:space="0"/>
            </w:tcBorders>
            <w:noWrap w:val="0"/>
            <w:tcMar>
              <w:left w:w="57" w:type="dxa"/>
              <w:right w:w="57" w:type="dxa"/>
            </w:tcMar>
            <w:vAlign w:val="center"/>
          </w:tcPr>
          <w:p w14:paraId="3E15E6E4">
            <w:pPr>
              <w:jc w:val="left"/>
              <w:rPr>
                <w:rFonts w:hint="eastAsia" w:ascii="Calibri" w:hAnsi="Calibri" w:cs="Times New Roman"/>
                <w:color w:val="auto"/>
              </w:rPr>
            </w:pPr>
          </w:p>
        </w:tc>
      </w:tr>
      <w:tr w14:paraId="46343F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63" w:type="pct"/>
            <w:noWrap w:val="0"/>
            <w:tcMar>
              <w:left w:w="57" w:type="dxa"/>
              <w:right w:w="57" w:type="dxa"/>
            </w:tcMar>
            <w:vAlign w:val="center"/>
          </w:tcPr>
          <w:p w14:paraId="1E6ED73D">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720" w:type="pct"/>
            <w:noWrap w:val="0"/>
            <w:tcMar>
              <w:left w:w="57" w:type="dxa"/>
              <w:right w:w="57" w:type="dxa"/>
            </w:tcMar>
            <w:vAlign w:val="center"/>
          </w:tcPr>
          <w:p w14:paraId="180B7E0C">
            <w:pPr>
              <w:jc w:val="left"/>
              <w:rPr>
                <w:rFonts w:hint="eastAsia" w:ascii="Calibri" w:hAnsi="Calibri" w:cs="Times New Roman"/>
                <w:color w:val="auto"/>
              </w:rPr>
            </w:pPr>
          </w:p>
        </w:tc>
        <w:tc>
          <w:tcPr>
            <w:tcW w:w="459" w:type="pct"/>
            <w:noWrap w:val="0"/>
            <w:tcMar>
              <w:left w:w="57" w:type="dxa"/>
              <w:right w:w="57" w:type="dxa"/>
            </w:tcMar>
            <w:vAlign w:val="center"/>
          </w:tcPr>
          <w:p w14:paraId="04749A6C">
            <w:pPr>
              <w:jc w:val="left"/>
              <w:rPr>
                <w:rFonts w:hint="eastAsia" w:ascii="Calibri" w:hAnsi="Calibri" w:cs="Times New Roman"/>
                <w:color w:val="auto"/>
              </w:rPr>
            </w:pPr>
          </w:p>
        </w:tc>
        <w:tc>
          <w:tcPr>
            <w:tcW w:w="470" w:type="pct"/>
            <w:noWrap w:val="0"/>
            <w:tcMar>
              <w:left w:w="57" w:type="dxa"/>
              <w:right w:w="57" w:type="dxa"/>
            </w:tcMar>
            <w:vAlign w:val="center"/>
          </w:tcPr>
          <w:p w14:paraId="36641465">
            <w:pPr>
              <w:jc w:val="left"/>
              <w:rPr>
                <w:rFonts w:hint="eastAsia" w:ascii="Calibri" w:hAnsi="Calibri" w:cs="Times New Roman"/>
                <w:color w:val="auto"/>
              </w:rPr>
            </w:pPr>
          </w:p>
        </w:tc>
        <w:tc>
          <w:tcPr>
            <w:tcW w:w="616" w:type="pct"/>
            <w:noWrap w:val="0"/>
            <w:tcMar>
              <w:left w:w="57" w:type="dxa"/>
              <w:right w:w="57" w:type="dxa"/>
            </w:tcMar>
            <w:vAlign w:val="center"/>
          </w:tcPr>
          <w:p w14:paraId="4BB2BD4C">
            <w:pPr>
              <w:jc w:val="left"/>
              <w:rPr>
                <w:rFonts w:hint="eastAsia" w:ascii="Calibri" w:hAnsi="Calibri" w:cs="Times New Roman"/>
                <w:color w:val="auto"/>
              </w:rPr>
            </w:pPr>
          </w:p>
        </w:tc>
        <w:tc>
          <w:tcPr>
            <w:tcW w:w="602" w:type="pct"/>
            <w:noWrap w:val="0"/>
            <w:tcMar>
              <w:left w:w="57" w:type="dxa"/>
              <w:right w:w="57" w:type="dxa"/>
            </w:tcMar>
            <w:vAlign w:val="center"/>
          </w:tcPr>
          <w:p w14:paraId="7F853BE8">
            <w:pPr>
              <w:jc w:val="left"/>
              <w:rPr>
                <w:rFonts w:hint="eastAsia" w:ascii="Calibri" w:hAnsi="Calibri" w:cs="Times New Roman"/>
                <w:color w:val="auto"/>
              </w:rPr>
            </w:pPr>
          </w:p>
        </w:tc>
        <w:tc>
          <w:tcPr>
            <w:tcW w:w="602" w:type="pct"/>
            <w:noWrap w:val="0"/>
            <w:tcMar>
              <w:left w:w="57" w:type="dxa"/>
              <w:right w:w="57" w:type="dxa"/>
            </w:tcMar>
            <w:vAlign w:val="center"/>
          </w:tcPr>
          <w:p w14:paraId="66CCEC5F">
            <w:pPr>
              <w:jc w:val="left"/>
              <w:rPr>
                <w:rFonts w:hint="eastAsia" w:ascii="Calibri" w:hAnsi="Calibri" w:cs="Times New Roman"/>
                <w:color w:val="auto"/>
              </w:rPr>
            </w:pPr>
          </w:p>
        </w:tc>
        <w:tc>
          <w:tcPr>
            <w:tcW w:w="561" w:type="pct"/>
            <w:noWrap w:val="0"/>
            <w:tcMar>
              <w:left w:w="57" w:type="dxa"/>
              <w:right w:w="57" w:type="dxa"/>
            </w:tcMar>
            <w:vAlign w:val="center"/>
          </w:tcPr>
          <w:p w14:paraId="4601A4B1">
            <w:pPr>
              <w:jc w:val="left"/>
              <w:rPr>
                <w:rFonts w:hint="eastAsia" w:ascii="Calibri" w:hAnsi="Calibri" w:cs="Times New Roman"/>
                <w:color w:val="auto"/>
              </w:rPr>
            </w:pPr>
          </w:p>
        </w:tc>
        <w:tc>
          <w:tcPr>
            <w:tcW w:w="502" w:type="pct"/>
            <w:noWrap w:val="0"/>
            <w:tcMar>
              <w:left w:w="57" w:type="dxa"/>
              <w:right w:w="57" w:type="dxa"/>
            </w:tcMar>
            <w:vAlign w:val="center"/>
          </w:tcPr>
          <w:p w14:paraId="223CE182">
            <w:pPr>
              <w:jc w:val="left"/>
              <w:rPr>
                <w:rFonts w:hint="eastAsia" w:ascii="Calibri" w:hAnsi="Calibri" w:cs="Times New Roman"/>
                <w:color w:val="auto"/>
              </w:rPr>
            </w:pPr>
          </w:p>
        </w:tc>
      </w:tr>
    </w:tbl>
    <w:p w14:paraId="0D4B6E56">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121BD5FB">
      <w:pPr>
        <w:pStyle w:val="18"/>
        <w:numPr>
          <w:ilvl w:val="0"/>
          <w:numId w:val="12"/>
        </w:numPr>
        <w:spacing w:line="360" w:lineRule="auto"/>
        <w:ind w:firstLine="0"/>
        <w:jc w:val="center"/>
        <w:rPr>
          <w:rFonts w:hint="eastAsia" w:ascii="仿宋" w:hAnsi="仿宋" w:eastAsia="仿宋" w:cs="仿宋"/>
          <w:b/>
          <w:bCs/>
          <w:color w:val="auto"/>
          <w:kern w:val="2"/>
          <w:sz w:val="32"/>
          <w:szCs w:val="32"/>
        </w:rPr>
      </w:pPr>
      <w:r>
        <w:rPr>
          <w:rFonts w:hint="eastAsia" w:ascii="仿宋" w:hAnsi="仿宋" w:eastAsia="仿宋" w:cs="仿宋"/>
          <w:b/>
          <w:bCs/>
          <w:color w:val="auto"/>
          <w:kern w:val="2"/>
          <w:sz w:val="32"/>
          <w:szCs w:val="32"/>
        </w:rPr>
        <w:t>《</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w:t>
      </w:r>
    </w:p>
    <w:p w14:paraId="40E4866A">
      <w:pPr>
        <w:pStyle w:val="18"/>
        <w:numPr>
          <w:ilvl w:val="0"/>
          <w:numId w:val="0"/>
        </w:numPr>
        <w:spacing w:line="360" w:lineRule="auto"/>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延安市甘泉县2026年省级林业草原改革发展资金林业产业（林下养鸡）发展补助项目(二次)</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GZC2026-CS-039.1B1</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CF5FE8C">
      <w:pPr>
        <w:pStyle w:val="18"/>
        <w:numPr>
          <w:ilvl w:val="0"/>
          <w:numId w:val="13"/>
        </w:numPr>
        <w:spacing w:line="360" w:lineRule="auto"/>
        <w:ind w:firstLine="0"/>
        <w:jc w:val="center"/>
        <w:rPr>
          <w:rFonts w:hint="eastAsia" w:ascii="仿宋" w:hAnsi="仿宋" w:eastAsia="仿宋" w:cs="仿宋"/>
          <w:b/>
          <w:bCs/>
          <w:color w:val="auto"/>
          <w:kern w:val="2"/>
          <w:sz w:val="32"/>
          <w:szCs w:val="36"/>
          <w:lang w:val="zh-CN"/>
        </w:rPr>
      </w:pPr>
      <w:r>
        <w:rPr>
          <w:rFonts w:hint="eastAsia" w:ascii="仿宋" w:hAnsi="仿宋" w:eastAsia="仿宋" w:cs="仿宋"/>
          <w:b/>
          <w:bCs/>
          <w:color w:val="auto"/>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延安市甘泉县2026年省级林业草原改革发展资金林业产业（林下养鸡）发展补助项目(二次)</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GZC2026-CS-039.1B1</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B39A5D">
      <w:pPr>
        <w:rPr>
          <w:rFonts w:ascii="仿宋" w:hAnsi="仿宋" w:eastAsia="仿宋" w:cs="仿宋"/>
          <w:b/>
          <w:color w:val="auto"/>
          <w:sz w:val="32"/>
          <w:szCs w:val="32"/>
        </w:rPr>
      </w:pP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延安市甘泉县2026年省级林业草原改革发展资金林业产业（林下养鸡）发展补助项目(二次)</w:t>
      </w:r>
      <w:r>
        <w:rPr>
          <w:rFonts w:hint="eastAsia" w:ascii="宋体" w:hAnsi="宋体" w:eastAsia="宋体" w:cs="宋体"/>
          <w:color w:val="auto"/>
          <w:sz w:val="24"/>
        </w:rPr>
        <w:t>（项目编号：</w:t>
      </w:r>
      <w:r>
        <w:rPr>
          <w:rFonts w:hint="eastAsia" w:ascii="宋体" w:hAnsi="宋体" w:cs="宋体"/>
          <w:b/>
          <w:bCs/>
          <w:color w:val="auto"/>
          <w:sz w:val="24"/>
          <w:lang w:eastAsia="zh-CN"/>
        </w:rPr>
        <w:t>GZC2026-CS-039.1B1</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法定代表人（负责人）：（签字或盖章）</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color w:val="auto"/>
              </w:rPr>
            </w:pPr>
            <w:r>
              <w:rPr>
                <w:rFonts w:hint="eastAsia" w:ascii="宋体" w:hAnsi="宋体" w:eastAsia="宋体" w:cs="宋体"/>
                <w:b/>
                <w:color w:val="auto"/>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color w:val="auto"/>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color w:val="auto"/>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color w:val="auto"/>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color w:val="auto"/>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color w:val="auto"/>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color w:val="auto"/>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color w:val="auto"/>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color w:val="auto"/>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color w:val="auto"/>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color w:val="auto"/>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以合同</w:t>
      </w:r>
      <w:r>
        <w:rPr>
          <w:rFonts w:hint="eastAsia" w:ascii="宋体" w:hAnsi="宋体" w:eastAsia="宋体" w:cs="宋体"/>
          <w:b/>
          <w:bCs/>
          <w:color w:val="auto"/>
          <w:sz w:val="24"/>
          <w:lang w:val="en-US" w:eastAsia="zh-CN"/>
        </w:rPr>
        <w:t>复印件或</w:t>
      </w:r>
      <w:r>
        <w:rPr>
          <w:rFonts w:hint="eastAsia" w:ascii="宋体" w:hAnsi="宋体" w:cs="宋体"/>
          <w:b/>
          <w:bCs/>
          <w:color w:val="auto"/>
          <w:sz w:val="24"/>
          <w:lang w:val="en-US" w:eastAsia="zh-CN"/>
        </w:rPr>
        <w:t>中标通知书</w:t>
      </w:r>
      <w:r>
        <w:rPr>
          <w:rFonts w:hint="eastAsia" w:ascii="宋体" w:hAnsi="宋体" w:eastAsia="宋体" w:cs="宋体"/>
          <w:b/>
          <w:bCs/>
          <w:color w:val="auto"/>
          <w:sz w:val="24"/>
          <w:lang w:val="en-US" w:eastAsia="zh-CN"/>
        </w:rPr>
        <w:t>加盖公章为准。</w:t>
      </w:r>
    </w:p>
    <w:p w14:paraId="054CD4BF">
      <w:pPr>
        <w:snapToGrid w:val="0"/>
        <w:spacing w:line="500" w:lineRule="exact"/>
        <w:jc w:val="center"/>
        <w:rPr>
          <w:rFonts w:hint="eastAsia" w:ascii="仿宋" w:hAnsi="仿宋" w:eastAsia="仿宋" w:cs="仿宋"/>
          <w:b/>
          <w:bCs/>
          <w:color w:val="auto"/>
          <w:sz w:val="32"/>
          <w:szCs w:val="36"/>
        </w:rPr>
      </w:pPr>
    </w:p>
    <w:p w14:paraId="686CA507">
      <w:pPr>
        <w:snapToGrid w:val="0"/>
        <w:spacing w:line="500" w:lineRule="exact"/>
        <w:jc w:val="center"/>
        <w:rPr>
          <w:rFonts w:hint="eastAsia" w:ascii="仿宋" w:hAnsi="仿宋" w:eastAsia="仿宋" w:cs="仿宋"/>
          <w:b/>
          <w:bCs/>
          <w:color w:val="auto"/>
          <w:sz w:val="32"/>
          <w:szCs w:val="36"/>
        </w:rPr>
      </w:pPr>
    </w:p>
    <w:p w14:paraId="002EC34C">
      <w:pPr>
        <w:snapToGrid w:val="0"/>
        <w:spacing w:line="500" w:lineRule="exact"/>
        <w:jc w:val="center"/>
        <w:rPr>
          <w:rFonts w:hint="eastAsia" w:ascii="仿宋" w:hAnsi="仿宋" w:eastAsia="仿宋" w:cs="仿宋"/>
          <w:b/>
          <w:bCs/>
          <w:color w:val="auto"/>
          <w:sz w:val="32"/>
          <w:szCs w:val="36"/>
        </w:rPr>
      </w:pPr>
    </w:p>
    <w:p w14:paraId="747AC54A">
      <w:pPr>
        <w:snapToGrid w:val="0"/>
        <w:spacing w:line="500" w:lineRule="exact"/>
        <w:jc w:val="center"/>
        <w:rPr>
          <w:rFonts w:hint="eastAsia" w:ascii="仿宋" w:hAnsi="仿宋" w:eastAsia="仿宋" w:cs="仿宋"/>
          <w:b/>
          <w:bCs/>
          <w:color w:val="auto"/>
          <w:sz w:val="32"/>
          <w:szCs w:val="36"/>
        </w:rPr>
      </w:pPr>
    </w:p>
    <w:p w14:paraId="56CBB504">
      <w:pPr>
        <w:snapToGrid w:val="0"/>
        <w:spacing w:line="500" w:lineRule="exact"/>
        <w:jc w:val="center"/>
        <w:rPr>
          <w:rFonts w:hint="eastAsia" w:ascii="仿宋" w:hAnsi="仿宋" w:eastAsia="仿宋" w:cs="仿宋"/>
          <w:b/>
          <w:bCs/>
          <w:color w:val="auto"/>
          <w:sz w:val="32"/>
          <w:szCs w:val="36"/>
        </w:rPr>
      </w:pPr>
    </w:p>
    <w:p w14:paraId="7FE0048B">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247" w:bottom="1418" w:left="1247"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p w14:paraId="5AAB4F1D">
            <w:pPr>
              <w:spacing w:line="360" w:lineRule="auto"/>
              <w:ind w:firstLine="241" w:firstLineChars="100"/>
              <w:rPr>
                <w:rFonts w:hint="eastAsia" w:ascii="宋体" w:hAnsi="宋体" w:eastAsia="宋体" w:cs="宋体"/>
                <w:color w:val="auto"/>
                <w:sz w:val="24"/>
              </w:rPr>
            </w:pPr>
            <w:r>
              <w:rPr>
                <w:rFonts w:hint="eastAsia" w:ascii="宋体" w:hAnsi="宋体" w:eastAsia="宋体" w:cs="宋体"/>
                <w:b/>
                <w:bCs/>
                <w:color w:val="auto"/>
                <w:sz w:val="24"/>
              </w:rPr>
              <w:t>2、同时须附技术人员资格</w:t>
            </w:r>
            <w:r>
              <w:rPr>
                <w:rFonts w:hint="eastAsia" w:ascii="宋体" w:hAnsi="宋体" w:cs="宋体"/>
                <w:b/>
                <w:bCs/>
                <w:color w:val="auto"/>
                <w:sz w:val="24"/>
                <w:lang w:val="en-US" w:eastAsia="zh-CN"/>
              </w:rPr>
              <w:t>证书及身份证</w:t>
            </w:r>
            <w:r>
              <w:rPr>
                <w:rFonts w:hint="eastAsia" w:ascii="宋体" w:hAnsi="宋体" w:eastAsia="宋体" w:cs="宋体"/>
                <w:b/>
                <w:bCs/>
                <w:color w:val="auto"/>
                <w:sz w:val="24"/>
              </w:rPr>
              <w:t>等复印件。</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24A921AA">
      <w:pPr>
        <w:spacing w:line="24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rPr>
        <w:t>中小企业声明函</w:t>
      </w:r>
      <w:r>
        <w:rPr>
          <w:rFonts w:hint="eastAsia" w:ascii="宋体" w:hAnsi="宋体" w:cs="宋体"/>
          <w:b/>
          <w:bCs/>
          <w:color w:val="auto"/>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auto"/>
          <w:sz w:val="24"/>
          <w:szCs w:val="24"/>
          <w:lang w:eastAsia="zh-CN"/>
        </w:rPr>
        <w:t>《政府采购促进中小企业发展管理办法》（财库〔20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color w:val="auto"/>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color w:val="auto"/>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color w:val="auto"/>
        </w:rPr>
      </w:pP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3D75F63B">
      <w:pPr>
        <w:spacing w:line="360" w:lineRule="atLeast"/>
        <w:jc w:val="center"/>
        <w:rPr>
          <w:rFonts w:ascii="仿宋" w:hAnsi="仿宋" w:eastAsia="仿宋" w:cs="仿宋"/>
          <w:b/>
          <w:color w:val="auto"/>
          <w:szCs w:val="21"/>
        </w:rPr>
      </w:pPr>
    </w:p>
    <w:p w14:paraId="7F6B21D3">
      <w:pPr>
        <w:spacing w:line="360" w:lineRule="atLeast"/>
        <w:jc w:val="center"/>
        <w:rPr>
          <w:rFonts w:ascii="仿宋" w:hAnsi="仿宋" w:eastAsia="仿宋" w:cs="仿宋"/>
          <w:b/>
          <w:color w:val="auto"/>
          <w:szCs w:val="21"/>
        </w:rPr>
      </w:pPr>
    </w:p>
    <w:p w14:paraId="73C8B767">
      <w:pPr>
        <w:spacing w:line="360" w:lineRule="atLeast"/>
        <w:jc w:val="center"/>
        <w:rPr>
          <w:rFonts w:ascii="仿宋" w:hAnsi="仿宋" w:eastAsia="仿宋" w:cs="仿宋"/>
          <w:b/>
          <w:color w:val="auto"/>
          <w:szCs w:val="21"/>
        </w:rPr>
      </w:pPr>
    </w:p>
    <w:p w14:paraId="1D93C10A">
      <w:pPr>
        <w:spacing w:line="360" w:lineRule="atLeast"/>
        <w:jc w:val="center"/>
        <w:rPr>
          <w:rFonts w:ascii="仿宋" w:hAnsi="仿宋" w:eastAsia="仿宋" w:cs="仿宋"/>
          <w:b/>
          <w:color w:val="auto"/>
          <w:szCs w:val="21"/>
        </w:rPr>
      </w:pPr>
    </w:p>
    <w:p w14:paraId="19805136">
      <w:pPr>
        <w:spacing w:line="360" w:lineRule="atLeast"/>
        <w:jc w:val="center"/>
        <w:rPr>
          <w:rFonts w:ascii="仿宋" w:hAnsi="仿宋" w:eastAsia="仿宋" w:cs="仿宋"/>
          <w:b/>
          <w:color w:val="auto"/>
          <w:szCs w:val="21"/>
        </w:rPr>
      </w:pPr>
    </w:p>
    <w:p w14:paraId="0075E30A">
      <w:pPr>
        <w:spacing w:line="360" w:lineRule="atLeast"/>
        <w:jc w:val="center"/>
        <w:rPr>
          <w:rFonts w:ascii="仿宋" w:hAnsi="仿宋" w:eastAsia="仿宋" w:cs="仿宋"/>
          <w:b/>
          <w:color w:val="auto"/>
          <w:szCs w:val="21"/>
        </w:rPr>
      </w:pPr>
    </w:p>
    <w:p w14:paraId="49508863">
      <w:pPr>
        <w:spacing w:line="360" w:lineRule="atLeast"/>
        <w:jc w:val="center"/>
        <w:rPr>
          <w:rFonts w:ascii="仿宋" w:hAnsi="仿宋" w:eastAsia="仿宋" w:cs="仿宋"/>
          <w:b/>
          <w:color w:val="auto"/>
          <w:szCs w:val="21"/>
        </w:rPr>
      </w:pPr>
    </w:p>
    <w:p w14:paraId="1A0E9AD6">
      <w:pPr>
        <w:spacing w:line="360" w:lineRule="atLeast"/>
        <w:jc w:val="center"/>
        <w:rPr>
          <w:rFonts w:ascii="仿宋" w:hAnsi="仿宋" w:eastAsia="仿宋" w:cs="仿宋"/>
          <w:b/>
          <w:color w:val="auto"/>
          <w:szCs w:val="21"/>
        </w:rPr>
      </w:pPr>
    </w:p>
    <w:p w14:paraId="5E7FF41D">
      <w:pPr>
        <w:spacing w:line="360" w:lineRule="atLeast"/>
        <w:jc w:val="center"/>
        <w:rPr>
          <w:rFonts w:ascii="仿宋" w:hAnsi="仿宋" w:eastAsia="仿宋" w:cs="仿宋"/>
          <w:b/>
          <w:color w:val="auto"/>
          <w:szCs w:val="21"/>
        </w:rPr>
      </w:pPr>
    </w:p>
    <w:p w14:paraId="443AF2A6">
      <w:pPr>
        <w:spacing w:line="360" w:lineRule="atLeast"/>
        <w:jc w:val="center"/>
        <w:rPr>
          <w:rFonts w:ascii="仿宋" w:hAnsi="仿宋" w:eastAsia="仿宋" w:cs="仿宋"/>
          <w:b/>
          <w:color w:val="auto"/>
          <w:szCs w:val="21"/>
        </w:rPr>
      </w:pPr>
    </w:p>
    <w:p w14:paraId="1981AF2B">
      <w:pPr>
        <w:spacing w:line="360" w:lineRule="atLeast"/>
        <w:jc w:val="center"/>
        <w:rPr>
          <w:rFonts w:ascii="仿宋" w:hAnsi="仿宋" w:eastAsia="仿宋" w:cs="仿宋"/>
          <w:b/>
          <w:color w:val="auto"/>
          <w:szCs w:val="21"/>
        </w:rPr>
      </w:pPr>
    </w:p>
    <w:p w14:paraId="57EF016D">
      <w:pPr>
        <w:spacing w:line="360" w:lineRule="atLeast"/>
        <w:jc w:val="center"/>
        <w:rPr>
          <w:rFonts w:ascii="仿宋" w:hAnsi="仿宋" w:eastAsia="仿宋" w:cs="仿宋"/>
          <w:b/>
          <w:color w:val="auto"/>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color w:val="auto"/>
                <w:szCs w:val="21"/>
              </w:rPr>
            </w:pPr>
            <w:r>
              <w:rPr>
                <w:rFonts w:hint="eastAsia" w:ascii="宋体" w:hAnsi="宋体" w:cs="宋体"/>
                <w:color w:val="auto"/>
                <w:szCs w:val="21"/>
              </w:rPr>
              <w:t>序号</w:t>
            </w:r>
          </w:p>
        </w:tc>
        <w:tc>
          <w:tcPr>
            <w:tcW w:w="960" w:type="dxa"/>
            <w:noWrap w:val="0"/>
            <w:vAlign w:val="center"/>
          </w:tcPr>
          <w:p w14:paraId="451BC2A8">
            <w:pPr>
              <w:jc w:val="center"/>
              <w:rPr>
                <w:rFonts w:hint="eastAsia" w:ascii="宋体" w:hAnsi="宋体" w:cs="宋体"/>
                <w:color w:val="auto"/>
                <w:szCs w:val="21"/>
              </w:rPr>
            </w:pPr>
            <w:r>
              <w:rPr>
                <w:rFonts w:hint="eastAsia" w:ascii="宋体" w:hAnsi="宋体" w:cs="宋体"/>
                <w:color w:val="auto"/>
                <w:szCs w:val="21"/>
              </w:rPr>
              <w:t>产品</w:t>
            </w:r>
          </w:p>
          <w:p w14:paraId="59A32A3E">
            <w:pPr>
              <w:jc w:val="center"/>
              <w:rPr>
                <w:rFonts w:hint="eastAsia" w:ascii="宋体" w:hAnsi="宋体" w:cs="宋体"/>
                <w:color w:val="auto"/>
                <w:szCs w:val="21"/>
              </w:rPr>
            </w:pPr>
            <w:r>
              <w:rPr>
                <w:rFonts w:hint="eastAsia" w:ascii="宋体" w:hAnsi="宋体" w:cs="宋体"/>
                <w:color w:val="auto"/>
                <w:szCs w:val="21"/>
              </w:rPr>
              <w:t>名称</w:t>
            </w:r>
          </w:p>
        </w:tc>
        <w:tc>
          <w:tcPr>
            <w:tcW w:w="1078" w:type="dxa"/>
            <w:noWrap w:val="0"/>
            <w:vAlign w:val="center"/>
          </w:tcPr>
          <w:p w14:paraId="58F4110F">
            <w:pPr>
              <w:jc w:val="center"/>
              <w:rPr>
                <w:rFonts w:hint="eastAsia" w:ascii="宋体" w:hAnsi="宋体" w:cs="宋体"/>
                <w:color w:val="auto"/>
                <w:szCs w:val="21"/>
              </w:rPr>
            </w:pPr>
            <w:r>
              <w:rPr>
                <w:rFonts w:hint="eastAsia" w:ascii="宋体" w:hAnsi="宋体" w:cs="宋体"/>
                <w:color w:val="auto"/>
                <w:szCs w:val="21"/>
              </w:rPr>
              <w:t>制造</w:t>
            </w:r>
          </w:p>
          <w:p w14:paraId="41F6FBC0">
            <w:pPr>
              <w:jc w:val="center"/>
              <w:rPr>
                <w:rFonts w:hint="eastAsia" w:ascii="宋体" w:hAnsi="宋体" w:cs="宋体"/>
                <w:color w:val="auto"/>
                <w:szCs w:val="21"/>
              </w:rPr>
            </w:pPr>
            <w:r>
              <w:rPr>
                <w:rFonts w:hint="eastAsia" w:ascii="宋体" w:hAnsi="宋体" w:cs="宋体"/>
                <w:color w:val="auto"/>
                <w:szCs w:val="21"/>
              </w:rPr>
              <w:t>厂家</w:t>
            </w:r>
          </w:p>
        </w:tc>
        <w:tc>
          <w:tcPr>
            <w:tcW w:w="1106" w:type="dxa"/>
            <w:noWrap w:val="0"/>
            <w:vAlign w:val="center"/>
          </w:tcPr>
          <w:p w14:paraId="157F0354">
            <w:pPr>
              <w:jc w:val="center"/>
              <w:rPr>
                <w:rFonts w:hint="eastAsia" w:ascii="宋体" w:hAnsi="宋体" w:cs="宋体"/>
                <w:color w:val="auto"/>
                <w:szCs w:val="21"/>
              </w:rPr>
            </w:pPr>
            <w:r>
              <w:rPr>
                <w:rFonts w:hint="eastAsia" w:ascii="宋体" w:hAnsi="宋体" w:cs="宋体"/>
                <w:color w:val="auto"/>
                <w:szCs w:val="21"/>
              </w:rPr>
              <w:t>规格</w:t>
            </w:r>
          </w:p>
          <w:p w14:paraId="1EE92703">
            <w:pPr>
              <w:jc w:val="center"/>
              <w:rPr>
                <w:rFonts w:hint="eastAsia" w:ascii="宋体" w:hAnsi="宋体" w:cs="宋体"/>
                <w:color w:val="auto"/>
                <w:szCs w:val="21"/>
              </w:rPr>
            </w:pPr>
            <w:r>
              <w:rPr>
                <w:rFonts w:hint="eastAsia" w:ascii="宋体" w:hAnsi="宋体" w:cs="宋体"/>
                <w:color w:val="auto"/>
                <w:szCs w:val="21"/>
              </w:rPr>
              <w:t>型号</w:t>
            </w:r>
          </w:p>
        </w:tc>
        <w:tc>
          <w:tcPr>
            <w:tcW w:w="950" w:type="dxa"/>
            <w:noWrap w:val="0"/>
            <w:vAlign w:val="center"/>
          </w:tcPr>
          <w:p w14:paraId="5B70ADDE">
            <w:pPr>
              <w:jc w:val="center"/>
              <w:rPr>
                <w:rFonts w:hint="eastAsia" w:ascii="宋体" w:hAnsi="宋体" w:cs="宋体"/>
                <w:color w:val="auto"/>
                <w:szCs w:val="21"/>
              </w:rPr>
            </w:pPr>
            <w:r>
              <w:rPr>
                <w:rFonts w:hint="eastAsia" w:ascii="宋体" w:hAnsi="宋体" w:cs="宋体"/>
                <w:color w:val="auto"/>
                <w:szCs w:val="21"/>
              </w:rPr>
              <w:t>类别</w:t>
            </w:r>
          </w:p>
        </w:tc>
        <w:tc>
          <w:tcPr>
            <w:tcW w:w="1164" w:type="dxa"/>
            <w:noWrap w:val="0"/>
            <w:vAlign w:val="center"/>
          </w:tcPr>
          <w:p w14:paraId="7D3F6BE3">
            <w:pPr>
              <w:jc w:val="center"/>
              <w:rPr>
                <w:rFonts w:hint="eastAsia" w:ascii="宋体" w:hAnsi="宋体" w:cs="宋体"/>
                <w:color w:val="auto"/>
                <w:szCs w:val="21"/>
              </w:rPr>
            </w:pPr>
            <w:r>
              <w:rPr>
                <w:rFonts w:hint="eastAsia" w:ascii="宋体" w:hAnsi="宋体" w:cs="宋体"/>
                <w:color w:val="auto"/>
                <w:szCs w:val="21"/>
              </w:rPr>
              <w:t>认证证书编号</w:t>
            </w:r>
          </w:p>
        </w:tc>
        <w:tc>
          <w:tcPr>
            <w:tcW w:w="780" w:type="dxa"/>
            <w:noWrap w:val="0"/>
            <w:vAlign w:val="center"/>
          </w:tcPr>
          <w:p w14:paraId="6F13648B">
            <w:pPr>
              <w:jc w:val="center"/>
              <w:rPr>
                <w:rFonts w:hint="eastAsia" w:ascii="宋体" w:hAnsi="宋体" w:cs="宋体"/>
                <w:color w:val="auto"/>
                <w:szCs w:val="21"/>
              </w:rPr>
            </w:pPr>
            <w:r>
              <w:rPr>
                <w:rFonts w:hint="eastAsia" w:ascii="宋体" w:hAnsi="宋体" w:cs="宋体"/>
                <w:color w:val="auto"/>
                <w:szCs w:val="21"/>
              </w:rPr>
              <w:t>数量</w:t>
            </w:r>
          </w:p>
        </w:tc>
        <w:tc>
          <w:tcPr>
            <w:tcW w:w="824" w:type="dxa"/>
            <w:noWrap w:val="0"/>
            <w:vAlign w:val="center"/>
          </w:tcPr>
          <w:p w14:paraId="1865F08E">
            <w:pPr>
              <w:jc w:val="center"/>
              <w:rPr>
                <w:rFonts w:hint="eastAsia" w:ascii="宋体" w:hAnsi="宋体" w:cs="宋体"/>
                <w:color w:val="auto"/>
                <w:szCs w:val="21"/>
              </w:rPr>
            </w:pPr>
            <w:r>
              <w:rPr>
                <w:rFonts w:hint="eastAsia" w:ascii="宋体" w:hAnsi="宋体" w:cs="宋体"/>
                <w:color w:val="auto"/>
                <w:szCs w:val="21"/>
              </w:rPr>
              <w:t>单价</w:t>
            </w:r>
          </w:p>
        </w:tc>
        <w:tc>
          <w:tcPr>
            <w:tcW w:w="823" w:type="dxa"/>
            <w:noWrap w:val="0"/>
            <w:vAlign w:val="center"/>
          </w:tcPr>
          <w:p w14:paraId="39A4D0AA">
            <w:pPr>
              <w:jc w:val="center"/>
              <w:rPr>
                <w:rFonts w:hint="eastAsia" w:ascii="宋体" w:hAnsi="宋体" w:cs="宋体"/>
                <w:color w:val="auto"/>
                <w:szCs w:val="21"/>
              </w:rPr>
            </w:pPr>
            <w:r>
              <w:rPr>
                <w:rFonts w:hint="eastAsia" w:ascii="宋体" w:hAnsi="宋体" w:cs="宋体"/>
                <w:color w:val="auto"/>
                <w:szCs w:val="21"/>
              </w:rPr>
              <w:t>总价</w:t>
            </w:r>
          </w:p>
        </w:tc>
        <w:tc>
          <w:tcPr>
            <w:tcW w:w="686" w:type="dxa"/>
            <w:noWrap w:val="0"/>
            <w:vAlign w:val="center"/>
          </w:tcPr>
          <w:p w14:paraId="69F7148C">
            <w:pPr>
              <w:jc w:val="center"/>
              <w:rPr>
                <w:rFonts w:hint="eastAsia" w:ascii="宋体" w:hAnsi="宋体" w:cs="宋体"/>
                <w:color w:val="auto"/>
                <w:szCs w:val="21"/>
              </w:rPr>
            </w:pPr>
            <w:r>
              <w:rPr>
                <w:rFonts w:hint="eastAsia" w:ascii="宋体" w:hAnsi="宋体" w:cs="宋体"/>
                <w:color w:val="auto"/>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960" w:type="dxa"/>
            <w:noWrap w:val="0"/>
            <w:vAlign w:val="top"/>
          </w:tcPr>
          <w:p w14:paraId="48A8978E">
            <w:pPr>
              <w:spacing w:line="360" w:lineRule="auto"/>
              <w:rPr>
                <w:rFonts w:hint="eastAsia" w:ascii="宋体" w:hAnsi="宋体" w:cs="宋体"/>
                <w:color w:val="auto"/>
                <w:sz w:val="24"/>
                <w:szCs w:val="24"/>
              </w:rPr>
            </w:pPr>
          </w:p>
        </w:tc>
        <w:tc>
          <w:tcPr>
            <w:tcW w:w="1078" w:type="dxa"/>
            <w:noWrap w:val="0"/>
            <w:vAlign w:val="top"/>
          </w:tcPr>
          <w:p w14:paraId="4DF4FB9D">
            <w:pPr>
              <w:spacing w:line="360" w:lineRule="auto"/>
              <w:rPr>
                <w:rFonts w:hint="eastAsia" w:ascii="宋体" w:hAnsi="宋体" w:cs="宋体"/>
                <w:color w:val="auto"/>
                <w:sz w:val="24"/>
                <w:szCs w:val="24"/>
              </w:rPr>
            </w:pPr>
          </w:p>
        </w:tc>
        <w:tc>
          <w:tcPr>
            <w:tcW w:w="1106" w:type="dxa"/>
            <w:noWrap w:val="0"/>
            <w:vAlign w:val="top"/>
          </w:tcPr>
          <w:p w14:paraId="0518C475">
            <w:pPr>
              <w:spacing w:line="360" w:lineRule="auto"/>
              <w:rPr>
                <w:rFonts w:hint="eastAsia" w:ascii="宋体" w:hAnsi="宋体" w:cs="宋体"/>
                <w:color w:val="auto"/>
                <w:sz w:val="24"/>
                <w:szCs w:val="24"/>
              </w:rPr>
            </w:pPr>
          </w:p>
        </w:tc>
        <w:tc>
          <w:tcPr>
            <w:tcW w:w="950" w:type="dxa"/>
            <w:noWrap w:val="0"/>
            <w:vAlign w:val="top"/>
          </w:tcPr>
          <w:p w14:paraId="243A5D2A">
            <w:pPr>
              <w:spacing w:line="360" w:lineRule="auto"/>
              <w:rPr>
                <w:rFonts w:hint="eastAsia" w:ascii="宋体" w:hAnsi="宋体" w:cs="宋体"/>
                <w:color w:val="auto"/>
                <w:sz w:val="24"/>
                <w:szCs w:val="24"/>
              </w:rPr>
            </w:pPr>
          </w:p>
        </w:tc>
        <w:tc>
          <w:tcPr>
            <w:tcW w:w="1164" w:type="dxa"/>
            <w:noWrap w:val="0"/>
            <w:vAlign w:val="top"/>
          </w:tcPr>
          <w:p w14:paraId="2974E61C">
            <w:pPr>
              <w:spacing w:line="360" w:lineRule="auto"/>
              <w:rPr>
                <w:rFonts w:hint="eastAsia" w:ascii="宋体" w:hAnsi="宋体" w:cs="宋体"/>
                <w:color w:val="auto"/>
                <w:sz w:val="24"/>
                <w:szCs w:val="24"/>
              </w:rPr>
            </w:pPr>
          </w:p>
        </w:tc>
        <w:tc>
          <w:tcPr>
            <w:tcW w:w="780" w:type="dxa"/>
            <w:noWrap w:val="0"/>
            <w:vAlign w:val="top"/>
          </w:tcPr>
          <w:p w14:paraId="1B59CC3B">
            <w:pPr>
              <w:spacing w:line="360" w:lineRule="auto"/>
              <w:rPr>
                <w:rFonts w:hint="eastAsia" w:ascii="宋体" w:hAnsi="宋体" w:cs="宋体"/>
                <w:color w:val="auto"/>
                <w:sz w:val="24"/>
                <w:szCs w:val="24"/>
              </w:rPr>
            </w:pPr>
          </w:p>
        </w:tc>
        <w:tc>
          <w:tcPr>
            <w:tcW w:w="824" w:type="dxa"/>
            <w:noWrap w:val="0"/>
            <w:vAlign w:val="top"/>
          </w:tcPr>
          <w:p w14:paraId="61CC9271">
            <w:pPr>
              <w:spacing w:line="360" w:lineRule="auto"/>
              <w:rPr>
                <w:rFonts w:hint="eastAsia" w:ascii="宋体" w:hAnsi="宋体" w:cs="宋体"/>
                <w:color w:val="auto"/>
                <w:sz w:val="24"/>
                <w:szCs w:val="24"/>
              </w:rPr>
            </w:pPr>
          </w:p>
        </w:tc>
        <w:tc>
          <w:tcPr>
            <w:tcW w:w="823" w:type="dxa"/>
            <w:noWrap w:val="0"/>
            <w:vAlign w:val="top"/>
          </w:tcPr>
          <w:p w14:paraId="2FE792FB">
            <w:pPr>
              <w:spacing w:line="360" w:lineRule="auto"/>
              <w:rPr>
                <w:rFonts w:hint="eastAsia" w:ascii="宋体" w:hAnsi="宋体" w:cs="宋体"/>
                <w:color w:val="auto"/>
                <w:sz w:val="24"/>
                <w:szCs w:val="24"/>
              </w:rPr>
            </w:pPr>
          </w:p>
        </w:tc>
        <w:tc>
          <w:tcPr>
            <w:tcW w:w="686" w:type="dxa"/>
            <w:noWrap w:val="0"/>
            <w:vAlign w:val="top"/>
          </w:tcPr>
          <w:p w14:paraId="56295123">
            <w:pPr>
              <w:spacing w:line="360" w:lineRule="auto"/>
              <w:rPr>
                <w:rFonts w:hint="eastAsia" w:ascii="宋体" w:hAnsi="宋体" w:cs="宋体"/>
                <w:color w:val="auto"/>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60" w:type="dxa"/>
            <w:noWrap w:val="0"/>
            <w:vAlign w:val="top"/>
          </w:tcPr>
          <w:p w14:paraId="0477276A">
            <w:pPr>
              <w:spacing w:line="360" w:lineRule="auto"/>
              <w:rPr>
                <w:rFonts w:hint="eastAsia" w:ascii="宋体" w:hAnsi="宋体" w:cs="宋体"/>
                <w:color w:val="auto"/>
                <w:sz w:val="24"/>
                <w:szCs w:val="24"/>
              </w:rPr>
            </w:pPr>
          </w:p>
        </w:tc>
        <w:tc>
          <w:tcPr>
            <w:tcW w:w="1078" w:type="dxa"/>
            <w:noWrap w:val="0"/>
            <w:vAlign w:val="top"/>
          </w:tcPr>
          <w:p w14:paraId="2D9C7491">
            <w:pPr>
              <w:spacing w:line="360" w:lineRule="auto"/>
              <w:rPr>
                <w:rFonts w:hint="eastAsia" w:ascii="宋体" w:hAnsi="宋体" w:cs="宋体"/>
                <w:color w:val="auto"/>
                <w:sz w:val="24"/>
                <w:szCs w:val="24"/>
              </w:rPr>
            </w:pPr>
          </w:p>
        </w:tc>
        <w:tc>
          <w:tcPr>
            <w:tcW w:w="1106" w:type="dxa"/>
            <w:noWrap w:val="0"/>
            <w:vAlign w:val="top"/>
          </w:tcPr>
          <w:p w14:paraId="4CDB6727">
            <w:pPr>
              <w:spacing w:line="360" w:lineRule="auto"/>
              <w:rPr>
                <w:rFonts w:hint="eastAsia" w:ascii="宋体" w:hAnsi="宋体" w:cs="宋体"/>
                <w:color w:val="auto"/>
                <w:sz w:val="24"/>
                <w:szCs w:val="24"/>
              </w:rPr>
            </w:pPr>
          </w:p>
        </w:tc>
        <w:tc>
          <w:tcPr>
            <w:tcW w:w="950" w:type="dxa"/>
            <w:noWrap w:val="0"/>
            <w:vAlign w:val="top"/>
          </w:tcPr>
          <w:p w14:paraId="74DE7DBE">
            <w:pPr>
              <w:spacing w:line="360" w:lineRule="auto"/>
              <w:rPr>
                <w:rFonts w:hint="eastAsia" w:ascii="宋体" w:hAnsi="宋体" w:cs="宋体"/>
                <w:color w:val="auto"/>
                <w:sz w:val="24"/>
                <w:szCs w:val="24"/>
              </w:rPr>
            </w:pPr>
          </w:p>
        </w:tc>
        <w:tc>
          <w:tcPr>
            <w:tcW w:w="1164" w:type="dxa"/>
            <w:noWrap w:val="0"/>
            <w:vAlign w:val="top"/>
          </w:tcPr>
          <w:p w14:paraId="25FBCBA3">
            <w:pPr>
              <w:spacing w:line="360" w:lineRule="auto"/>
              <w:rPr>
                <w:rFonts w:hint="eastAsia" w:ascii="宋体" w:hAnsi="宋体" w:cs="宋体"/>
                <w:color w:val="auto"/>
                <w:sz w:val="24"/>
                <w:szCs w:val="24"/>
              </w:rPr>
            </w:pPr>
          </w:p>
        </w:tc>
        <w:tc>
          <w:tcPr>
            <w:tcW w:w="780" w:type="dxa"/>
            <w:noWrap w:val="0"/>
            <w:vAlign w:val="top"/>
          </w:tcPr>
          <w:p w14:paraId="1E18DAA4">
            <w:pPr>
              <w:spacing w:line="360" w:lineRule="auto"/>
              <w:rPr>
                <w:rFonts w:hint="eastAsia" w:ascii="宋体" w:hAnsi="宋体" w:cs="宋体"/>
                <w:color w:val="auto"/>
                <w:sz w:val="24"/>
                <w:szCs w:val="24"/>
              </w:rPr>
            </w:pPr>
          </w:p>
        </w:tc>
        <w:tc>
          <w:tcPr>
            <w:tcW w:w="824" w:type="dxa"/>
            <w:noWrap w:val="0"/>
            <w:vAlign w:val="top"/>
          </w:tcPr>
          <w:p w14:paraId="68C3898D">
            <w:pPr>
              <w:spacing w:line="360" w:lineRule="auto"/>
              <w:rPr>
                <w:rFonts w:hint="eastAsia" w:ascii="宋体" w:hAnsi="宋体" w:cs="宋体"/>
                <w:color w:val="auto"/>
                <w:sz w:val="24"/>
                <w:szCs w:val="24"/>
              </w:rPr>
            </w:pPr>
          </w:p>
        </w:tc>
        <w:tc>
          <w:tcPr>
            <w:tcW w:w="823" w:type="dxa"/>
            <w:noWrap w:val="0"/>
            <w:vAlign w:val="top"/>
          </w:tcPr>
          <w:p w14:paraId="54E57075">
            <w:pPr>
              <w:spacing w:line="360" w:lineRule="auto"/>
              <w:rPr>
                <w:rFonts w:hint="eastAsia" w:ascii="宋体" w:hAnsi="宋体" w:cs="宋体"/>
                <w:color w:val="auto"/>
                <w:sz w:val="24"/>
                <w:szCs w:val="24"/>
              </w:rPr>
            </w:pPr>
          </w:p>
        </w:tc>
        <w:tc>
          <w:tcPr>
            <w:tcW w:w="686" w:type="dxa"/>
            <w:noWrap w:val="0"/>
            <w:vAlign w:val="top"/>
          </w:tcPr>
          <w:p w14:paraId="1917B1AB">
            <w:pPr>
              <w:spacing w:line="360" w:lineRule="auto"/>
              <w:rPr>
                <w:rFonts w:hint="eastAsia" w:ascii="宋体" w:hAnsi="宋体" w:cs="宋体"/>
                <w:color w:val="auto"/>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960" w:type="dxa"/>
            <w:noWrap w:val="0"/>
            <w:vAlign w:val="top"/>
          </w:tcPr>
          <w:p w14:paraId="7014D978">
            <w:pPr>
              <w:spacing w:line="360" w:lineRule="auto"/>
              <w:rPr>
                <w:rFonts w:hint="eastAsia" w:ascii="宋体" w:hAnsi="宋体" w:cs="宋体"/>
                <w:color w:val="auto"/>
                <w:sz w:val="24"/>
                <w:szCs w:val="24"/>
              </w:rPr>
            </w:pPr>
          </w:p>
        </w:tc>
        <w:tc>
          <w:tcPr>
            <w:tcW w:w="1078" w:type="dxa"/>
            <w:noWrap w:val="0"/>
            <w:vAlign w:val="top"/>
          </w:tcPr>
          <w:p w14:paraId="003B2135">
            <w:pPr>
              <w:spacing w:line="360" w:lineRule="auto"/>
              <w:rPr>
                <w:rFonts w:hint="eastAsia" w:ascii="宋体" w:hAnsi="宋体" w:cs="宋体"/>
                <w:color w:val="auto"/>
                <w:sz w:val="24"/>
                <w:szCs w:val="24"/>
              </w:rPr>
            </w:pPr>
          </w:p>
        </w:tc>
        <w:tc>
          <w:tcPr>
            <w:tcW w:w="1106" w:type="dxa"/>
            <w:noWrap w:val="0"/>
            <w:vAlign w:val="top"/>
          </w:tcPr>
          <w:p w14:paraId="6B77D70A">
            <w:pPr>
              <w:spacing w:line="360" w:lineRule="auto"/>
              <w:rPr>
                <w:rFonts w:hint="eastAsia" w:ascii="宋体" w:hAnsi="宋体" w:cs="宋体"/>
                <w:color w:val="auto"/>
                <w:sz w:val="24"/>
                <w:szCs w:val="24"/>
              </w:rPr>
            </w:pPr>
          </w:p>
        </w:tc>
        <w:tc>
          <w:tcPr>
            <w:tcW w:w="950" w:type="dxa"/>
            <w:noWrap w:val="0"/>
            <w:vAlign w:val="top"/>
          </w:tcPr>
          <w:p w14:paraId="647D81FD">
            <w:pPr>
              <w:spacing w:line="360" w:lineRule="auto"/>
              <w:rPr>
                <w:rFonts w:hint="eastAsia" w:ascii="宋体" w:hAnsi="宋体" w:cs="宋体"/>
                <w:color w:val="auto"/>
                <w:sz w:val="24"/>
                <w:szCs w:val="24"/>
              </w:rPr>
            </w:pPr>
          </w:p>
        </w:tc>
        <w:tc>
          <w:tcPr>
            <w:tcW w:w="1164" w:type="dxa"/>
            <w:noWrap w:val="0"/>
            <w:vAlign w:val="top"/>
          </w:tcPr>
          <w:p w14:paraId="5B49DF4E">
            <w:pPr>
              <w:spacing w:line="360" w:lineRule="auto"/>
              <w:rPr>
                <w:rFonts w:hint="eastAsia" w:ascii="宋体" w:hAnsi="宋体" w:cs="宋体"/>
                <w:color w:val="auto"/>
                <w:sz w:val="24"/>
                <w:szCs w:val="24"/>
              </w:rPr>
            </w:pPr>
          </w:p>
        </w:tc>
        <w:tc>
          <w:tcPr>
            <w:tcW w:w="780" w:type="dxa"/>
            <w:noWrap w:val="0"/>
            <w:vAlign w:val="top"/>
          </w:tcPr>
          <w:p w14:paraId="460D2788">
            <w:pPr>
              <w:spacing w:line="360" w:lineRule="auto"/>
              <w:rPr>
                <w:rFonts w:hint="eastAsia" w:ascii="宋体" w:hAnsi="宋体" w:cs="宋体"/>
                <w:color w:val="auto"/>
                <w:sz w:val="24"/>
                <w:szCs w:val="24"/>
              </w:rPr>
            </w:pPr>
          </w:p>
        </w:tc>
        <w:tc>
          <w:tcPr>
            <w:tcW w:w="824" w:type="dxa"/>
            <w:noWrap w:val="0"/>
            <w:vAlign w:val="top"/>
          </w:tcPr>
          <w:p w14:paraId="4620E182">
            <w:pPr>
              <w:spacing w:line="360" w:lineRule="auto"/>
              <w:rPr>
                <w:rFonts w:hint="eastAsia" w:ascii="宋体" w:hAnsi="宋体" w:cs="宋体"/>
                <w:color w:val="auto"/>
                <w:sz w:val="24"/>
                <w:szCs w:val="24"/>
              </w:rPr>
            </w:pPr>
          </w:p>
        </w:tc>
        <w:tc>
          <w:tcPr>
            <w:tcW w:w="823" w:type="dxa"/>
            <w:noWrap w:val="0"/>
            <w:vAlign w:val="top"/>
          </w:tcPr>
          <w:p w14:paraId="3851035D">
            <w:pPr>
              <w:spacing w:line="360" w:lineRule="auto"/>
              <w:rPr>
                <w:rFonts w:hint="eastAsia" w:ascii="宋体" w:hAnsi="宋体" w:cs="宋体"/>
                <w:color w:val="auto"/>
                <w:sz w:val="24"/>
                <w:szCs w:val="24"/>
              </w:rPr>
            </w:pPr>
          </w:p>
        </w:tc>
        <w:tc>
          <w:tcPr>
            <w:tcW w:w="686" w:type="dxa"/>
            <w:noWrap w:val="0"/>
            <w:vAlign w:val="top"/>
          </w:tcPr>
          <w:p w14:paraId="1689247E">
            <w:pPr>
              <w:spacing w:line="360" w:lineRule="auto"/>
              <w:rPr>
                <w:rFonts w:hint="eastAsia" w:ascii="宋体" w:hAnsi="宋体" w:cs="宋体"/>
                <w:color w:val="auto"/>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color w:val="auto"/>
                <w:sz w:val="24"/>
                <w:szCs w:val="24"/>
              </w:rPr>
            </w:pPr>
            <w:r>
              <w:rPr>
                <w:rFonts w:hint="eastAsia" w:ascii="宋体" w:hAnsi="宋体" w:cs="宋体"/>
                <w:color w:val="auto"/>
                <w:szCs w:val="21"/>
              </w:rPr>
              <w:t>合计（人民币）</w:t>
            </w:r>
          </w:p>
        </w:tc>
      </w:tr>
    </w:tbl>
    <w:p w14:paraId="0E5479DF">
      <w:pPr>
        <w:spacing w:line="360" w:lineRule="auto"/>
        <w:jc w:val="both"/>
        <w:rPr>
          <w:rFonts w:hint="eastAsia" w:ascii="宋体" w:hAnsi="宋体" w:cs="宋体"/>
          <w:color w:val="auto"/>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auto"/>
        </w:rPr>
        <w:t>供应商：（加盖公章）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color w:val="auto"/>
          <w:sz w:val="24"/>
          <w:szCs w:val="24"/>
        </w:rPr>
      </w:pPr>
      <w:r>
        <w:rPr>
          <w:rFonts w:hint="eastAsia" w:ascii="Times New Roman" w:hAnsi="Times New Roman" w:cs="Times New Roman"/>
          <w:color w:val="auto"/>
        </w:rPr>
        <w:t>日　期：　　年　月　日</w:t>
      </w:r>
    </w:p>
    <w:p w14:paraId="4B04B7C8">
      <w:pPr>
        <w:spacing w:line="440" w:lineRule="exact"/>
        <w:rPr>
          <w:rFonts w:hint="eastAsia" w:ascii="宋体" w:hAnsi="宋体" w:cs="宋体"/>
          <w:b/>
          <w:color w:val="auto"/>
          <w:sz w:val="24"/>
          <w:lang w:val="en-US" w:eastAsia="zh-CN"/>
        </w:rPr>
      </w:pPr>
      <w:r>
        <w:rPr>
          <w:rFonts w:hint="eastAsia" w:ascii="宋体" w:hAnsi="宋体" w:cs="宋体"/>
          <w:b/>
          <w:color w:val="auto"/>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2、类别填写：节能环保产品或环境标志产品</w:t>
      </w:r>
    </w:p>
    <w:p w14:paraId="4D0FC40E">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2AEDE07">
      <w:pPr>
        <w:spacing w:line="360" w:lineRule="atLeast"/>
        <w:jc w:val="center"/>
        <w:rPr>
          <w:rFonts w:ascii="仿宋" w:hAnsi="仿宋" w:eastAsia="仿宋" w:cs="仿宋"/>
          <w:b/>
          <w:color w:val="auto"/>
          <w:szCs w:val="21"/>
        </w:rPr>
      </w:pPr>
    </w:p>
    <w:p w14:paraId="1AA597DD">
      <w:pPr>
        <w:spacing w:line="360" w:lineRule="atLeast"/>
        <w:jc w:val="center"/>
        <w:rPr>
          <w:rFonts w:ascii="仿宋" w:hAnsi="仿宋" w:eastAsia="仿宋" w:cs="仿宋"/>
          <w:b/>
          <w:color w:val="auto"/>
          <w:szCs w:val="21"/>
        </w:rPr>
      </w:pPr>
    </w:p>
    <w:p w14:paraId="7F329B9C">
      <w:pPr>
        <w:spacing w:line="360" w:lineRule="atLeast"/>
        <w:jc w:val="center"/>
        <w:rPr>
          <w:rFonts w:ascii="仿宋" w:hAnsi="仿宋" w:eastAsia="仿宋" w:cs="仿宋"/>
          <w:b/>
          <w:color w:val="auto"/>
          <w:szCs w:val="21"/>
        </w:rPr>
      </w:pPr>
    </w:p>
    <w:p w14:paraId="42CB5EA7">
      <w:pPr>
        <w:spacing w:line="360" w:lineRule="atLeast"/>
        <w:jc w:val="center"/>
        <w:rPr>
          <w:rFonts w:ascii="仿宋" w:hAnsi="仿宋" w:eastAsia="仿宋" w:cs="仿宋"/>
          <w:b/>
          <w:color w:val="auto"/>
          <w:szCs w:val="21"/>
        </w:rPr>
      </w:pPr>
    </w:p>
    <w:p w14:paraId="3D362BE4">
      <w:pPr>
        <w:spacing w:line="360" w:lineRule="atLeast"/>
        <w:jc w:val="center"/>
        <w:rPr>
          <w:rFonts w:ascii="仿宋" w:hAnsi="仿宋" w:eastAsia="仿宋" w:cs="仿宋"/>
          <w:b/>
          <w:color w:val="auto"/>
          <w:szCs w:val="21"/>
        </w:rPr>
      </w:pPr>
    </w:p>
    <w:p w14:paraId="44BAC978">
      <w:pPr>
        <w:spacing w:line="360" w:lineRule="atLeast"/>
        <w:jc w:val="center"/>
        <w:rPr>
          <w:rFonts w:ascii="仿宋" w:hAnsi="仿宋" w:eastAsia="仿宋" w:cs="仿宋"/>
          <w:b/>
          <w:color w:val="auto"/>
          <w:szCs w:val="21"/>
        </w:rPr>
      </w:pPr>
    </w:p>
    <w:p w14:paraId="750F9BAC">
      <w:pPr>
        <w:spacing w:line="360" w:lineRule="atLeast"/>
        <w:jc w:val="center"/>
        <w:rPr>
          <w:rFonts w:ascii="仿宋" w:hAnsi="仿宋" w:eastAsia="仿宋" w:cs="仿宋"/>
          <w:b/>
          <w:color w:val="auto"/>
          <w:szCs w:val="21"/>
        </w:rPr>
      </w:pPr>
    </w:p>
    <w:p w14:paraId="4052EECA">
      <w:pPr>
        <w:spacing w:line="360" w:lineRule="atLeast"/>
        <w:jc w:val="center"/>
        <w:rPr>
          <w:rFonts w:ascii="仿宋" w:hAnsi="仿宋" w:eastAsia="仿宋" w:cs="仿宋"/>
          <w:b/>
          <w:color w:val="auto"/>
          <w:szCs w:val="21"/>
        </w:rPr>
      </w:pPr>
    </w:p>
    <w:p w14:paraId="6AB881A3">
      <w:pPr>
        <w:spacing w:line="360" w:lineRule="atLeast"/>
        <w:jc w:val="center"/>
        <w:rPr>
          <w:rFonts w:ascii="仿宋" w:hAnsi="仿宋" w:eastAsia="仿宋" w:cs="仿宋"/>
          <w:b/>
          <w:color w:val="auto"/>
          <w:szCs w:val="21"/>
        </w:rPr>
      </w:pPr>
    </w:p>
    <w:p w14:paraId="7B72AAE1">
      <w:pPr>
        <w:spacing w:line="360" w:lineRule="atLeast"/>
        <w:jc w:val="center"/>
        <w:rPr>
          <w:rFonts w:ascii="仿宋" w:hAnsi="仿宋" w:eastAsia="仿宋" w:cs="仿宋"/>
          <w:b/>
          <w:color w:val="auto"/>
          <w:szCs w:val="21"/>
        </w:rPr>
      </w:pPr>
    </w:p>
    <w:p w14:paraId="52E2629C">
      <w:pPr>
        <w:spacing w:line="240" w:lineRule="auto"/>
        <w:jc w:val="center"/>
        <w:outlineLvl w:val="1"/>
        <w:rPr>
          <w:rFonts w:ascii="Calibri Light" w:hAnsi="Calibri Light" w:eastAsia="黑体" w:cs="Times New Roman"/>
          <w:color w:val="1E386B"/>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1.</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b/>
          <w:bCs/>
          <w:color w:val="000000"/>
          <w:kern w:val="2"/>
          <w:sz w:val="24"/>
          <w:szCs w:val="24"/>
          <w:u w:val="none"/>
          <w:shd w:val="clear" w:fill="FFFFFF"/>
          <w:vertAlign w:val="superscript"/>
          <w:lang w:val="en-US" w:eastAsia="zh-CN" w:bidi="ar-SA"/>
        </w:rPr>
        <w:t>1</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b/>
          <w:bCs/>
          <w:color w:val="000000"/>
          <w:kern w:val="2"/>
          <w:sz w:val="24"/>
          <w:szCs w:val="24"/>
          <w:u w:val="none"/>
          <w:shd w:val="clear" w:fill="FFFFFF"/>
          <w:vertAlign w:val="superscript"/>
          <w:lang w:val="en-US" w:eastAsia="zh-CN" w:bidi="ar-SA"/>
        </w:rPr>
        <w:t>2</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b/>
          <w:bCs/>
          <w:color w:val="000000"/>
          <w:kern w:val="2"/>
          <w:sz w:val="24"/>
          <w:szCs w:val="24"/>
          <w:u w:val="none"/>
          <w:shd w:val="clear" w:fill="FFFFFF"/>
          <w:vertAlign w:val="superscript"/>
          <w:lang w:val="en-US" w:eastAsia="zh-CN" w:bidi="ar-SA"/>
        </w:rPr>
        <w:t>3</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b/>
          <w:bCs/>
          <w:color w:val="000000"/>
          <w:kern w:val="2"/>
          <w:sz w:val="24"/>
          <w:szCs w:val="24"/>
          <w:u w:val="none"/>
          <w:shd w:val="clear" w:fill="FFFFFF"/>
          <w:vertAlign w:val="superscript"/>
          <w:lang w:val="en-US" w:eastAsia="zh-CN" w:bidi="ar-SA"/>
        </w:rPr>
        <w:t>4</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b/>
          <w:bCs/>
          <w:color w:val="000000"/>
          <w:kern w:val="2"/>
          <w:sz w:val="24"/>
          <w:szCs w:val="24"/>
          <w:u w:val="none"/>
          <w:shd w:val="clear" w:fill="FFFFFF"/>
          <w:vertAlign w:val="superscript"/>
          <w:lang w:val="en-US" w:eastAsia="zh-CN" w:bidi="ar-SA"/>
        </w:rPr>
        <w:t>5</w:t>
      </w:r>
      <w:r>
        <w:rPr>
          <w:rFonts w:hint="eastAsia" w:ascii="宋体" w:hAnsi="宋体" w:eastAsia="宋体" w:cs="宋体"/>
          <w:color w:val="000000"/>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2.</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color w:val="000000"/>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000000"/>
          <w:kern w:val="0"/>
          <w:sz w:val="24"/>
          <w:szCs w:val="24"/>
          <w:u w:val="none"/>
          <w:shd w:val="clear" w:fill="FFFFFF"/>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kern w:val="0"/>
          <w:sz w:val="28"/>
          <w:szCs w:val="28"/>
          <w:lang w:val="en-US" w:eastAsia="zh-CN" w:bidi="ar-SA"/>
        </w:rPr>
      </w:pPr>
      <w:r>
        <w:rPr>
          <w:rFonts w:hint="eastAsia" w:ascii="宋体" w:hAnsi="宋体" w:eastAsia="宋体" w:cs="宋体"/>
          <w:color w:val="000000"/>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000000"/>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3.该产品的中国境内生产的组件成本占比相关要求实施前，“规定比例”栏可不填，下同。</w:t>
      </w:r>
    </w:p>
    <w:p w14:paraId="297A09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r>
        <w:rPr>
          <w:rFonts w:hint="eastAsia" w:ascii="仿宋" w:hAnsi="仿宋" w:eastAsia="仿宋" w:cs="仿宋"/>
          <w:color w:val="000000"/>
          <w:kern w:val="0"/>
          <w:sz w:val="21"/>
          <w:szCs w:val="21"/>
          <w:u w:val="none"/>
          <w:shd w:val="clear" w:fill="FFFFFF"/>
          <w:lang w:val="en-US" w:eastAsia="zh-CN" w:bidi="ar-SA"/>
        </w:rPr>
        <w:t>4.该产品的关键组件要求实施前，“关键组件”栏可不填，下同。</w:t>
      </w:r>
    </w:p>
    <w:p w14:paraId="055335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仿宋" w:hAnsi="仿宋" w:eastAsia="仿宋" w:cs="仿宋"/>
          <w:b/>
          <w:color w:val="auto"/>
          <w:szCs w:val="21"/>
        </w:rPr>
      </w:pPr>
      <w:r>
        <w:rPr>
          <w:rFonts w:hint="eastAsia" w:ascii="仿宋" w:hAnsi="仿宋" w:eastAsia="仿宋" w:cs="仿宋"/>
          <w:color w:val="000000"/>
          <w:kern w:val="0"/>
          <w:sz w:val="21"/>
          <w:szCs w:val="21"/>
          <w:u w:val="none"/>
          <w:shd w:val="clear" w:fill="FFFFFF"/>
          <w:lang w:val="en-US" w:eastAsia="zh-CN" w:bidi="ar-SA"/>
        </w:rPr>
        <w:t>5.该产品的关键工序要求实施前，“关键工序”栏可不填，下同。</w:t>
      </w:r>
    </w:p>
    <w:p w14:paraId="7CC9990E">
      <w:pPr>
        <w:pStyle w:val="33"/>
        <w:jc w:val="center"/>
        <w:rPr>
          <w:rFonts w:ascii="仿宋" w:hAnsi="仿宋" w:eastAsia="仿宋" w:cs="仿宋"/>
          <w:color w:val="auto"/>
        </w:rPr>
      </w:pPr>
      <w:r>
        <w:rPr>
          <w:rFonts w:hint="eastAsia" w:ascii="宋体" w:hAnsi="宋体" w:eastAsia="宋体" w:cs="宋体"/>
          <w:b/>
          <w:bCs/>
          <w:color w:val="auto"/>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bCs/>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val="en-US" w:eastAsia="zh-CN"/>
        </w:rPr>
        <w:t>鸡苗及饲料核心技术参数符合性</w:t>
      </w:r>
      <w:r>
        <w:rPr>
          <w:rFonts w:hint="eastAsia" w:ascii="宋体" w:hAnsi="宋体" w:eastAsia="宋体" w:cs="宋体"/>
          <w:b/>
          <w:bCs/>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r>
        <w:rPr>
          <w:rFonts w:hint="eastAsia" w:ascii="宋体" w:hAnsi="宋体" w:eastAsia="宋体" w:cs="宋体"/>
          <w:b/>
          <w:bCs/>
          <w:color w:val="auto"/>
          <w:kern w:val="0"/>
          <w:sz w:val="24"/>
          <w:szCs w:val="24"/>
          <w:highlight w:val="none"/>
          <w:lang w:val="en-US" w:eastAsia="zh-CN"/>
        </w:rPr>
        <w:t>防疫溯源及检测保障方案</w:t>
      </w:r>
      <w:r>
        <w:rPr>
          <w:rFonts w:hint="eastAsia" w:ascii="宋体" w:hAnsi="宋体" w:eastAsia="宋体" w:cs="宋体"/>
          <w:b/>
          <w:bCs/>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r>
        <w:rPr>
          <w:rFonts w:hint="eastAsia" w:ascii="宋体" w:hAnsi="宋体" w:eastAsia="宋体" w:cs="宋体"/>
          <w:b/>
          <w:bCs/>
          <w:color w:val="auto"/>
          <w:kern w:val="0"/>
          <w:sz w:val="24"/>
          <w:szCs w:val="24"/>
          <w:highlight w:val="none"/>
          <w:lang w:val="en-US" w:eastAsia="zh-CN"/>
        </w:rPr>
        <w:t>人员</w:t>
      </w:r>
      <w:r>
        <w:rPr>
          <w:rFonts w:hint="eastAsia" w:ascii="宋体" w:hAnsi="宋体" w:eastAsia="宋体" w:cs="宋体"/>
          <w:b/>
          <w:bCs/>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供货组织安排</w:t>
      </w:r>
      <w:r>
        <w:rPr>
          <w:rFonts w:hint="eastAsia" w:ascii="宋体" w:hAnsi="宋体" w:eastAsia="宋体" w:cs="宋体"/>
          <w:b/>
          <w:bCs/>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r>
        <w:rPr>
          <w:rFonts w:hint="eastAsia" w:ascii="宋体" w:hAnsi="宋体" w:eastAsia="宋体" w:cs="宋体"/>
          <w:b/>
          <w:bCs/>
          <w:color w:val="auto"/>
          <w:kern w:val="0"/>
          <w:sz w:val="24"/>
          <w:szCs w:val="24"/>
          <w:highlight w:val="none"/>
          <w:lang w:val="en-US" w:eastAsia="zh-CN"/>
        </w:rPr>
        <w:t>质保及售后承诺</w:t>
      </w:r>
      <w:r>
        <w:rPr>
          <w:rFonts w:hint="eastAsia" w:ascii="宋体" w:hAnsi="宋体" w:eastAsia="宋体" w:cs="宋体"/>
          <w:b/>
          <w:bCs/>
          <w:color w:val="auto"/>
          <w:kern w:val="0"/>
          <w:sz w:val="24"/>
          <w:szCs w:val="24"/>
          <w:highlight w:val="none"/>
        </w:rPr>
        <w:t>；</w:t>
      </w:r>
    </w:p>
    <w:p w14:paraId="05D21AC4">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（六）</w:t>
      </w:r>
      <w:r>
        <w:rPr>
          <w:rFonts w:hint="eastAsia" w:ascii="宋体" w:hAnsi="宋体" w:eastAsia="宋体" w:cs="宋体"/>
          <w:b/>
          <w:bCs/>
          <w:color w:val="auto"/>
          <w:kern w:val="0"/>
          <w:sz w:val="24"/>
          <w:szCs w:val="24"/>
          <w:highlight w:val="none"/>
          <w:lang w:val="en-US" w:eastAsia="zh-CN"/>
        </w:rPr>
        <w:t>业绩</w:t>
      </w:r>
      <w:r>
        <w:rPr>
          <w:rFonts w:hint="eastAsia" w:ascii="宋体" w:hAnsi="宋体" w:cs="宋体"/>
          <w:b/>
          <w:bCs/>
          <w:color w:val="auto"/>
          <w:kern w:val="0"/>
          <w:sz w:val="24"/>
          <w:szCs w:val="24"/>
          <w:highlight w:val="none"/>
          <w:lang w:val="en-US" w:eastAsia="zh-CN"/>
        </w:rPr>
        <w:t>；</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rPr>
        <w:t>其他</w:t>
      </w:r>
      <w:r>
        <w:rPr>
          <w:rFonts w:hint="eastAsia" w:ascii="宋体" w:hAnsi="宋体" w:eastAsia="宋体" w:cs="宋体"/>
          <w:b/>
          <w:bCs/>
          <w:color w:val="auto"/>
          <w:kern w:val="0"/>
          <w:sz w:val="24"/>
          <w:szCs w:val="24"/>
          <w:highlight w:val="none"/>
          <w:lang w:val="en-US" w:eastAsia="zh-CN"/>
        </w:rPr>
        <w:t>需要说明的事项</w:t>
      </w:r>
      <w:r>
        <w:rPr>
          <w:rFonts w:hint="eastAsia" w:ascii="宋体" w:hAnsi="宋体" w:eastAsia="宋体" w:cs="宋体"/>
          <w:b/>
          <w:bCs/>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szCs w:val="24"/>
          <w:highlight w:val="none"/>
          <w:lang w:val="en-US" w:eastAsia="zh-CN"/>
        </w:rPr>
        <w:t>供货期</w:t>
      </w:r>
      <w:r>
        <w:rPr>
          <w:rFonts w:hint="eastAsia" w:ascii="宋体" w:hAnsi="宋体" w:eastAsia="宋体" w:cs="宋体"/>
          <w:color w:val="auto"/>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5D828DB7">
      <w:pPr>
        <w:pStyle w:val="10"/>
        <w:spacing w:line="360" w:lineRule="auto"/>
        <w:jc w:val="center"/>
        <w:rPr>
          <w:rFonts w:hint="eastAsia" w:ascii="仿宋" w:hAnsi="仿宋" w:eastAsia="仿宋" w:cs="仿宋"/>
          <w:b/>
          <w:color w:val="auto"/>
          <w:sz w:val="32"/>
          <w:lang w:val="en-US" w:eastAsia="zh-CN"/>
        </w:rPr>
      </w:pP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5CD3E120">
      <w:pPr>
        <w:spacing w:before="156" w:beforeLines="50" w:line="360" w:lineRule="auto"/>
        <w:jc w:val="center"/>
        <w:rPr>
          <w:rFonts w:hint="eastAsia" w:ascii="宋体" w:hAnsi="宋体" w:eastAsia="宋体" w:cs="宋体"/>
          <w:b/>
          <w:color w:val="auto"/>
          <w:kern w:val="2"/>
          <w:sz w:val="32"/>
          <w:szCs w:val="21"/>
          <w:lang w:val="en-US" w:eastAsia="zh-CN" w:bidi="ar-SA"/>
        </w:rPr>
      </w:pPr>
      <w:r>
        <w:rPr>
          <w:rFonts w:hint="eastAsia" w:ascii="宋体" w:hAnsi="宋体" w:eastAsia="宋体" w:cs="宋体"/>
          <w:b/>
          <w:color w:val="auto"/>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color w:val="auto"/>
          <w:sz w:val="24"/>
          <w:szCs w:val="24"/>
        </w:rPr>
      </w:pPr>
    </w:p>
    <w:p w14:paraId="305E94C6">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，现郑重承诺：</w:t>
      </w:r>
    </w:p>
    <w:p w14:paraId="778026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w:t>
      </w:r>
      <w:r>
        <w:rPr>
          <w:rFonts w:hint="eastAsia" w:ascii="宋体" w:hAnsi="宋体" w:cs="宋体"/>
          <w:color w:val="auto"/>
          <w:sz w:val="24"/>
          <w:szCs w:val="24"/>
          <w:lang w:eastAsia="zh-CN"/>
        </w:rPr>
        <w:t>、</w:t>
      </w:r>
      <w:r>
        <w:rPr>
          <w:rFonts w:hint="eastAsia" w:ascii="宋体" w:hAnsi="宋体" w:eastAsia="宋体" w:cs="宋体"/>
          <w:color w:val="auto"/>
          <w:sz w:val="24"/>
          <w:szCs w:val="24"/>
        </w:rPr>
        <w:t>调试</w:t>
      </w:r>
      <w:r>
        <w:rPr>
          <w:rFonts w:hint="eastAsia" w:ascii="宋体" w:hAnsi="宋体" w:cs="宋体"/>
          <w:color w:val="auto"/>
          <w:sz w:val="24"/>
          <w:szCs w:val="24"/>
          <w:lang w:eastAsia="zh-CN"/>
        </w:rPr>
        <w:t>、</w:t>
      </w:r>
      <w:r>
        <w:rPr>
          <w:rFonts w:hint="eastAsia" w:ascii="宋体" w:hAnsi="宋体" w:eastAsia="宋体" w:cs="宋体"/>
          <w:color w:val="auto"/>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color w:val="auto"/>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416C7CF1">
      <w:pPr>
        <w:spacing w:before="156" w:beforeLines="50"/>
        <w:rPr>
          <w:rFonts w:hint="eastAsia" w:ascii="宋体" w:hAnsi="宋体" w:eastAsia="宋体" w:cs="宋体"/>
          <w:b/>
          <w:color w:val="auto"/>
        </w:rPr>
      </w:pPr>
    </w:p>
    <w:p w14:paraId="25EB4F7B">
      <w:pPr>
        <w:spacing w:before="156" w:beforeLines="50"/>
        <w:rPr>
          <w:rFonts w:hint="eastAsia" w:ascii="宋体" w:hAnsi="宋体" w:eastAsia="宋体" w:cs="宋体"/>
          <w:b/>
          <w:color w:val="auto"/>
        </w:rPr>
      </w:pPr>
    </w:p>
    <w:p w14:paraId="3134890E">
      <w:pPr>
        <w:spacing w:before="156" w:beforeLines="50"/>
        <w:rPr>
          <w:rFonts w:hint="eastAsia" w:ascii="宋体" w:hAnsi="宋体" w:eastAsia="宋体" w:cs="宋体"/>
          <w:b/>
          <w:color w:val="auto"/>
        </w:rPr>
      </w:pPr>
    </w:p>
    <w:p w14:paraId="6FA3905C">
      <w:pPr>
        <w:spacing w:before="156" w:beforeLines="50"/>
        <w:rPr>
          <w:rFonts w:hint="eastAsia" w:ascii="宋体" w:hAnsi="宋体" w:eastAsia="宋体" w:cs="宋体"/>
          <w:b/>
          <w:color w:val="auto"/>
        </w:rPr>
      </w:pPr>
    </w:p>
    <w:p w14:paraId="735757F8">
      <w:pPr>
        <w:spacing w:before="156" w:beforeLines="50"/>
        <w:rPr>
          <w:rFonts w:hint="eastAsia" w:ascii="宋体" w:hAnsi="宋体" w:eastAsia="宋体" w:cs="宋体"/>
          <w:b/>
          <w:color w:val="auto"/>
        </w:rPr>
      </w:pPr>
    </w:p>
    <w:p w14:paraId="1E997B2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三）</w:t>
      </w:r>
      <w:r>
        <w:rPr>
          <w:rFonts w:hint="eastAsia" w:ascii="宋体" w:hAnsi="宋体" w:eastAsia="宋体" w:cs="宋体"/>
          <w:b/>
          <w:color w:val="auto"/>
          <w:sz w:val="24"/>
          <w:szCs w:val="32"/>
        </w:rPr>
        <w:t>承诺书</w:t>
      </w:r>
    </w:p>
    <w:p w14:paraId="1B923048">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B62DD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97BDCB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03E2EE">
      <w:pPr>
        <w:spacing w:line="360" w:lineRule="atLeast"/>
        <w:rPr>
          <w:rFonts w:hint="eastAsia" w:ascii="宋体" w:hAnsi="宋体" w:eastAsia="宋体" w:cs="宋体"/>
          <w:b/>
          <w:color w:val="auto"/>
          <w:lang w:eastAsia="zh-CN"/>
        </w:rPr>
      </w:pPr>
    </w:p>
    <w:p w14:paraId="1D2EC6A8">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四）</w:t>
      </w:r>
      <w:r>
        <w:rPr>
          <w:rFonts w:hint="eastAsia" w:ascii="宋体" w:hAnsi="宋体" w:eastAsia="宋体" w:cs="宋体"/>
          <w:b/>
          <w:color w:val="auto"/>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3613D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6AC432C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B8E7936">
      <w:pPr>
        <w:spacing w:line="360" w:lineRule="atLeast"/>
        <w:rPr>
          <w:rFonts w:hint="eastAsia" w:ascii="宋体" w:hAnsi="宋体" w:eastAsia="宋体" w:cs="宋体"/>
          <w:b/>
          <w:color w:val="auto"/>
          <w:sz w:val="32"/>
          <w:szCs w:val="32"/>
        </w:rPr>
      </w:pPr>
    </w:p>
    <w:p w14:paraId="2EDAA0DE">
      <w:pPr>
        <w:spacing w:line="360" w:lineRule="atLeast"/>
        <w:jc w:val="center"/>
        <w:rPr>
          <w:rFonts w:hint="eastAsia" w:ascii="宋体" w:hAnsi="宋体" w:eastAsia="宋体" w:cs="宋体"/>
          <w:b/>
          <w:color w:val="auto"/>
          <w:sz w:val="32"/>
          <w:szCs w:val="32"/>
        </w:rPr>
      </w:pPr>
    </w:p>
    <w:p w14:paraId="3D025070">
      <w:pPr>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五）</w:t>
      </w:r>
      <w:r>
        <w:rPr>
          <w:rFonts w:hint="eastAsia" w:ascii="宋体" w:hAnsi="宋体" w:eastAsia="宋体" w:cs="宋体"/>
          <w:b/>
          <w:color w:val="auto"/>
          <w:sz w:val="24"/>
          <w:szCs w:val="32"/>
        </w:rPr>
        <w:t>承诺书</w:t>
      </w:r>
    </w:p>
    <w:p w14:paraId="18AC033B">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cs="宋体"/>
                <w:color w:val="auto"/>
                <w:sz w:val="24"/>
                <w:lang w:val="en-US" w:eastAsia="zh-CN"/>
              </w:rPr>
              <w:t>供货</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16344CA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59505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532E5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400AA66">
      <w:pPr>
        <w:spacing w:line="360" w:lineRule="atLeast"/>
        <w:rPr>
          <w:rFonts w:hint="eastAsia" w:ascii="宋体" w:hAnsi="宋体" w:eastAsia="宋体" w:cs="宋体"/>
          <w:b/>
          <w:color w:val="auto"/>
          <w:lang w:eastAsia="zh-CN"/>
        </w:rPr>
      </w:pPr>
    </w:p>
    <w:p w14:paraId="4F3AE159">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六）</w:t>
      </w:r>
      <w:r>
        <w:rPr>
          <w:rFonts w:hint="eastAsia" w:ascii="宋体" w:hAnsi="宋体" w:eastAsia="宋体" w:cs="宋体"/>
          <w:b/>
          <w:color w:val="auto"/>
          <w:sz w:val="24"/>
          <w:szCs w:val="32"/>
        </w:rPr>
        <w:t>承诺书</w:t>
      </w:r>
    </w:p>
    <w:p w14:paraId="12C958F2">
      <w:pPr>
        <w:spacing w:line="360" w:lineRule="auto"/>
        <w:ind w:right="480"/>
        <w:rPr>
          <w:rFonts w:hint="eastAsia" w:ascii="宋体" w:hAnsi="宋体" w:eastAsia="宋体" w:cs="宋体"/>
          <w:color w:val="auto"/>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E03AB5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AE7417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88D15D">
      <w:pPr>
        <w:spacing w:line="360" w:lineRule="atLeast"/>
        <w:rPr>
          <w:rFonts w:hint="eastAsia" w:ascii="仿宋" w:hAnsi="仿宋" w:eastAsia="仿宋" w:cs="仿宋"/>
          <w:b/>
          <w:sz w:val="32"/>
          <w:szCs w:val="32"/>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w:t>
      </w:r>
      <w:r>
        <w:rPr>
          <w:rFonts w:hint="eastAsia" w:ascii="宋体" w:hAnsi="宋体" w:cs="宋体"/>
          <w:b/>
          <w:sz w:val="32"/>
          <w:szCs w:val="32"/>
          <w:lang w:val="en-US" w:eastAsia="zh-CN"/>
        </w:rPr>
        <w:t>七</w:t>
      </w:r>
      <w:r>
        <w:rPr>
          <w:rFonts w:hint="eastAsia" w:ascii="宋体" w:hAnsi="宋体" w:eastAsia="宋体" w:cs="宋体"/>
          <w:b/>
          <w:sz w:val="32"/>
          <w:szCs w:val="32"/>
        </w:rPr>
        <w:t>）控股管理关系承诺书（格式）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126C9B3C">
      <w:pPr>
        <w:pStyle w:val="31"/>
        <w:numPr>
          <w:ilvl w:val="0"/>
          <w:numId w:val="14"/>
        </w:numPr>
        <w:rPr>
          <w:rFonts w:hint="eastAsia" w:ascii="宋体" w:hAnsi="宋体" w:eastAsia="宋体" w:cs="宋体"/>
        </w:rPr>
      </w:pPr>
      <w:r>
        <w:rPr>
          <w:rFonts w:hint="eastAsia" w:ascii="宋体" w:hAnsi="宋体" w:eastAsia="宋体" w:cs="宋体"/>
        </w:rPr>
        <w:t xml:space="preserve"> 响应文件封袋标识式样</w:t>
      </w:r>
    </w:p>
    <w:p w14:paraId="6E675E60">
      <w:pPr>
        <w:bidi w:val="0"/>
        <w:rPr>
          <w:rFonts w:hint="eastAsia"/>
          <w:lang w:val="en-US" w:eastAsia="zh-CN"/>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GZC2026-CS-039.1B1</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延安市甘泉县2026年省级林业草原改革发展资金林业产业（林下养鸡）发展补助项目(二次)</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GZC2026-CS-039.1B1</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延安市甘泉县2026年省级林业草原改革发展资金林业产业（林下养鸡）发展补助项目(二次)</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18" w:type="default"/>
          <w:footerReference r:id="rId19" w:type="default"/>
          <w:footerReference r:id="rId20" w:type="even"/>
          <w:pgSz w:w="11906" w:h="16838"/>
          <w:pgMar w:top="-1712" w:right="1279" w:bottom="1712" w:left="1361"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30AE7F0-2059-4381-90F2-9B98A943A35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C7B6F7B-8D0A-4862-B76C-63EBC8BA00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C03480C-C029-44AB-BFA3-7010663CCB73}"/>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4" w:fontKey="{0BF31EE7-D62C-47D9-86A8-8AC23CDE9CAB}"/>
  </w:font>
  <w:font w:name="华文仿宋">
    <w:altName w:val="仿宋"/>
    <w:panose1 w:val="02010600040101010101"/>
    <w:charset w:val="86"/>
    <w:family w:val="auto"/>
    <w:pitch w:val="default"/>
    <w:sig w:usb0="00000000" w:usb1="00000000" w:usb2="00000000" w:usb3="00000000" w:csb0="0004009F" w:csb1="DFD70000"/>
    <w:embedRegular r:id="rId5" w:fontKey="{4341BC6B-DC63-4072-A38C-3775DF4F9B25}"/>
  </w:font>
  <w:font w:name="仿宋">
    <w:panose1 w:val="02010609060101010101"/>
    <w:charset w:val="86"/>
    <w:family w:val="modern"/>
    <w:pitch w:val="default"/>
    <w:sig w:usb0="800002BF" w:usb1="38CF7CFA" w:usb2="00000016" w:usb3="00000000" w:csb0="00040001" w:csb1="00000000"/>
    <w:embedRegular r:id="rId6" w:fontKey="{A86FFB1C-C166-4EC2-85EE-28FDF1362F71}"/>
  </w:font>
  <w:font w:name="Cambria">
    <w:panose1 w:val="02040503050406030204"/>
    <w:charset w:val="00"/>
    <w:family w:val="roman"/>
    <w:pitch w:val="default"/>
    <w:sig w:usb0="E00006FF" w:usb1="420024FF" w:usb2="02000000" w:usb3="00000000" w:csb0="2000019F" w:csb1="00000000"/>
    <w:embedRegular r:id="rId7" w:fontKey="{FF651B4E-E6E5-468B-BD9E-1DE0E980DFB0}"/>
  </w:font>
  <w:font w:name="微软雅黑">
    <w:panose1 w:val="020B0503020204020204"/>
    <w:charset w:val="86"/>
    <w:family w:val="swiss"/>
    <w:pitch w:val="default"/>
    <w:sig w:usb0="80000287" w:usb1="2ACF3C50" w:usb2="00000016" w:usb3="00000000" w:csb0="0004001F" w:csb1="00000000"/>
    <w:embedRegular r:id="rId8" w:fontKey="{D8C54581-9DE6-4C26-8B11-8B3A27E035A4}"/>
  </w:font>
  <w:font w:name="仿宋_GB2312">
    <w:panose1 w:val="02010609030101010101"/>
    <w:charset w:val="86"/>
    <w:family w:val="auto"/>
    <w:pitch w:val="default"/>
    <w:sig w:usb0="00000001" w:usb1="080E0000" w:usb2="00000000" w:usb3="00000000" w:csb0="00040000" w:csb1="00000000"/>
    <w:embedRegular r:id="rId9" w:fontKey="{589606B8-C139-4B03-9669-67D3FD91C0E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0C9D4EB">
                    <w:pPr>
                      <w:pStyle w:val="11"/>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延安市甘泉县2026年省级林业草原改革发展资金林业产业（林下养鸡）发展补助项目(二次)</w:t>
    </w:r>
    <w:r>
      <w:rPr>
        <w:rFonts w:hint="eastAsia" w:ascii="宋体" w:hAnsi="宋体" w:cs="宋体"/>
      </w:rPr>
      <w:t xml:space="preserve"> 编号：</w:t>
    </w:r>
    <w:r>
      <w:rPr>
        <w:rFonts w:hint="eastAsia" w:ascii="宋体" w:hAnsi="宋体" w:cs="宋体"/>
        <w:lang w:eastAsia="zh-CN"/>
      </w:rPr>
      <w:t>GZC2026-CS-039.1B1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延安市甘泉县2026年省级林业草原改革发展资金林业产业（林下养鸡）发展补助项目(二次)</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GZC2026-CS-039.1B1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延安市甘泉县2026年省级林业草原改革发展资金林业产业（林下养鸡）发展补助项目(二次)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GZC2026-CS-039.1B1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延安市甘泉县2026年省级林业草原改革发展资金林业产业（林下养鸡）发展补助项目(二次)</w:t>
    </w:r>
    <w:r>
      <w:rPr>
        <w:rFonts w:hint="eastAsia" w:ascii="宋体" w:hAnsi="宋体" w:cs="宋体"/>
      </w:rPr>
      <w:t>编号：</w:t>
    </w:r>
    <w:r>
      <w:rPr>
        <w:rFonts w:hint="eastAsia" w:ascii="宋体" w:hAnsi="宋体" w:cs="宋体"/>
        <w:lang w:eastAsia="zh-CN"/>
      </w:rPr>
      <w:t>GZC2026-CS-039.1B1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延安市甘泉县2026年省级林业草原改革发展资金林业产业（林下养鸡）发展补助项目(二次)</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GZC2026-CS-039.1B1</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延安市甘泉县2026年省级林业草原改革发展资金林业产业（林下养鸡）发展补助项目(二次)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GZC2026-CS-039.1B1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A1B94303"/>
    <w:multiLevelType w:val="singleLevel"/>
    <w:tmpl w:val="A1B94303"/>
    <w:lvl w:ilvl="0" w:tentative="0">
      <w:start w:val="1"/>
      <w:numFmt w:val="chineseCounting"/>
      <w:suff w:val="nothing"/>
      <w:lvlText w:val="%1、"/>
      <w:lvlJc w:val="left"/>
      <w:rPr>
        <w:rFonts w:hint="eastAsia"/>
      </w:rPr>
    </w:lvl>
  </w:abstractNum>
  <w:abstractNum w:abstractNumId="2">
    <w:nsid w:val="BB0B38C1"/>
    <w:multiLevelType w:val="singleLevel"/>
    <w:tmpl w:val="BB0B38C1"/>
    <w:lvl w:ilvl="0" w:tentative="0">
      <w:start w:val="1"/>
      <w:numFmt w:val="decimal"/>
      <w:suff w:val="nothing"/>
      <w:lvlText w:val="%1、"/>
      <w:lvlJc w:val="left"/>
    </w:lvl>
  </w:abstractNum>
  <w:abstractNum w:abstractNumId="3">
    <w:nsid w:val="C3855960"/>
    <w:multiLevelType w:val="singleLevel"/>
    <w:tmpl w:val="C3855960"/>
    <w:lvl w:ilvl="0" w:tentative="0">
      <w:start w:val="1"/>
      <w:numFmt w:val="decimal"/>
      <w:lvlText w:val="%1."/>
      <w:lvlJc w:val="left"/>
      <w:pPr>
        <w:tabs>
          <w:tab w:val="left" w:pos="312"/>
        </w:tabs>
      </w:pPr>
    </w:lvl>
  </w:abstractNum>
  <w:abstractNum w:abstractNumId="4">
    <w:nsid w:val="C39CE7D4"/>
    <w:multiLevelType w:val="singleLevel"/>
    <w:tmpl w:val="C39CE7D4"/>
    <w:lvl w:ilvl="0" w:tentative="0">
      <w:start w:val="1"/>
      <w:numFmt w:val="decimal"/>
      <w:suff w:val="nothing"/>
      <w:lvlText w:val="%1、"/>
      <w:lvlJc w:val="left"/>
    </w:lvl>
  </w:abstractNum>
  <w:abstractNum w:abstractNumId="5">
    <w:nsid w:val="F0811783"/>
    <w:multiLevelType w:val="singleLevel"/>
    <w:tmpl w:val="F0811783"/>
    <w:lvl w:ilvl="0" w:tentative="0">
      <w:start w:val="1"/>
      <w:numFmt w:val="decimal"/>
      <w:lvlText w:val="%1."/>
      <w:lvlJc w:val="left"/>
      <w:pPr>
        <w:tabs>
          <w:tab w:val="left" w:pos="312"/>
        </w:tabs>
      </w:pPr>
    </w:lvl>
  </w:abstractNum>
  <w:abstractNum w:abstractNumId="6">
    <w:nsid w:val="1AF67877"/>
    <w:multiLevelType w:val="singleLevel"/>
    <w:tmpl w:val="1AF67877"/>
    <w:lvl w:ilvl="0" w:tentative="0">
      <w:start w:val="2"/>
      <w:numFmt w:val="chineseCounting"/>
      <w:suff w:val="space"/>
      <w:lvlText w:val="第%1部分"/>
      <w:lvlJc w:val="left"/>
      <w:rPr>
        <w:rFonts w:hint="eastAsia"/>
      </w:rPr>
    </w:lvl>
  </w:abstractNum>
  <w:abstractNum w:abstractNumId="7">
    <w:nsid w:val="233230D9"/>
    <w:multiLevelType w:val="singleLevel"/>
    <w:tmpl w:val="233230D9"/>
    <w:lvl w:ilvl="0" w:tentative="0">
      <w:start w:val="1"/>
      <w:numFmt w:val="chineseCounting"/>
      <w:suff w:val="nothing"/>
      <w:lvlText w:val="（%1）"/>
      <w:lvlJc w:val="left"/>
      <w:rPr>
        <w:rFonts w:hint="eastAsia"/>
      </w:rPr>
    </w:lvl>
  </w:abstractNum>
  <w:abstractNum w:abstractNumId="8">
    <w:nsid w:val="2FE6198D"/>
    <w:multiLevelType w:val="singleLevel"/>
    <w:tmpl w:val="2FE6198D"/>
    <w:lvl w:ilvl="0" w:tentative="0">
      <w:start w:val="7"/>
      <w:numFmt w:val="chineseCounting"/>
      <w:suff w:val="space"/>
      <w:lvlText w:val="第%1部分"/>
      <w:lvlJc w:val="left"/>
      <w:rPr>
        <w:rFonts w:hint="eastAsia"/>
      </w:rPr>
    </w:lvl>
  </w:abstractNum>
  <w:abstractNum w:abstractNumId="9">
    <w:nsid w:val="3A8E4669"/>
    <w:multiLevelType w:val="singleLevel"/>
    <w:tmpl w:val="3A8E4669"/>
    <w:lvl w:ilvl="0" w:tentative="0">
      <w:start w:val="1"/>
      <w:numFmt w:val="chineseCounting"/>
      <w:suff w:val="nothing"/>
      <w:lvlText w:val="（%1）"/>
      <w:lvlJc w:val="left"/>
      <w:rPr>
        <w:rFonts w:hint="eastAsia"/>
      </w:rPr>
    </w:lvl>
  </w:abstractNum>
  <w:abstractNum w:abstractNumId="10">
    <w:nsid w:val="518C8F9E"/>
    <w:multiLevelType w:val="singleLevel"/>
    <w:tmpl w:val="518C8F9E"/>
    <w:lvl w:ilvl="0" w:tentative="0">
      <w:start w:val="3"/>
      <w:numFmt w:val="chineseCounting"/>
      <w:suff w:val="nothing"/>
      <w:lvlText w:val="（%1）"/>
      <w:lvlJc w:val="left"/>
      <w:rPr>
        <w:rFonts w:hint="eastAsia"/>
      </w:rPr>
    </w:lvl>
  </w:abstractNum>
  <w:abstractNum w:abstractNumId="11">
    <w:nsid w:val="5694B7E5"/>
    <w:multiLevelType w:val="singleLevel"/>
    <w:tmpl w:val="5694B7E5"/>
    <w:lvl w:ilvl="0" w:tentative="0">
      <w:start w:val="1"/>
      <w:numFmt w:val="decimal"/>
      <w:suff w:val="nothing"/>
      <w:lvlText w:val="%1、"/>
      <w:lvlJc w:val="left"/>
    </w:lvl>
  </w:abstractNum>
  <w:abstractNum w:abstractNumId="12">
    <w:nsid w:val="65009396"/>
    <w:multiLevelType w:val="singleLevel"/>
    <w:tmpl w:val="65009396"/>
    <w:lvl w:ilvl="0" w:tentative="0">
      <w:start w:val="1"/>
      <w:numFmt w:val="decimal"/>
      <w:lvlText w:val="%1."/>
      <w:lvlJc w:val="left"/>
      <w:pPr>
        <w:tabs>
          <w:tab w:val="left" w:pos="312"/>
        </w:tabs>
      </w:pPr>
    </w:lvl>
  </w:abstractNum>
  <w:abstractNum w:abstractNumId="13">
    <w:nsid w:val="7ABA9767"/>
    <w:multiLevelType w:val="singleLevel"/>
    <w:tmpl w:val="7ABA9767"/>
    <w:lvl w:ilvl="0" w:tentative="0">
      <w:start w:val="1"/>
      <w:numFmt w:val="decimal"/>
      <w:suff w:val="nothing"/>
      <w:lvlText w:val="%1、"/>
      <w:lvlJc w:val="left"/>
    </w:lvl>
  </w:abstractNum>
  <w:num w:numId="1">
    <w:abstractNumId w:val="0"/>
  </w:num>
  <w:num w:numId="2">
    <w:abstractNumId w:val="7"/>
  </w:num>
  <w:num w:numId="3">
    <w:abstractNumId w:val="5"/>
  </w:num>
  <w:num w:numId="4">
    <w:abstractNumId w:val="12"/>
  </w:num>
  <w:num w:numId="5">
    <w:abstractNumId w:val="3"/>
  </w:num>
  <w:num w:numId="6">
    <w:abstractNumId w:val="4"/>
  </w:num>
  <w:num w:numId="7">
    <w:abstractNumId w:val="1"/>
  </w:num>
  <w:num w:numId="8">
    <w:abstractNumId w:val="13"/>
  </w:num>
  <w:num w:numId="9">
    <w:abstractNumId w:val="2"/>
  </w:num>
  <w:num w:numId="10">
    <w:abstractNumId w:val="6"/>
  </w:num>
  <w:num w:numId="11">
    <w:abstractNumId w:val="11"/>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1B0FB9"/>
    <w:rsid w:val="02443CCC"/>
    <w:rsid w:val="02B0310F"/>
    <w:rsid w:val="02CA61DC"/>
    <w:rsid w:val="031C2FE5"/>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B35BB1"/>
    <w:rsid w:val="0BD51E39"/>
    <w:rsid w:val="0C167005"/>
    <w:rsid w:val="0C515FBA"/>
    <w:rsid w:val="0CC04897"/>
    <w:rsid w:val="0CCE2B10"/>
    <w:rsid w:val="0CFB767D"/>
    <w:rsid w:val="0D31309F"/>
    <w:rsid w:val="0D4B23B2"/>
    <w:rsid w:val="0DF336A4"/>
    <w:rsid w:val="0E0E5177"/>
    <w:rsid w:val="0E1358E5"/>
    <w:rsid w:val="0E4B1C4C"/>
    <w:rsid w:val="0EA153DC"/>
    <w:rsid w:val="0F2851B8"/>
    <w:rsid w:val="10297B3B"/>
    <w:rsid w:val="10401F77"/>
    <w:rsid w:val="10484987"/>
    <w:rsid w:val="10675755"/>
    <w:rsid w:val="108A4FA0"/>
    <w:rsid w:val="10907CB9"/>
    <w:rsid w:val="10C85AC8"/>
    <w:rsid w:val="11882AC4"/>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C05F07"/>
    <w:rsid w:val="14F51266"/>
    <w:rsid w:val="15005D62"/>
    <w:rsid w:val="15333768"/>
    <w:rsid w:val="15E2762C"/>
    <w:rsid w:val="15F335E7"/>
    <w:rsid w:val="163836F0"/>
    <w:rsid w:val="169A5B0F"/>
    <w:rsid w:val="169E17A5"/>
    <w:rsid w:val="16CD5BE6"/>
    <w:rsid w:val="177D585E"/>
    <w:rsid w:val="17E72CD8"/>
    <w:rsid w:val="18200032"/>
    <w:rsid w:val="182F5358"/>
    <w:rsid w:val="18842C1C"/>
    <w:rsid w:val="18AB495E"/>
    <w:rsid w:val="18E15979"/>
    <w:rsid w:val="19197809"/>
    <w:rsid w:val="194F6D87"/>
    <w:rsid w:val="19766901"/>
    <w:rsid w:val="19921369"/>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1FC81F23"/>
    <w:rsid w:val="20515ADA"/>
    <w:rsid w:val="20C95670"/>
    <w:rsid w:val="20E325CD"/>
    <w:rsid w:val="20FD17BE"/>
    <w:rsid w:val="210112AE"/>
    <w:rsid w:val="21582E98"/>
    <w:rsid w:val="21D55048"/>
    <w:rsid w:val="21DC13D3"/>
    <w:rsid w:val="21EE6184"/>
    <w:rsid w:val="222A65E3"/>
    <w:rsid w:val="225D0766"/>
    <w:rsid w:val="237B3E42"/>
    <w:rsid w:val="244B45EE"/>
    <w:rsid w:val="24BE1264"/>
    <w:rsid w:val="24EE1B49"/>
    <w:rsid w:val="25256E59"/>
    <w:rsid w:val="25657932"/>
    <w:rsid w:val="25BA5ED0"/>
    <w:rsid w:val="25E019B8"/>
    <w:rsid w:val="262D156E"/>
    <w:rsid w:val="2698212E"/>
    <w:rsid w:val="27084A19"/>
    <w:rsid w:val="270F5DA7"/>
    <w:rsid w:val="274E2D73"/>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D469FE"/>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75186D"/>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0D601C"/>
    <w:rsid w:val="351A6043"/>
    <w:rsid w:val="35357321"/>
    <w:rsid w:val="357C00B2"/>
    <w:rsid w:val="359978AF"/>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68282C"/>
    <w:rsid w:val="417E3DFD"/>
    <w:rsid w:val="41D81760"/>
    <w:rsid w:val="420C31B7"/>
    <w:rsid w:val="42101BC0"/>
    <w:rsid w:val="423544BC"/>
    <w:rsid w:val="42D8243E"/>
    <w:rsid w:val="43252782"/>
    <w:rsid w:val="43903853"/>
    <w:rsid w:val="43B16305"/>
    <w:rsid w:val="43D9356D"/>
    <w:rsid w:val="43E048FB"/>
    <w:rsid w:val="43EE526A"/>
    <w:rsid w:val="44352E99"/>
    <w:rsid w:val="44901E7E"/>
    <w:rsid w:val="44B75DD3"/>
    <w:rsid w:val="44F22B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A30067"/>
    <w:rsid w:val="4AB80380"/>
    <w:rsid w:val="4AD4683C"/>
    <w:rsid w:val="4B1B26BD"/>
    <w:rsid w:val="4B2F29EE"/>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6863A4"/>
    <w:rsid w:val="50A5455C"/>
    <w:rsid w:val="50C86E43"/>
    <w:rsid w:val="50E61077"/>
    <w:rsid w:val="50E671ED"/>
    <w:rsid w:val="51157A8E"/>
    <w:rsid w:val="51316796"/>
    <w:rsid w:val="51A60F32"/>
    <w:rsid w:val="51BF0246"/>
    <w:rsid w:val="524A795E"/>
    <w:rsid w:val="52502678"/>
    <w:rsid w:val="526112FD"/>
    <w:rsid w:val="52860D64"/>
    <w:rsid w:val="52943481"/>
    <w:rsid w:val="52EC506B"/>
    <w:rsid w:val="52F83A10"/>
    <w:rsid w:val="53310CD0"/>
    <w:rsid w:val="53B86CFB"/>
    <w:rsid w:val="54111402"/>
    <w:rsid w:val="54330A77"/>
    <w:rsid w:val="5468616A"/>
    <w:rsid w:val="5495528E"/>
    <w:rsid w:val="54FA3343"/>
    <w:rsid w:val="556F3D31"/>
    <w:rsid w:val="55945546"/>
    <w:rsid w:val="55977473"/>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3501A"/>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219C4"/>
    <w:rsid w:val="670318D0"/>
    <w:rsid w:val="67237C90"/>
    <w:rsid w:val="674325B2"/>
    <w:rsid w:val="678478B2"/>
    <w:rsid w:val="67AC3EF2"/>
    <w:rsid w:val="67E06114"/>
    <w:rsid w:val="67EE0D52"/>
    <w:rsid w:val="67EE6D37"/>
    <w:rsid w:val="67FA56DC"/>
    <w:rsid w:val="67FD1A46"/>
    <w:rsid w:val="67FF7197"/>
    <w:rsid w:val="687E00BB"/>
    <w:rsid w:val="688D47A2"/>
    <w:rsid w:val="68F6059A"/>
    <w:rsid w:val="69C6509B"/>
    <w:rsid w:val="69E05F1F"/>
    <w:rsid w:val="69E91EAC"/>
    <w:rsid w:val="6A2C1D99"/>
    <w:rsid w:val="6A38073E"/>
    <w:rsid w:val="6AF02DC7"/>
    <w:rsid w:val="6AFE3735"/>
    <w:rsid w:val="6B2A62D8"/>
    <w:rsid w:val="6B3C3876"/>
    <w:rsid w:val="6B7457A6"/>
    <w:rsid w:val="6B95409A"/>
    <w:rsid w:val="6BC93D43"/>
    <w:rsid w:val="6C192365"/>
    <w:rsid w:val="6C450EF0"/>
    <w:rsid w:val="6C81461E"/>
    <w:rsid w:val="6C8B5AF8"/>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1810C1C"/>
    <w:rsid w:val="721B2E1F"/>
    <w:rsid w:val="72514365"/>
    <w:rsid w:val="72A01F09"/>
    <w:rsid w:val="72AB41A3"/>
    <w:rsid w:val="72BD3F32"/>
    <w:rsid w:val="72F872F6"/>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919798C"/>
    <w:rsid w:val="791F0D7D"/>
    <w:rsid w:val="794964C4"/>
    <w:rsid w:val="79B349F7"/>
    <w:rsid w:val="79BA6AC9"/>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3328</Words>
  <Characters>3797</Characters>
  <Lines>237</Lines>
  <Paragraphs>66</Paragraphs>
  <TotalTime>11</TotalTime>
  <ScaleCrop>false</ScaleCrop>
  <LinksUpToDate>false</LinksUpToDate>
  <CharactersWithSpaces>3929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2026-07-13T09:53:58Z</cp:lastPrinted>
  <dcterms:modified xsi:type="dcterms:W3CDTF">2026-07-13T10:10:49Z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8C7221E17AB94631AECE57E029FEAF7F_13</vt:lpwstr>
  </property>
  <property fmtid="{D5CDD505-2E9C-101B-9397-08002B2CF9AE}" pid="4" name="KSOTemplateDocerSaveRecord">
    <vt:lpwstr>eyJoZGlkIjoiZTVmNGRjNDcwYTEwZDU2NzRjOThkZWQ4YTViNzk0MWQiLCJ1c2VySWQiOiIzODM4NDg1MjEifQ==</vt:lpwstr>
  </property>
</Properties>
</file>