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版本号：ZMZB2026ZYYY-41A20260512001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三院区检验外送服务项目(三次)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ZMZB2026ZYYY-41A</w:t>
      </w:r>
      <w:r>
        <w:br/>
      </w:r>
      <w:r>
        <w:br/>
      </w:r>
      <w:r>
        <w:br/>
      </w:r>
    </w:p>
    <w:p>
      <w:pPr>
        <w:pStyle w:val="null3"/>
        <w:jc w:val="center"/>
        <w:outlineLvl w:val="2"/>
      </w:pPr>
      <w:r>
        <w:rPr>
          <w:rFonts w:ascii="仿宋_GB2312" w:hAnsi="仿宋_GB2312" w:cs="仿宋_GB2312" w:eastAsia="仿宋_GB2312"/>
          <w:sz w:val="28"/>
          <w:b/>
        </w:rPr>
        <w:t>西安市中医医院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西安市中医医院</w:t>
      </w:r>
      <w:r>
        <w:rPr>
          <w:rFonts w:ascii="仿宋_GB2312" w:hAnsi="仿宋_GB2312" w:cs="仿宋_GB2312" w:eastAsia="仿宋_GB2312"/>
        </w:rPr>
        <w:t>委托，拟对</w:t>
      </w:r>
      <w:r>
        <w:rPr>
          <w:rFonts w:ascii="仿宋_GB2312" w:hAnsi="仿宋_GB2312" w:cs="仿宋_GB2312" w:eastAsia="仿宋_GB2312"/>
        </w:rPr>
        <w:t>三院区检验外送服务项目(三次)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ZMZB2026ZYYY-41A</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三院区检验外送服务项目(三次)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三院区检验外送服务项目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2、供应商应为具备医疗机构执业许可证的医疗检测机构：供应商应为具备医疗机构执业许可证的医疗检测机构</w:t>
      </w:r>
    </w:p>
    <w:p>
      <w:pPr>
        <w:pStyle w:val="null3"/>
      </w:pPr>
      <w:r>
        <w:rPr>
          <w:rFonts w:ascii="仿宋_GB2312" w:hAnsi="仿宋_GB2312" w:cs="仿宋_GB2312" w:eastAsia="仿宋_GB2312"/>
        </w:rPr>
        <w:t>3、财务状况证明：供应商提供2024或2025年度经审计完整的财务审计报告（成立时间至提交投标文件截止时间不足一年的可提供成立后任意时段的资产负债表），或其开标前三个月内银行出具的资信证明</w:t>
      </w:r>
    </w:p>
    <w:p>
      <w:pPr>
        <w:pStyle w:val="null3"/>
      </w:pPr>
      <w:r>
        <w:rPr>
          <w:rFonts w:ascii="仿宋_GB2312" w:hAnsi="仿宋_GB2312" w:cs="仿宋_GB2312" w:eastAsia="仿宋_GB2312"/>
        </w:rPr>
        <w:t>4、具有履行合同所必需的设备和专业技术能力：具有履行合同所必需的设备和专业技术能力的书面声明</w:t>
      </w:r>
    </w:p>
    <w:p>
      <w:pPr>
        <w:pStyle w:val="null3"/>
      </w:pPr>
      <w:r>
        <w:rPr>
          <w:rFonts w:ascii="仿宋_GB2312" w:hAnsi="仿宋_GB2312" w:cs="仿宋_GB2312" w:eastAsia="仿宋_GB2312"/>
        </w:rPr>
        <w:t>5、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7、参加政府采购活动前 3 年内在经营活动中没有重大违法记录的书面声明：参加政府采购活动前 3 年内在经营活动中没有重大违法记录的书面声明</w:t>
      </w:r>
    </w:p>
    <w:p>
      <w:pPr>
        <w:pStyle w:val="null3"/>
      </w:pPr>
      <w:r>
        <w:rPr>
          <w:rFonts w:ascii="仿宋_GB2312" w:hAnsi="仿宋_GB2312" w:cs="仿宋_GB2312" w:eastAsia="仿宋_GB2312"/>
        </w:rPr>
        <w:t>8、法定代表人授权书：非法定代表人参加磋商的，须提供法定代表人委托授权书及被授权人提交响应文件截止时间前三个月内任意一个月的社会保障资金（养老保险或医疗保险）的缴纳证明及被授权人身份证，法定代表人参加磋商时,只需提供法定代表人身份证</w:t>
      </w:r>
    </w:p>
    <w:p>
      <w:pPr>
        <w:pStyle w:val="null3"/>
      </w:pPr>
      <w:r>
        <w:rPr>
          <w:rFonts w:ascii="仿宋_GB2312" w:hAnsi="仿宋_GB2312" w:cs="仿宋_GB2312" w:eastAsia="仿宋_GB2312"/>
        </w:rPr>
        <w:t>9、供应商非西安市中医医院职工及其亲属投资开办或控股的企业：供应商非西安市中医医院职工及其亲属投资开办或控股的企业</w:t>
      </w:r>
    </w:p>
    <w:p>
      <w:pPr>
        <w:pStyle w:val="null3"/>
      </w:pPr>
      <w:r>
        <w:rPr>
          <w:rFonts w:ascii="仿宋_GB2312" w:hAnsi="仿宋_GB2312" w:cs="仿宋_GB2312" w:eastAsia="仿宋_GB2312"/>
        </w:rPr>
        <w:t>10、本项目不接受联合体：本项目不接受联合体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029-89626819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 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 杨帆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文件等法律法规规定的计价标准80%收取，按照成交金额差额定率累进法计算，由中标/成交单位一次性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西安市中医医院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西安市中医医院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根据采购文件采购要求执行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联系人：米文佳</w:t>
      </w:r>
    </w:p>
    <w:p>
      <w:pPr>
        <w:pStyle w:val="null3"/>
      </w:pPr>
      <w:r>
        <w:rPr>
          <w:rFonts w:ascii="仿宋_GB2312" w:hAnsi="仿宋_GB2312" w:cs="仿宋_GB2312" w:eastAsia="仿宋_GB2312"/>
        </w:rPr>
        <w:t>联系电话：17778966062</w:t>
      </w:r>
    </w:p>
    <w:p>
      <w:pPr>
        <w:pStyle w:val="null3"/>
      </w:pPr>
      <w:r>
        <w:rPr>
          <w:rFonts w:ascii="仿宋_GB2312" w:hAnsi="仿宋_GB2312" w:cs="仿宋_GB2312" w:eastAsia="仿宋_GB2312"/>
        </w:rPr>
        <w:t>地址：西安市雁塔区科技路 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18"/>
        </w:rPr>
        <w:t>为了达到医疗资源共享的效果，解决我院部分检验项目因人员和设备方面的限制，为方便我院患者的医疗检查和诊治，需要和其他医疗机构展开合作。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检验外送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标的名称：检验外送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rPr>
              <w:t>一</w:t>
            </w:r>
            <w:r>
              <w:rPr>
                <w:rFonts w:ascii="仿宋_GB2312" w:hAnsi="仿宋_GB2312" w:cs="仿宋_GB2312" w:eastAsia="仿宋_GB2312"/>
                <w:sz w:val="20"/>
              </w:rPr>
              <w:t>、技术要求</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0"/>
              </w:rPr>
              <w:t>供应商</w:t>
            </w:r>
            <w:r>
              <w:rPr>
                <w:rFonts w:ascii="仿宋_GB2312" w:hAnsi="仿宋_GB2312" w:cs="仿宋_GB2312" w:eastAsia="仿宋_GB2312"/>
                <w:sz w:val="20"/>
              </w:rPr>
              <w:t>的实验室资质合法、符合国家监管各项要求，通过</w:t>
            </w:r>
            <w:r>
              <w:rPr>
                <w:rFonts w:ascii="仿宋_GB2312" w:hAnsi="仿宋_GB2312" w:cs="仿宋_GB2312" w:eastAsia="仿宋_GB2312"/>
                <w:sz w:val="20"/>
              </w:rPr>
              <w:t>ISO15189认可的实验室优先考虑。</w:t>
            </w:r>
          </w:p>
          <w:p>
            <w:pPr>
              <w:pStyle w:val="null3"/>
              <w:jc w:val="left"/>
            </w:pPr>
            <w:r>
              <w:rPr>
                <w:rFonts w:ascii="仿宋_GB2312" w:hAnsi="仿宋_GB2312" w:cs="仿宋_GB2312" w:eastAsia="仿宋_GB2312"/>
                <w:sz w:val="20"/>
              </w:rPr>
              <w:t>二</w:t>
            </w:r>
            <w:r>
              <w:rPr>
                <w:rFonts w:ascii="仿宋_GB2312" w:hAnsi="仿宋_GB2312" w:cs="仿宋_GB2312" w:eastAsia="仿宋_GB2312"/>
                <w:sz w:val="20"/>
              </w:rPr>
              <w:t>、服务要求</w:t>
            </w:r>
          </w:p>
          <w:p>
            <w:pPr>
              <w:pStyle w:val="null3"/>
              <w:jc w:val="left"/>
            </w:pPr>
            <w:r>
              <w:rPr>
                <w:rFonts w:ascii="仿宋_GB2312" w:hAnsi="仿宋_GB2312" w:cs="仿宋_GB2312" w:eastAsia="仿宋_GB2312"/>
                <w:sz w:val="20"/>
              </w:rPr>
              <w:t>1.参加国家卫健委或陕西省室间质量评价且成绩合格，承接我院外送工作有相应项目的质量保证措施和证明；</w:t>
            </w:r>
          </w:p>
          <w:p>
            <w:pPr>
              <w:pStyle w:val="null3"/>
              <w:jc w:val="left"/>
            </w:pPr>
            <w:r>
              <w:rPr>
                <w:rFonts w:ascii="仿宋_GB2312" w:hAnsi="仿宋_GB2312" w:cs="仿宋_GB2312" w:eastAsia="仿宋_GB2312"/>
                <w:sz w:val="20"/>
              </w:rPr>
              <w:t>2.承诺365天无假日收取检验标本，及时回报结果；</w:t>
            </w:r>
          </w:p>
          <w:p>
            <w:pPr>
              <w:pStyle w:val="null3"/>
              <w:jc w:val="left"/>
            </w:pPr>
            <w:r>
              <w:rPr>
                <w:rFonts w:ascii="仿宋_GB2312" w:hAnsi="仿宋_GB2312" w:cs="仿宋_GB2312" w:eastAsia="仿宋_GB2312"/>
                <w:sz w:val="20"/>
              </w:rPr>
              <w:t>3.具备信息化传输，接入Lis需承担接口费用；</w:t>
            </w:r>
          </w:p>
          <w:p>
            <w:pPr>
              <w:pStyle w:val="null3"/>
              <w:jc w:val="left"/>
            </w:pPr>
            <w:r>
              <w:rPr>
                <w:rFonts w:ascii="仿宋_GB2312" w:hAnsi="仿宋_GB2312" w:cs="仿宋_GB2312" w:eastAsia="仿宋_GB2312"/>
                <w:sz w:val="20"/>
              </w:rPr>
              <w:t>4.如有特殊原因，使报告无法按约定的时间发出时，应及时通知我院。</w:t>
            </w:r>
          </w:p>
          <w:p>
            <w:pPr>
              <w:pStyle w:val="null3"/>
              <w:jc w:val="left"/>
            </w:pPr>
            <w:r>
              <w:rPr>
                <w:rFonts w:ascii="仿宋_GB2312" w:hAnsi="仿宋_GB2312" w:cs="仿宋_GB2312" w:eastAsia="仿宋_GB2312"/>
                <w:sz w:val="20"/>
              </w:rPr>
              <w:t>5.质量要求</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检测项目须符合国家卫健委、临床检验中心发布的相关技术标准与操作规范。</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检测项目室间质评合格率</w:t>
            </w:r>
            <w:r>
              <w:rPr>
                <w:rFonts w:ascii="仿宋_GB2312" w:hAnsi="仿宋_GB2312" w:cs="仿宋_GB2312" w:eastAsia="仿宋_GB2312"/>
                <w:sz w:val="20"/>
              </w:rPr>
              <w:t>≥90%，无室间质评检测项目应每年实施2次室间比对，合格率100%</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定量项目批内精密度</w:t>
            </w:r>
            <w:r>
              <w:rPr>
                <w:rFonts w:ascii="仿宋_GB2312" w:hAnsi="仿宋_GB2312" w:cs="仿宋_GB2312" w:eastAsia="仿宋_GB2312"/>
                <w:sz w:val="20"/>
              </w:rPr>
              <w:t>CV≤1/4允许总误差，批间精密度CV≤1/3允许总误差，批间精密度CV合格率≥85%</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定性项目比对符合率</w:t>
            </w:r>
            <w:r>
              <w:rPr>
                <w:rFonts w:ascii="仿宋_GB2312" w:hAnsi="仿宋_GB2312" w:cs="仿宋_GB2312" w:eastAsia="仿宋_GB2312"/>
                <w:sz w:val="20"/>
              </w:rPr>
              <w:t>≥80%</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报告差错率</w:t>
            </w:r>
            <w:r>
              <w:rPr>
                <w:rFonts w:ascii="仿宋_GB2312" w:hAnsi="仿宋_GB2312" w:cs="仿宋_GB2312" w:eastAsia="仿宋_GB2312"/>
                <w:sz w:val="20"/>
              </w:rPr>
              <w:t>≤2‰（包括检测错误、信息录入错误等）</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标本交接差错率为</w:t>
            </w:r>
            <w:r>
              <w:rPr>
                <w:rFonts w:ascii="仿宋_GB2312" w:hAnsi="仿宋_GB2312" w:cs="仿宋_GB2312" w:eastAsia="仿宋_GB2312"/>
                <w:sz w:val="20"/>
              </w:rPr>
              <w:t>0</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危急值报告率</w:t>
            </w:r>
            <w:r>
              <w:rPr>
                <w:rFonts w:ascii="仿宋_GB2312" w:hAnsi="仿宋_GB2312" w:cs="仿宋_GB2312" w:eastAsia="仿宋_GB2312"/>
                <w:sz w:val="20"/>
              </w:rPr>
              <w:t>100%，及时率100%</w:t>
            </w:r>
          </w:p>
          <w:p>
            <w:pPr>
              <w:pStyle w:val="null3"/>
              <w:jc w:val="left"/>
            </w:pPr>
            <w:r>
              <w:rPr>
                <w:rFonts w:ascii="仿宋_GB2312" w:hAnsi="仿宋_GB2312" w:cs="仿宋_GB2312" w:eastAsia="仿宋_GB2312"/>
                <w:sz w:val="20"/>
              </w:rPr>
              <w:t>6.外送检测项目清单</w:t>
            </w:r>
          </w:p>
          <w:tbl>
            <w:tblPr>
              <w:tblInd w:type="dxa" w:w="135"/>
              <w:tblBorders>
                <w:top w:val="none" w:color="000000" w:sz="4"/>
                <w:left w:val="none" w:color="000000" w:sz="4"/>
                <w:bottom w:val="none" w:color="000000" w:sz="4"/>
                <w:right w:val="none" w:color="000000" w:sz="4"/>
                <w:insideH w:val="none"/>
                <w:insideV w:val="none"/>
              </w:tblBorders>
            </w:tblPr>
            <w:tblGrid>
              <w:gridCol w:w="221"/>
              <w:gridCol w:w="407"/>
              <w:gridCol w:w="1030"/>
              <w:gridCol w:w="291"/>
              <w:gridCol w:w="296"/>
              <w:gridCol w:w="296"/>
            </w:tblGrid>
            <w:tr>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财务</w:t>
                  </w:r>
                </w:p>
                <w:p>
                  <w:pPr>
                    <w:pStyle w:val="null3"/>
                    <w:jc w:val="center"/>
                  </w:pPr>
                  <w:r>
                    <w:rPr>
                      <w:rFonts w:ascii="仿宋_GB2312" w:hAnsi="仿宋_GB2312" w:cs="仿宋_GB2312" w:eastAsia="仿宋_GB2312"/>
                      <w:sz w:val="20"/>
                      <w:b/>
                    </w:rPr>
                    <w:t>分类</w:t>
                  </w:r>
                </w:p>
              </w:tc>
              <w:tc>
                <w:tcPr>
                  <w:tcW w:type="dxa" w:w="4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收费编码</w:t>
                  </w:r>
                </w:p>
              </w:tc>
              <w:tc>
                <w:tcPr>
                  <w:tcW w:type="dxa" w:w="10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项目名称</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计价单位</w:t>
                  </w:r>
                </w:p>
              </w:tc>
              <w:tc>
                <w:tcPr>
                  <w:tcW w:type="dxa" w:w="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金额</w:t>
                  </w:r>
                </w:p>
                <w:p>
                  <w:pPr>
                    <w:pStyle w:val="null3"/>
                    <w:jc w:val="center"/>
                  </w:pPr>
                  <w:r>
                    <w:rPr>
                      <w:rFonts w:ascii="仿宋_GB2312" w:hAnsi="仿宋_GB2312" w:cs="仿宋_GB2312" w:eastAsia="仿宋_GB2312"/>
                      <w:sz w:val="20"/>
                      <w:b/>
                    </w:rPr>
                    <w:t>（元）</w:t>
                  </w:r>
                </w:p>
              </w:tc>
              <w:tc>
                <w:tcPr>
                  <w:tcW w:type="dxa" w:w="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院区</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250501038a</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半乳甘露聚糖检测</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北院区</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250403066</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丙型肝炎病毒基因</w:t>
                  </w:r>
                  <w:r>
                    <w:rPr>
                      <w:rFonts w:ascii="仿宋_GB2312" w:hAnsi="仿宋_GB2312" w:cs="仿宋_GB2312" w:eastAsia="仿宋_GB2312"/>
                      <w:sz w:val="20"/>
                    </w:rPr>
                    <w:t>HCV分型</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255</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北院区</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250402018</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抗甲状腺微粒体抗体测定</w:t>
                  </w:r>
                  <w:r>
                    <w:rPr>
                      <w:rFonts w:ascii="仿宋_GB2312" w:hAnsi="仿宋_GB2312" w:cs="仿宋_GB2312" w:eastAsia="仿宋_GB2312"/>
                      <w:sz w:val="20"/>
                    </w:rPr>
                    <w:t>(TMAb)</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北院区</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250402054</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抗人绒毛膜促性腺激素抗体</w:t>
                  </w:r>
                  <w:r>
                    <w:rPr>
                      <w:rFonts w:ascii="仿宋_GB2312" w:hAnsi="仿宋_GB2312" w:cs="仿宋_GB2312" w:eastAsia="仿宋_GB2312"/>
                      <w:sz w:val="20"/>
                    </w:rPr>
                    <w:t>(AHCGAb)测定</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北院区</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250402024</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抗精子抗体测定</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北院区</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250402022</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抗卵巢抗体测定</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北院区</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250402041</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抗透明带抗体（</w:t>
                  </w:r>
                  <w:r>
                    <w:rPr>
                      <w:rFonts w:ascii="仿宋_GB2312" w:hAnsi="仿宋_GB2312" w:cs="仿宋_GB2312" w:eastAsia="仿宋_GB2312"/>
                      <w:sz w:val="20"/>
                    </w:rPr>
                    <w:t>AZP）检测</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北院区</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250402016</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抗心磷脂抗体测定</w:t>
                  </w:r>
                  <w:r>
                    <w:rPr>
                      <w:rFonts w:ascii="仿宋_GB2312" w:hAnsi="仿宋_GB2312" w:cs="仿宋_GB2312" w:eastAsia="仿宋_GB2312"/>
                      <w:sz w:val="20"/>
                    </w:rPr>
                    <w:t>(ACA)</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北院区</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250402023</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抗子宫内膜抗体测定</w:t>
                  </w:r>
                  <w:r>
                    <w:rPr>
                      <w:rFonts w:ascii="仿宋_GB2312" w:hAnsi="仿宋_GB2312" w:cs="仿宋_GB2312" w:eastAsia="仿宋_GB2312"/>
                      <w:sz w:val="20"/>
                    </w:rPr>
                    <w:t>(EMAb)</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北院区</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250203068</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人类白细胞抗原</w:t>
                  </w:r>
                  <w:r>
                    <w:rPr>
                      <w:rFonts w:ascii="仿宋_GB2312" w:hAnsi="仿宋_GB2312" w:cs="仿宋_GB2312" w:eastAsia="仿宋_GB2312"/>
                      <w:sz w:val="20"/>
                    </w:rPr>
                    <w:t>B27测定(HLA-B27)</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125</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北院区</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250403030</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水痘</w:t>
                  </w:r>
                  <w:r>
                    <w:rPr>
                      <w:rFonts w:ascii="仿宋_GB2312" w:hAnsi="仿宋_GB2312" w:cs="仿宋_GB2312" w:eastAsia="仿宋_GB2312"/>
                      <w:sz w:val="20"/>
                    </w:rPr>
                    <w:t>—带状疱疹病毒抗体测定</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北院区</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250403072</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乙型肝炎病毒（</w:t>
                  </w:r>
                  <w:r>
                    <w:rPr>
                      <w:rFonts w:ascii="仿宋_GB2312" w:hAnsi="仿宋_GB2312" w:cs="仿宋_GB2312" w:eastAsia="仿宋_GB2312"/>
                      <w:sz w:val="20"/>
                    </w:rPr>
                    <w:t>HBV）基因分型</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170</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北院区</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250301004a</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血清蛋白电泳</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北院区</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250301005</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免疫固定电泳</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北院区</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250309005a</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全血中环孢素药物浓度测定</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240</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北院区</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250403011</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乙型肝炎病毒外膜蛋白前</w:t>
                  </w:r>
                  <w:r>
                    <w:rPr>
                      <w:rFonts w:ascii="仿宋_GB2312" w:hAnsi="仿宋_GB2312" w:cs="仿宋_GB2312" w:eastAsia="仿宋_GB2312"/>
                      <w:sz w:val="20"/>
                    </w:rPr>
                    <w:t>S1抗原测定</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北院区</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250403025</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EB病毒抗体测定</w:t>
                  </w:r>
                </w:p>
                <w:p>
                  <w:pPr>
                    <w:pStyle w:val="null3"/>
                    <w:jc w:val="both"/>
                  </w:pPr>
                  <w:r>
                    <w:rPr>
                      <w:rFonts w:ascii="仿宋_GB2312" w:hAnsi="仿宋_GB2312" w:cs="仿宋_GB2312" w:eastAsia="仿宋_GB2312"/>
                      <w:sz w:val="20"/>
                    </w:rPr>
                    <w:t>包括</w:t>
                  </w:r>
                  <w:r>
                    <w:rPr>
                      <w:rFonts w:ascii="仿宋_GB2312" w:hAnsi="仿宋_GB2312" w:cs="仿宋_GB2312" w:eastAsia="仿宋_GB2312"/>
                      <w:sz w:val="20"/>
                    </w:rPr>
                    <w:t>IgG、IgM、IgA、EBV-CA、EBV-EA、EBNA（EBVIgG、IgM、EBV-EAIgG、EBNA-G）</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北院区</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250310003a</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生长激素测定</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北院区</w:t>
                  </w:r>
                </w:p>
                <w:p>
                  <w:pPr>
                    <w:pStyle w:val="null3"/>
                    <w:jc w:val="center"/>
                  </w:pPr>
                  <w:r>
                    <w:rPr>
                      <w:rFonts w:ascii="仿宋_GB2312" w:hAnsi="仿宋_GB2312" w:cs="仿宋_GB2312" w:eastAsia="仿宋_GB2312"/>
                      <w:sz w:val="20"/>
                    </w:rPr>
                    <w:t>曲江院区</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250310063</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胰岛素样生长因子</w:t>
                  </w:r>
                  <w:r>
                    <w:rPr>
                      <w:rFonts w:ascii="仿宋_GB2312" w:hAnsi="仿宋_GB2312" w:cs="仿宋_GB2312" w:eastAsia="仿宋_GB2312"/>
                      <w:sz w:val="20"/>
                    </w:rPr>
                    <w:t>-1测定</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北院区</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250310064</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胰岛素样生长因子结合蛋白</w:t>
                  </w:r>
                  <w:r>
                    <w:rPr>
                      <w:rFonts w:ascii="仿宋_GB2312" w:hAnsi="仿宋_GB2312" w:cs="仿宋_GB2312" w:eastAsia="仿宋_GB2312"/>
                      <w:sz w:val="20"/>
                    </w:rPr>
                    <w:t>-3测定</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北院区</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250401037</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免疫球蛋白游离轻链测定</w:t>
                  </w:r>
                </w:p>
                <w:p>
                  <w:pPr>
                    <w:pStyle w:val="null3"/>
                    <w:jc w:val="both"/>
                  </w:pPr>
                  <w:r>
                    <w:rPr>
                      <w:rFonts w:ascii="仿宋_GB2312" w:hAnsi="仿宋_GB2312" w:cs="仿宋_GB2312" w:eastAsia="仿宋_GB2312"/>
                      <w:sz w:val="20"/>
                    </w:rPr>
                    <w:t>包括：</w:t>
                  </w:r>
                </w:p>
                <w:p>
                  <w:pPr>
                    <w:pStyle w:val="null3"/>
                    <w:jc w:val="both"/>
                  </w:pPr>
                  <w:r>
                    <w:rPr>
                      <w:rFonts w:ascii="仿宋_GB2312" w:hAnsi="仿宋_GB2312" w:cs="仿宋_GB2312" w:eastAsia="仿宋_GB2312"/>
                      <w:sz w:val="20"/>
                    </w:rPr>
                    <w:t>血清游离</w:t>
                  </w:r>
                  <w:r>
                    <w:rPr>
                      <w:rFonts w:ascii="仿宋_GB2312" w:hAnsi="仿宋_GB2312" w:cs="仿宋_GB2312" w:eastAsia="仿宋_GB2312"/>
                      <w:sz w:val="20"/>
                    </w:rPr>
                    <w:t>Kappa轻链、</w:t>
                  </w:r>
                </w:p>
                <w:p>
                  <w:pPr>
                    <w:pStyle w:val="null3"/>
                    <w:jc w:val="both"/>
                  </w:pPr>
                  <w:r>
                    <w:rPr>
                      <w:rFonts w:ascii="仿宋_GB2312" w:hAnsi="仿宋_GB2312" w:cs="仿宋_GB2312" w:eastAsia="仿宋_GB2312"/>
                      <w:sz w:val="20"/>
                    </w:rPr>
                    <w:t>血清游离</w:t>
                  </w:r>
                  <w:r>
                    <w:rPr>
                      <w:rFonts w:ascii="仿宋_GB2312" w:hAnsi="仿宋_GB2312" w:cs="仿宋_GB2312" w:eastAsia="仿宋_GB2312"/>
                      <w:sz w:val="20"/>
                    </w:rPr>
                    <w:t>lambda轻链、</w:t>
                  </w:r>
                </w:p>
                <w:p>
                  <w:pPr>
                    <w:pStyle w:val="null3"/>
                    <w:jc w:val="both"/>
                  </w:pPr>
                  <w:r>
                    <w:rPr>
                      <w:rFonts w:ascii="仿宋_GB2312" w:hAnsi="仿宋_GB2312" w:cs="仿宋_GB2312" w:eastAsia="仿宋_GB2312"/>
                      <w:sz w:val="20"/>
                    </w:rPr>
                    <w:t>血清游离</w:t>
                  </w:r>
                  <w:r>
                    <w:rPr>
                      <w:rFonts w:ascii="仿宋_GB2312" w:hAnsi="仿宋_GB2312" w:cs="仿宋_GB2312" w:eastAsia="仿宋_GB2312"/>
                      <w:sz w:val="20"/>
                    </w:rPr>
                    <w:t>Kappa/血清游离lambda。</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240（单做一次包含3个项目，480元）</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北院区</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250402005</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抗中性粒细胞抗体</w:t>
                  </w:r>
                </w:p>
                <w:p>
                  <w:pPr>
                    <w:pStyle w:val="null3"/>
                    <w:jc w:val="both"/>
                  </w:pPr>
                  <w:r>
                    <w:rPr>
                      <w:rFonts w:ascii="仿宋_GB2312" w:hAnsi="仿宋_GB2312" w:cs="仿宋_GB2312" w:eastAsia="仿宋_GB2312"/>
                      <w:sz w:val="20"/>
                    </w:rPr>
                    <w:t>包含：</w:t>
                  </w:r>
                </w:p>
                <w:p>
                  <w:pPr>
                    <w:pStyle w:val="null3"/>
                    <w:jc w:val="both"/>
                  </w:pPr>
                  <w:r>
                    <w:rPr>
                      <w:rFonts w:ascii="仿宋_GB2312" w:hAnsi="仿宋_GB2312" w:cs="仿宋_GB2312" w:eastAsia="仿宋_GB2312"/>
                      <w:sz w:val="20"/>
                    </w:rPr>
                    <w:t>C-ANCA、P-ANCA、ANCP-PR33、ANCP-MPO、GBM。</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北院区</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250306016</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抗磷脂酶</w:t>
                  </w:r>
                  <w:r>
                    <w:rPr>
                      <w:rFonts w:ascii="仿宋_GB2312" w:hAnsi="仿宋_GB2312" w:cs="仿宋_GB2312" w:eastAsia="仿宋_GB2312"/>
                      <w:sz w:val="20"/>
                    </w:rPr>
                    <w:t>A2受体抗体</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北院区</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250401031b</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流式淋巴细胞亚群（</w:t>
                  </w:r>
                  <w:r>
                    <w:rPr>
                      <w:rFonts w:ascii="仿宋_GB2312" w:hAnsi="仿宋_GB2312" w:cs="仿宋_GB2312" w:eastAsia="仿宋_GB2312"/>
                      <w:sz w:val="20"/>
                    </w:rPr>
                    <w:t>T+B+NK）</w:t>
                  </w:r>
                </w:p>
                <w:p>
                  <w:pPr>
                    <w:pStyle w:val="null3"/>
                    <w:jc w:val="both"/>
                  </w:pPr>
                  <w:r>
                    <w:rPr>
                      <w:rFonts w:ascii="仿宋_GB2312" w:hAnsi="仿宋_GB2312" w:cs="仿宋_GB2312" w:eastAsia="仿宋_GB2312"/>
                      <w:sz w:val="20"/>
                    </w:rPr>
                    <w:t>包含：</w:t>
                  </w:r>
                </w:p>
                <w:p>
                  <w:pPr>
                    <w:pStyle w:val="null3"/>
                    <w:jc w:val="both"/>
                  </w:pPr>
                  <w:r>
                    <w:rPr>
                      <w:rFonts w:ascii="仿宋_GB2312" w:hAnsi="仿宋_GB2312" w:cs="仿宋_GB2312" w:eastAsia="仿宋_GB2312"/>
                      <w:sz w:val="20"/>
                    </w:rPr>
                    <w:t>CD3+、CD4+、CD8+、CD19+、CD16+、CD56+、CD45+等。</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北院区</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250501038a</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曲霉菌抗原酶免试验</w:t>
                  </w:r>
                  <w:r>
                    <w:rPr>
                      <w:rFonts w:ascii="仿宋_GB2312" w:hAnsi="仿宋_GB2312" w:cs="仿宋_GB2312" w:eastAsia="仿宋_GB2312"/>
                      <w:sz w:val="20"/>
                    </w:rPr>
                    <w:t>（</w:t>
                  </w:r>
                  <w:r>
                    <w:rPr>
                      <w:rFonts w:ascii="仿宋_GB2312" w:hAnsi="仿宋_GB2312" w:cs="仿宋_GB2312" w:eastAsia="仿宋_GB2312"/>
                      <w:sz w:val="20"/>
                    </w:rPr>
                    <w:t>GM试验）</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曲江院区</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250502004b</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结核分枝杆菌及利福平耐药检测</w:t>
                  </w:r>
                  <w:r>
                    <w:rPr>
                      <w:rFonts w:ascii="仿宋_GB2312" w:hAnsi="仿宋_GB2312" w:cs="仿宋_GB2312" w:eastAsia="仿宋_GB2312"/>
                      <w:sz w:val="20"/>
                    </w:rPr>
                    <w:t>(Xpert MTB/RIF Assay</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次</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470</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曲江院区</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250309010</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“三高”安全用药基因检测 (47种药物20个基因28个位点)</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每个位点</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330</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曲江院区</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250310025</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尿香草扁桃酸</w:t>
                  </w:r>
                  <w:r>
                    <w:rPr>
                      <w:rFonts w:ascii="仿宋_GB2312" w:hAnsi="仿宋_GB2312" w:cs="仿宋_GB2312" w:eastAsia="仿宋_GB2312"/>
                      <w:sz w:val="20"/>
                    </w:rPr>
                    <w:t>(VMA),均相酶免法</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曲江院区</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250401029</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淋巴细胞免疫分析</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曲江院区</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250310029</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促红细胞生成素</w:t>
                  </w:r>
                  <w:r>
                    <w:rPr>
                      <w:rFonts w:ascii="仿宋_GB2312" w:hAnsi="仿宋_GB2312" w:cs="仿宋_GB2312" w:eastAsia="仿宋_GB2312"/>
                      <w:sz w:val="20"/>
                    </w:rPr>
                    <w:t>(EPO)</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曲江院区</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250203051</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血浆蛋白</w:t>
                  </w:r>
                  <w:r>
                    <w:rPr>
                      <w:rFonts w:ascii="仿宋_GB2312" w:hAnsi="仿宋_GB2312" w:cs="仿宋_GB2312" w:eastAsia="仿宋_GB2312"/>
                      <w:sz w:val="20"/>
                    </w:rPr>
                    <w:t>C活性测定</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曲江院区</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250203054</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血浆蛋白</w:t>
                  </w:r>
                  <w:r>
                    <w:rPr>
                      <w:rFonts w:ascii="仿宋_GB2312" w:hAnsi="仿宋_GB2312" w:cs="仿宋_GB2312" w:eastAsia="仿宋_GB2312"/>
                      <w:sz w:val="20"/>
                    </w:rPr>
                    <w:t>S测定</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曲江院区</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250401031</w:t>
                  </w: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淋巴细胞亚群绝对计数</w:t>
                  </w:r>
                </w:p>
                <w:p>
                  <w:pPr>
                    <w:pStyle w:val="null3"/>
                    <w:jc w:val="both"/>
                  </w:pPr>
                  <w:r>
                    <w:rPr>
                      <w:rFonts w:ascii="仿宋_GB2312" w:hAnsi="仿宋_GB2312" w:cs="仿宋_GB2312" w:eastAsia="仿宋_GB2312"/>
                      <w:sz w:val="20"/>
                    </w:rPr>
                    <w:t>包括：</w:t>
                  </w:r>
                </w:p>
                <w:p>
                  <w:pPr>
                    <w:pStyle w:val="null3"/>
                    <w:jc w:val="both"/>
                  </w:pPr>
                  <w:r>
                    <w:rPr>
                      <w:rFonts w:ascii="仿宋_GB2312" w:hAnsi="仿宋_GB2312" w:cs="仿宋_GB2312" w:eastAsia="仿宋_GB2312"/>
                      <w:sz w:val="20"/>
                    </w:rPr>
                    <w:t>CD3+、CD4+、CD8+、CD19+、CD16+、CD56+、CD45+等。</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85</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曲江院区</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2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曲江院区及南院区病理冰冻、免疫组化项目</w:t>
                  </w:r>
                </w:p>
              </w:tc>
            </w:tr>
          </w:tbl>
          <w:p>
            <w:pPr>
              <w:pStyle w:val="null3"/>
              <w:jc w:val="left"/>
            </w:pPr>
            <w:r>
              <w:rPr>
                <w:rFonts w:ascii="仿宋_GB2312" w:hAnsi="仿宋_GB2312" w:cs="仿宋_GB2312" w:eastAsia="仿宋_GB2312"/>
                <w:sz w:val="20"/>
                <w:b/>
              </w:rPr>
              <w:t>注：</w:t>
            </w:r>
            <w:r>
              <w:rPr>
                <w:rFonts w:ascii="仿宋_GB2312" w:hAnsi="仿宋_GB2312" w:cs="仿宋_GB2312" w:eastAsia="仿宋_GB2312"/>
                <w:sz w:val="20"/>
                <w:b/>
              </w:rPr>
              <w:t>1.西安市中医医院（南院区）外送项目与北院区、曲江院区一致。</w:t>
            </w:r>
          </w:p>
          <w:p>
            <w:pPr>
              <w:pStyle w:val="null3"/>
              <w:jc w:val="left"/>
            </w:pPr>
            <w:r>
              <w:rPr>
                <w:rFonts w:ascii="仿宋_GB2312" w:hAnsi="仿宋_GB2312" w:cs="仿宋_GB2312" w:eastAsia="仿宋_GB2312"/>
                <w:sz w:val="20"/>
                <w:b/>
              </w:rPr>
              <w:t xml:space="preserve">    </w:t>
            </w:r>
            <w:r>
              <w:rPr>
                <w:rFonts w:ascii="仿宋_GB2312" w:hAnsi="仿宋_GB2312" w:cs="仿宋_GB2312" w:eastAsia="仿宋_GB2312"/>
                <w:sz w:val="20"/>
                <w:b/>
              </w:rPr>
              <w:t>2.经医务部门批准增加或删除的项目。</w:t>
            </w:r>
          </w:p>
          <w:p>
            <w:pPr>
              <w:pStyle w:val="null3"/>
              <w:jc w:val="left"/>
            </w:pPr>
            <w:r>
              <w:rPr>
                <w:rFonts w:ascii="仿宋_GB2312" w:hAnsi="仿宋_GB2312" w:cs="仿宋_GB2312" w:eastAsia="仿宋_GB2312"/>
                <w:sz w:val="20"/>
              </w:rPr>
              <w:t>三、</w:t>
            </w:r>
            <w:r>
              <w:rPr>
                <w:rFonts w:ascii="仿宋_GB2312" w:hAnsi="仿宋_GB2312" w:cs="仿宋_GB2312" w:eastAsia="仿宋_GB2312"/>
                <w:sz w:val="20"/>
              </w:rPr>
              <w:t>进度要求</w:t>
            </w:r>
          </w:p>
          <w:p>
            <w:pPr>
              <w:pStyle w:val="null3"/>
              <w:jc w:val="left"/>
            </w:pPr>
            <w:r>
              <w:rPr>
                <w:rFonts w:ascii="仿宋_GB2312" w:hAnsi="仿宋_GB2312" w:cs="仿宋_GB2312" w:eastAsia="仿宋_GB2312"/>
                <w:sz w:val="20"/>
              </w:rPr>
              <w:t>1. 须严格按照双方约定的检验周期按时完成检测及报告出具，不得无故延迟。</w:t>
            </w:r>
          </w:p>
          <w:p>
            <w:pPr>
              <w:pStyle w:val="null3"/>
              <w:jc w:val="left"/>
            </w:pPr>
            <w:r>
              <w:rPr>
                <w:rFonts w:ascii="仿宋_GB2312" w:hAnsi="仿宋_GB2312" w:cs="仿宋_GB2312" w:eastAsia="仿宋_GB2312"/>
                <w:sz w:val="20"/>
              </w:rPr>
              <w:t>2. 标本接收后需及时录入、全程可追溯，确保标本流转与检测进度透明可控。</w:t>
            </w:r>
          </w:p>
          <w:p>
            <w:pPr>
              <w:pStyle w:val="null3"/>
              <w:jc w:val="left"/>
            </w:pPr>
            <w:r>
              <w:rPr>
                <w:rFonts w:ascii="仿宋_GB2312" w:hAnsi="仿宋_GB2312" w:cs="仿宋_GB2312" w:eastAsia="仿宋_GB2312"/>
                <w:sz w:val="20"/>
              </w:rPr>
              <w:t>3. 遇到标本问题、试剂异常等影响进度的情况，须第一时间主动告知委托科室，并给出处理时限。</w:t>
            </w:r>
          </w:p>
          <w:p>
            <w:pPr>
              <w:pStyle w:val="null3"/>
              <w:jc w:val="left"/>
            </w:pPr>
            <w:r>
              <w:rPr>
                <w:rFonts w:ascii="仿宋_GB2312" w:hAnsi="仿宋_GB2312" w:cs="仿宋_GB2312" w:eastAsia="仿宋_GB2312"/>
                <w:sz w:val="20"/>
              </w:rPr>
              <w:t>4. 高峰时段、批量送检时，需具备应急保障能力，确保不因此延长检测周期。</w:t>
            </w:r>
          </w:p>
          <w:p>
            <w:pPr>
              <w:pStyle w:val="null3"/>
              <w:jc w:val="left"/>
            </w:pPr>
            <w:r>
              <w:rPr>
                <w:rFonts w:ascii="仿宋_GB2312" w:hAnsi="仿宋_GB2312" w:cs="仿宋_GB2312" w:eastAsia="仿宋_GB2312"/>
                <w:sz w:val="20"/>
              </w:rPr>
              <w:t>5. 须提供明确的项目周转时间表（TAT），并承诺实际检测进度符合或优于承诺标准。</w:t>
            </w:r>
          </w:p>
          <w:p>
            <w:pPr>
              <w:pStyle w:val="null3"/>
              <w:jc w:val="left"/>
            </w:pPr>
            <w:r>
              <w:rPr>
                <w:rFonts w:ascii="仿宋_GB2312" w:hAnsi="仿宋_GB2312" w:cs="仿宋_GB2312" w:eastAsia="仿宋_GB2312"/>
                <w:sz w:val="20"/>
              </w:rPr>
              <w:t>6. 检测报告需在规定时间内准确上传至指定系统，保证临床及时获取结果。</w:t>
            </w:r>
          </w:p>
          <w:p>
            <w:pPr>
              <w:pStyle w:val="null3"/>
              <w:jc w:val="left"/>
            </w:pPr>
            <w:r>
              <w:rPr>
                <w:rFonts w:ascii="仿宋_GB2312" w:hAnsi="仿宋_GB2312" w:cs="仿宋_GB2312" w:eastAsia="仿宋_GB2312"/>
                <w:sz w:val="20"/>
              </w:rPr>
              <w:t>四、</w:t>
            </w:r>
            <w:r>
              <w:rPr>
                <w:rFonts w:ascii="仿宋_GB2312" w:hAnsi="仿宋_GB2312" w:cs="仿宋_GB2312" w:eastAsia="仿宋_GB2312"/>
                <w:sz w:val="20"/>
              </w:rPr>
              <w:t>成果交付要求</w:t>
            </w:r>
          </w:p>
          <w:p>
            <w:pPr>
              <w:pStyle w:val="null3"/>
              <w:jc w:val="left"/>
            </w:pPr>
            <w:r>
              <w:rPr>
                <w:rFonts w:ascii="仿宋_GB2312" w:hAnsi="仿宋_GB2312" w:cs="仿宋_GB2312" w:eastAsia="仿宋_GB2312"/>
                <w:sz w:val="20"/>
              </w:rPr>
              <w:t>1. 严格按照三级甲等医院检验项目标准及双方约定的技术规范，完成全部检测项目，确保结果真实、准确、完整。</w:t>
            </w:r>
          </w:p>
          <w:p>
            <w:pPr>
              <w:pStyle w:val="null3"/>
              <w:jc w:val="left"/>
            </w:pPr>
            <w:r>
              <w:rPr>
                <w:rFonts w:ascii="仿宋_GB2312" w:hAnsi="仿宋_GB2312" w:cs="仿宋_GB2312" w:eastAsia="仿宋_GB2312"/>
                <w:sz w:val="20"/>
              </w:rPr>
              <w:t>2. 按统一格式出具规范、清晰、可追溯的检验报告，报告内容符合医疗机构临床检验管理要求。</w:t>
            </w:r>
          </w:p>
          <w:p>
            <w:pPr>
              <w:pStyle w:val="null3"/>
              <w:jc w:val="left"/>
            </w:pPr>
            <w:r>
              <w:rPr>
                <w:rFonts w:ascii="仿宋_GB2312" w:hAnsi="仿宋_GB2312" w:cs="仿宋_GB2312" w:eastAsia="仿宋_GB2312"/>
                <w:sz w:val="20"/>
              </w:rPr>
              <w:t>3. 检验报告须在约定时限内准时交付、上传至指定系统，保证临床可及时查阅、打印与归档。</w:t>
            </w:r>
          </w:p>
          <w:p>
            <w:pPr>
              <w:pStyle w:val="null3"/>
              <w:jc w:val="left"/>
            </w:pPr>
            <w:r>
              <w:rPr>
                <w:rFonts w:ascii="仿宋_GB2312" w:hAnsi="仿宋_GB2312" w:cs="仿宋_GB2312" w:eastAsia="仿宋_GB2312"/>
                <w:sz w:val="20"/>
              </w:rPr>
              <w:t>4. 交付成果需包含完整的检测信息、质控记录、仪器状态及必要备注，满足医院检验科审核与溯源要求。</w:t>
            </w:r>
          </w:p>
          <w:p>
            <w:pPr>
              <w:pStyle w:val="null3"/>
              <w:jc w:val="left"/>
            </w:pPr>
            <w:r>
              <w:rPr>
                <w:rFonts w:ascii="仿宋_GB2312" w:hAnsi="仿宋_GB2312" w:cs="仿宋_GB2312" w:eastAsia="仿宋_GB2312"/>
                <w:sz w:val="20"/>
              </w:rPr>
              <w:t>5. 对异常结果、危急值结果，须按规定流程优先处理、及时复核并立即反馈，保障临床诊疗需求。</w:t>
            </w:r>
          </w:p>
          <w:p>
            <w:pPr>
              <w:pStyle w:val="null3"/>
              <w:jc w:val="left"/>
            </w:pPr>
            <w:r>
              <w:rPr>
                <w:rFonts w:ascii="仿宋_GB2312" w:hAnsi="仿宋_GB2312" w:cs="仿宋_GB2312" w:eastAsia="仿宋_GB2312"/>
                <w:sz w:val="20"/>
              </w:rPr>
              <w:t>6. 所有交付的检验数据与报告，须严格遵守医学检验质量与隐私安全相关规定，确保数据安全、不外泄、不篡改。</w:t>
            </w:r>
          </w:p>
          <w:p>
            <w:pPr>
              <w:pStyle w:val="null3"/>
            </w:pPr>
            <w:r>
              <w:rPr>
                <w:rFonts w:ascii="仿宋_GB2312" w:hAnsi="仿宋_GB2312" w:cs="仿宋_GB2312" w:eastAsia="仿宋_GB2312"/>
                <w:sz w:val="20"/>
              </w:rPr>
              <w:t>7. 配合医院完成报告审核、结果解释、问题答疑、资料归档等后续工作，提供完整交付闭环服务。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根据采购文件采购要求执行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根据采购文件采购要求执行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根据采购文件采购要求执行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本协议期限为期一年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西安市中医医院指定地点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根据采购文件采购要求执行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每季度结算上一季度检测费用（据实结算）。我院每季度首月10号前与投标方核对上一季度检测费用。投标方需在15号前和我院核对票目，并且将发票、病人费用明细等资料送到我院</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每季度结算上一季度检测费用（据实结算）。我院每季度首月10号前与投标方核对上一季度检测费用。投标方需在15号前和我院核对票目，并且将发票、病人费用明细等资料送到我院</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每季度结算上一季度检测费用（据实结算）。我院每季度首月10号前与投标方核对上一季度检测费用。投标方需在15号前和我院核对票目，并且将发票、病人费用明细等资料送到我院</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每季度结算上一季度检测费用（据实结算）。我院每季度首月10号前与投标方核对上一季度检测费用。投标方需在15号前和我院核对票目，并且将发票、病人费用明细等资料送到我院</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（一）质量责任 1. 诊断错误责任：因乙方检测错误导致医疗纠纷或患者损害，经第三方医疗鉴定机构认定后，乙方需承担相应赔偿责任及法律责任，并支付合同总金额2%-5%的违约金。造成重大医疗事故的，甲方有权单方解除合同。 2. 报告延误责任：累计延误次数达5次，甲方有权终止合同。 3. 标本处理不当：因乙方保管不善导致标本丢失、污染或无法诊断，需承担重新取材或检查的全部费用，并支付当次服务费用3倍的违约金，并承担相关法律责任。 （二）服务中断责任 1. 乙方无故中断服务超过24小时，需按日支付合同总金额1%的违约金；中断超过72小时，甲方有权解除合同并要求赔偿损失。 2. 因乙方原因导致服务无法正常开展，影响临床诊疗工作，每次扣减当月服务费用的5%。 （三）信息安全管理责任 1. 乙方泄露患者隐私信息或违反信息保密规定，每次支付违约金5000-10000元，造成严重后果的需承担法律责任。 2. 因乙方系统故障导致报告无法及时传输，参照报告延误责任处理。 （四）其他违约责任 1. 乙方未按约定提交质量报告或统计报表，每次扣减1000元。 2. 乙方人员资质不符合要求或擅自更换主要技术人员，需在7日内整改，否则按日支付违约金2000元。 3. 乙方未通过年度质量评估或满意度调查不达标，需限期整改，整改后仍不达标，甲方有权终止合同。 （五）免责条款 因不可抗力（如自然灾害、重大公共卫生事件等）导致无法履行合同，双方互不承担违约责任，但应及时通知对方并采取补救措施。</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1.按照《陕西省医疗服务项目价格》陕西省物价局三级医院收费标准，最高投标限价折扣为50%，响应单位折扣不得超过最高投标限价折扣。 2.预算金额为80万元，每季度据实结算。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供应商应为具备医疗机构执业许可证的医疗检测机构</w:t>
            </w:r>
          </w:p>
        </w:tc>
        <w:tc>
          <w:tcPr>
            <w:tcW w:type="dxa" w:w="3322"/>
          </w:tcPr>
          <w:p>
            <w:pPr>
              <w:pStyle w:val="null3"/>
            </w:pPr>
            <w:r>
              <w:rPr>
                <w:rFonts w:ascii="仿宋_GB2312" w:hAnsi="仿宋_GB2312" w:cs="仿宋_GB2312" w:eastAsia="仿宋_GB2312"/>
              </w:rPr>
              <w:t>供应商应为具备医疗机构执业许可证的医疗检测机构</w:t>
            </w:r>
          </w:p>
        </w:tc>
        <w:tc>
          <w:tcPr>
            <w:tcW w:type="dxa" w:w="1661"/>
          </w:tcPr>
          <w:p>
            <w:pPr>
              <w:pStyle w:val="null3"/>
            </w:pPr>
            <w:r>
              <w:rPr>
                <w:rFonts w:ascii="仿宋_GB2312" w:hAnsi="仿宋_GB2312" w:cs="仿宋_GB2312" w:eastAsia="仿宋_GB2312"/>
              </w:rPr>
              <w:t>供应商资格要求文件.docx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供应商提供2024或2025年度经审计完整的财务审计报告（成立时间至提交投标文件截止时间不足一年的可提供成立后任意时段的资产负债表），或其开标前三个月内银行出具的资信证明</w:t>
            </w:r>
          </w:p>
        </w:tc>
        <w:tc>
          <w:tcPr>
            <w:tcW w:type="dxa" w:w="1661"/>
          </w:tcPr>
          <w:p>
            <w:pPr>
              <w:pStyle w:val="null3"/>
            </w:pPr>
            <w:r>
              <w:rPr>
                <w:rFonts w:ascii="仿宋_GB2312" w:hAnsi="仿宋_GB2312" w:cs="仿宋_GB2312" w:eastAsia="仿宋_GB2312"/>
              </w:rPr>
              <w:t>供应商资格要求文件.docx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 3 年内在经营活动中没有重大违法记录的书面声明</w:t>
            </w:r>
          </w:p>
        </w:tc>
        <w:tc>
          <w:tcPr>
            <w:tcW w:type="dxa" w:w="3322"/>
          </w:tcPr>
          <w:p>
            <w:pPr>
              <w:pStyle w:val="null3"/>
            </w:pPr>
            <w:r>
              <w:rPr>
                <w:rFonts w:ascii="仿宋_GB2312" w:hAnsi="仿宋_GB2312" w:cs="仿宋_GB2312" w:eastAsia="仿宋_GB2312"/>
              </w:rPr>
              <w:t>参加政府采购活动前 3 年内在经营活动中没有重大违法记录的书面声明</w:t>
            </w:r>
          </w:p>
        </w:tc>
        <w:tc>
          <w:tcPr>
            <w:tcW w:type="dxa" w:w="1661"/>
          </w:tcPr>
          <w:p>
            <w:pPr>
              <w:pStyle w:val="null3"/>
            </w:pPr>
            <w:r>
              <w:rPr>
                <w:rFonts w:ascii="仿宋_GB2312" w:hAnsi="仿宋_GB2312" w:cs="仿宋_GB2312" w:eastAsia="仿宋_GB2312"/>
              </w:rPr>
              <w:t>供应商资格要求文件.docx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磋商的，须提供法定代表人委托授权书及被授权人提交响应文件截止时间前三个月内任意一个月的社会保障资金（养老保险或医疗保险）的缴纳证明及被授权人身份证，法定代表人参加磋商时,只需提供法定代表人身份证</w:t>
            </w:r>
          </w:p>
        </w:tc>
        <w:tc>
          <w:tcPr>
            <w:tcW w:type="dxa" w:w="1661"/>
          </w:tcPr>
          <w:p>
            <w:pPr>
              <w:pStyle w:val="null3"/>
            </w:pPr>
            <w:r>
              <w:rPr>
                <w:rFonts w:ascii="仿宋_GB2312" w:hAnsi="仿宋_GB2312" w:cs="仿宋_GB2312" w:eastAsia="仿宋_GB2312"/>
              </w:rPr>
              <w:t>供应商资格要求文件.docx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供应商非西安市中医医院职工及其亲属投资开办或控股的企业</w:t>
            </w:r>
          </w:p>
        </w:tc>
        <w:tc>
          <w:tcPr>
            <w:tcW w:type="dxa" w:w="3322"/>
          </w:tcPr>
          <w:p>
            <w:pPr>
              <w:pStyle w:val="null3"/>
            </w:pPr>
            <w:r>
              <w:rPr>
                <w:rFonts w:ascii="仿宋_GB2312" w:hAnsi="仿宋_GB2312" w:cs="仿宋_GB2312" w:eastAsia="仿宋_GB2312"/>
              </w:rPr>
              <w:t>供应商非西安市中医医院职工及其亲属投资开办或控股的企业</w:t>
            </w:r>
          </w:p>
        </w:tc>
        <w:tc>
          <w:tcPr>
            <w:tcW w:type="dxa" w:w="1661"/>
          </w:tcPr>
          <w:p>
            <w:pPr>
              <w:pStyle w:val="null3"/>
            </w:pPr>
            <w:r>
              <w:rPr>
                <w:rFonts w:ascii="仿宋_GB2312" w:hAnsi="仿宋_GB2312" w:cs="仿宋_GB2312" w:eastAsia="仿宋_GB2312"/>
              </w:rPr>
              <w:t>供应商资格要求文件.docx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供应商资格要求文件.docx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3.落实《关于推动解决政府采购异常低价问题的通知》财库〔2026〕2号相关要求。</w:t>
            </w:r>
          </w:p>
        </w:tc>
        <w:tc>
          <w:tcPr>
            <w:tcW w:type="dxa" w:w="1661"/>
          </w:tcPr>
          <w:p>
            <w:pPr>
              <w:pStyle w:val="null3"/>
            </w:pPr>
            <w:r>
              <w:rPr>
                <w:rFonts w:ascii="仿宋_GB2312" w:hAnsi="仿宋_GB2312" w:cs="仿宋_GB2312" w:eastAsia="仿宋_GB2312"/>
              </w:rPr>
              <w:t>供应商认为有必要说明的其他问题.docx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响应报价超过最高投标限价折扣（不合格）， 响应报价未超过最高投标限价折扣（合格）</w:t>
            </w:r>
          </w:p>
        </w:tc>
        <w:tc>
          <w:tcPr>
            <w:tcW w:type="dxa" w:w="1661"/>
          </w:tcPr>
          <w:p>
            <w:pPr>
              <w:pStyle w:val="null3"/>
            </w:pPr>
            <w:r>
              <w:rPr>
                <w:rFonts w:ascii="仿宋_GB2312" w:hAnsi="仿宋_GB2312" w:cs="仿宋_GB2312" w:eastAsia="仿宋_GB2312"/>
              </w:rPr>
              <w:t>报价一览表.docx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服务期限不满足竞争性磋商文件要求（不合格），服务期限满足竞争性磋商文件要求（合格）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响应文件的签署、盖章不符合竞争性磋商文件要求（不合格）， 响应文件的签署、盖章符合竞争性磋商文件要求（合格）</w:t>
            </w:r>
          </w:p>
        </w:tc>
        <w:tc>
          <w:tcPr>
            <w:tcW w:type="dxa" w:w="1661"/>
          </w:tcPr>
          <w:p>
            <w:pPr>
              <w:pStyle w:val="null3"/>
            </w:pPr>
            <w:r>
              <w:rPr>
                <w:rFonts w:ascii="仿宋_GB2312" w:hAnsi="仿宋_GB2312" w:cs="仿宋_GB2312" w:eastAsia="仿宋_GB2312"/>
              </w:rPr>
              <w:t>响应文件封面 标的清单 供应商资格要求文件.docx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响应文件无响应有效期或有效期达不到竞争性磋商文件要求的（不合格），响应文件响应有效期达到竞争性磋商文件要求的（合格）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响应文件的标的数量不满足采购要求的（不合格），响应文件的标的数量满足采购要求的（合格）</w:t>
            </w:r>
          </w:p>
        </w:tc>
        <w:tc>
          <w:tcPr>
            <w:tcW w:type="dxa" w:w="1661"/>
          </w:tcPr>
          <w:p>
            <w:pPr>
              <w:pStyle w:val="null3"/>
            </w:pPr>
            <w:r>
              <w:rPr>
                <w:rFonts w:ascii="仿宋_GB2312" w:hAnsi="仿宋_GB2312" w:cs="仿宋_GB2312" w:eastAsia="仿宋_GB2312"/>
              </w:rPr>
              <w:t>报价一览表.docx 服务内容及服务邀请应答表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响应文件含有采购人不能接受的附加条件的（不合格），响应文件没有采购人不能接受的附加条件的（合格）</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法律、法规和竞争性磋商文件规定的其他无效情形</w:t>
            </w:r>
          </w:p>
        </w:tc>
        <w:tc>
          <w:tcPr>
            <w:tcW w:type="dxa" w:w="3322"/>
          </w:tcPr>
          <w:p>
            <w:pPr>
              <w:pStyle w:val="null3"/>
            </w:pPr>
            <w:r>
              <w:rPr>
                <w:rFonts w:ascii="仿宋_GB2312" w:hAnsi="仿宋_GB2312" w:cs="仿宋_GB2312" w:eastAsia="仿宋_GB2312"/>
              </w:rPr>
              <w:t>不存在法律、法规和竞争性磋商文件规定的其他无效情形（合格），存在法律、法规和竞争性磋商文件规定的其他无效情形（不合格）</w:t>
            </w:r>
          </w:p>
        </w:tc>
        <w:tc>
          <w:tcPr>
            <w:tcW w:type="dxa" w:w="1661"/>
          </w:tcPr>
          <w:p>
            <w:pPr>
              <w:pStyle w:val="null3"/>
            </w:pPr>
            <w:r>
              <w:rPr>
                <w:rFonts w:ascii="仿宋_GB2312" w:hAnsi="仿宋_GB2312" w:cs="仿宋_GB2312" w:eastAsia="仿宋_GB2312"/>
              </w:rPr>
              <w:t>服务内容及服务邀请应答表 供应商诚信承诺书.docx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根据供应商提供的项目服务方案，包括①项目实施规划②进度保障计划③规章制度和操作流程规范④检验质量控制⑤报告送达计划。完整提供上述5项内容的得15分；每有一项未提供扣3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提供有效的ISO15189证书得2分，未提供不得分。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质量保障.docx</w:t>
            </w:r>
          </w:p>
        </w:tc>
      </w:tr>
      <w:tr>
        <w:tc>
          <w:tcPr>
            <w:tcW w:type="dxa" w:w="831"/>
            <w:vMerge/>
          </w:tcPr>
          <w:p/>
        </w:tc>
        <w:tc>
          <w:tcPr>
            <w:tcW w:type="dxa" w:w="1661"/>
          </w:tcPr>
          <w:p>
            <w:pPr>
              <w:pStyle w:val="null3"/>
            </w:pPr>
            <w:r>
              <w:rPr>
                <w:rFonts w:ascii="仿宋_GB2312" w:hAnsi="仿宋_GB2312" w:cs="仿宋_GB2312" w:eastAsia="仿宋_GB2312"/>
              </w:rPr>
              <w:t>人员组织 安排</w:t>
            </w:r>
          </w:p>
        </w:tc>
        <w:tc>
          <w:tcPr>
            <w:tcW w:type="dxa" w:w="2492"/>
          </w:tcPr>
          <w:p>
            <w:pPr>
              <w:pStyle w:val="null3"/>
            </w:pPr>
            <w:r>
              <w:rPr>
                <w:rFonts w:ascii="仿宋_GB2312" w:hAnsi="仿宋_GB2312" w:cs="仿宋_GB2312" w:eastAsia="仿宋_GB2312"/>
              </w:rPr>
              <w:t>供应商提供针对本项目人员组织安排。方案包含但不限于：①项目团队人员及清单；②服务人员证书；③项目人员安排、职责任务。完整提供上述3项内容的得9分；每有一项未提供扣3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人员组织安排.docx</w:t>
            </w:r>
          </w:p>
        </w:tc>
      </w:tr>
      <w:tr>
        <w:tc>
          <w:tcPr>
            <w:tcW w:type="dxa" w:w="831"/>
            <w:vMerge/>
          </w:tcPr>
          <w:p/>
        </w:tc>
        <w:tc>
          <w:tcPr>
            <w:tcW w:type="dxa" w:w="1661"/>
          </w:tcPr>
          <w:p>
            <w:pPr>
              <w:pStyle w:val="null3"/>
            </w:pPr>
            <w:r>
              <w:rPr>
                <w:rFonts w:ascii="仿宋_GB2312" w:hAnsi="仿宋_GB2312" w:cs="仿宋_GB2312" w:eastAsia="仿宋_GB2312"/>
              </w:rPr>
              <w:t>检测设备清单</w:t>
            </w:r>
          </w:p>
        </w:tc>
        <w:tc>
          <w:tcPr>
            <w:tcW w:type="dxa" w:w="2492"/>
          </w:tcPr>
          <w:p>
            <w:pPr>
              <w:pStyle w:val="null3"/>
            </w:pPr>
            <w:r>
              <w:rPr>
                <w:rFonts w:ascii="仿宋_GB2312" w:hAnsi="仿宋_GB2312" w:cs="仿宋_GB2312" w:eastAsia="仿宋_GB2312"/>
              </w:rPr>
              <w:t>根据供应商提供的检测设备清单，包含但不限于①设备名称②品牌及型号③产地及设备购买年限④检验仪器的检定或校准报告。 完整提供上述4项内容的得12分；每有一项未提供扣3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检测设备清单.docx</w:t>
            </w:r>
          </w:p>
        </w:tc>
      </w:tr>
      <w:tr>
        <w:tc>
          <w:tcPr>
            <w:tcW w:type="dxa" w:w="831"/>
            <w:vMerge/>
          </w:tcPr>
          <w:p/>
        </w:tc>
        <w:tc>
          <w:tcPr>
            <w:tcW w:type="dxa" w:w="1661"/>
          </w:tcPr>
          <w:p>
            <w:pPr>
              <w:pStyle w:val="null3"/>
            </w:pPr>
            <w:r>
              <w:rPr>
                <w:rFonts w:ascii="仿宋_GB2312" w:hAnsi="仿宋_GB2312" w:cs="仿宋_GB2312" w:eastAsia="仿宋_GB2312"/>
              </w:rPr>
              <w:t>标本收取及运输保管方案</w:t>
            </w:r>
          </w:p>
        </w:tc>
        <w:tc>
          <w:tcPr>
            <w:tcW w:type="dxa" w:w="2492"/>
          </w:tcPr>
          <w:p>
            <w:pPr>
              <w:pStyle w:val="null3"/>
            </w:pPr>
            <w:r>
              <w:rPr>
                <w:rFonts w:ascii="仿宋_GB2312" w:hAnsi="仿宋_GB2312" w:cs="仿宋_GB2312" w:eastAsia="仿宋_GB2312"/>
              </w:rPr>
              <w:t>根据供应商提供的标本收取及运输保管方案，包含但不限于①专人专车收取标本服务方案；②标本冷链运输保管方案；③配套保障措施等。完整提供上述3项内容的得9分；每有一项未提供扣3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标本收取及运输保管方案.docx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根据供应商提供的应急保障方案，方案包括但不限于：①送检过程中出现延迟、遗漏、丢失等情况等处理；②危急值的项目和限制的处理；③发生重大应急事件时的应急收样；④委派技术或实验人员协助采购人处理应急事件；⑤对出现危急值情况的处理。 完整提供上述5项内容的得10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应急保障方案.docx</w:t>
            </w:r>
          </w:p>
        </w:tc>
      </w:tr>
      <w:tr>
        <w:tc>
          <w:tcPr>
            <w:tcW w:type="dxa" w:w="831"/>
            <w:vMerge/>
          </w:tcPr>
          <w:p/>
        </w:tc>
        <w:tc>
          <w:tcPr>
            <w:tcW w:type="dxa" w:w="1661"/>
          </w:tcPr>
          <w:p>
            <w:pPr>
              <w:pStyle w:val="null3"/>
            </w:pPr>
            <w:r>
              <w:rPr>
                <w:rFonts w:ascii="仿宋_GB2312" w:hAnsi="仿宋_GB2312" w:cs="仿宋_GB2312" w:eastAsia="仿宋_GB2312"/>
              </w:rPr>
              <w:t>检测试剂及耗材情况</w:t>
            </w:r>
          </w:p>
        </w:tc>
        <w:tc>
          <w:tcPr>
            <w:tcW w:type="dxa" w:w="2492"/>
          </w:tcPr>
          <w:p>
            <w:pPr>
              <w:pStyle w:val="null3"/>
            </w:pPr>
            <w:r>
              <w:rPr>
                <w:rFonts w:ascii="仿宋_GB2312" w:hAnsi="仿宋_GB2312" w:cs="仿宋_GB2312" w:eastAsia="仿宋_GB2312"/>
              </w:rPr>
              <w:t>供应商须针对本项目要求的检测项目有对应的检测试剂和耗材，且来源渠道合法正规，并提供承诺，计1分。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检测试剂及耗材情况.docx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供应商提供的售后服务方案，包含但不限于①承诺按照采购人要求及标准，切实履行服务义务，做好相关服务工作；②提供报告单网络直接传送、查询、打印等配套服务；③提供针对采购人需要临时调取原始图像/数据再分析；④为采购人提供必要的专业咨询服务等。 完整提供上述4项内容的得12分；每有一项未提供扣3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增值服务承诺</w:t>
            </w:r>
          </w:p>
        </w:tc>
        <w:tc>
          <w:tcPr>
            <w:tcW w:type="dxa" w:w="2492"/>
          </w:tcPr>
          <w:p>
            <w:pPr>
              <w:pStyle w:val="null3"/>
            </w:pPr>
            <w:r>
              <w:rPr>
                <w:rFonts w:ascii="仿宋_GB2312" w:hAnsi="仿宋_GB2312" w:cs="仿宋_GB2312" w:eastAsia="仿宋_GB2312"/>
              </w:rPr>
              <w:t>根据供应商提供的增值服务承诺，每提供1项承诺得1分，提供3项及以上得满分。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增值服务承诺.docx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供应商提供2023年1月1日至今同类项目业绩，每个得1.5分，最高得7.5分。（须提供合同完整复印件，否则不予计分）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终磋商响应价格最低的报价为评审基准价，其价格分为满分。其他供应商的价格分统一按照下列公式计算：价格分=(评审基准价／最终磋商响应报价)×20，注：计算分数时四舍五入取小数点后两位； 落实《关于推动解决政府采购异常低价问题的通知》财库〔2026〕2号相关要求。</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详见附件：标本收取及运输保管方案.docx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详见附件：供应商诚信承诺书.docx</w:t>
      </w:r>
    </w:p>
    <w:p>
      <w:pPr>
        <w:pStyle w:val="null3"/>
        <w:ind w:firstLine="960"/>
      </w:pPr>
      <w:r>
        <w:rPr>
          <w:rFonts w:ascii="仿宋_GB2312" w:hAnsi="仿宋_GB2312" w:cs="仿宋_GB2312" w:eastAsia="仿宋_GB2312"/>
        </w:rPr>
        <w:t>详见附件：供应商资格要求文件.docx</w:t>
      </w:r>
    </w:p>
    <w:p>
      <w:pPr>
        <w:pStyle w:val="null3"/>
        <w:ind w:firstLine="960"/>
      </w:pPr>
      <w:r>
        <w:rPr>
          <w:rFonts w:ascii="仿宋_GB2312" w:hAnsi="仿宋_GB2312" w:cs="仿宋_GB2312" w:eastAsia="仿宋_GB2312"/>
        </w:rPr>
        <w:t>详见附件：检测设备清单.docx</w:t>
      </w:r>
    </w:p>
    <w:p>
      <w:pPr>
        <w:pStyle w:val="null3"/>
        <w:ind w:firstLine="960"/>
      </w:pPr>
      <w:r>
        <w:rPr>
          <w:rFonts w:ascii="仿宋_GB2312" w:hAnsi="仿宋_GB2312" w:cs="仿宋_GB2312" w:eastAsia="仿宋_GB2312"/>
        </w:rPr>
        <w:t>详见附件：检测试剂及耗材情况.docx</w:t>
      </w:r>
    </w:p>
    <w:p>
      <w:pPr>
        <w:pStyle w:val="null3"/>
        <w:ind w:firstLine="960"/>
      </w:pPr>
      <w:r>
        <w:rPr>
          <w:rFonts w:ascii="仿宋_GB2312" w:hAnsi="仿宋_GB2312" w:cs="仿宋_GB2312" w:eastAsia="仿宋_GB2312"/>
        </w:rPr>
        <w:t>详见附件：人员组织安排.docx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详见附件：应急保障方案.docx</w:t>
      </w:r>
    </w:p>
    <w:p>
      <w:pPr>
        <w:pStyle w:val="null3"/>
        <w:ind w:firstLine="960"/>
      </w:pPr>
      <w:r>
        <w:rPr>
          <w:rFonts w:ascii="仿宋_GB2312" w:hAnsi="仿宋_GB2312" w:cs="仿宋_GB2312" w:eastAsia="仿宋_GB2312"/>
        </w:rPr>
        <w:t>详见附件：增值服务承诺.docx</w:t>
      </w:r>
    </w:p>
    <w:p>
      <w:pPr>
        <w:pStyle w:val="null3"/>
        <w:ind w:firstLine="960"/>
      </w:pPr>
      <w:r>
        <w:rPr>
          <w:rFonts w:ascii="仿宋_GB2312" w:hAnsi="仿宋_GB2312" w:cs="仿宋_GB2312" w:eastAsia="仿宋_GB2312"/>
        </w:rPr>
        <w:t>详见附件：质量保障.docx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详见附件：供应商认为有必要说明的其他问题.docx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