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9A426">
      <w:pPr>
        <w:spacing w:line="800" w:lineRule="exact"/>
        <w:jc w:val="left"/>
        <w:rPr>
          <w:rFonts w:ascii="宋体" w:hAnsi="宋体" w:cs="宋体"/>
          <w:b/>
          <w:bCs/>
          <w:color w:val="auto"/>
          <w:sz w:val="28"/>
          <w:szCs w:val="28"/>
          <w:highlight w:val="none"/>
        </w:rPr>
      </w:pPr>
      <w:r>
        <w:rPr>
          <w:rFonts w:ascii="宋体" w:hAnsi="宋体" w:cs="宋体"/>
          <w:b/>
          <w:bCs/>
          <w:color w:val="auto"/>
          <w:sz w:val="28"/>
          <w:szCs w:val="28"/>
          <w:highlight w:val="none"/>
        </w:rPr>
        <w:t>项目编号：</w:t>
      </w:r>
    </w:p>
    <w:p w14:paraId="44400328">
      <w:pPr>
        <w:spacing w:line="800" w:lineRule="exact"/>
        <w:jc w:val="center"/>
        <w:rPr>
          <w:rFonts w:ascii="黑体" w:hAnsi="黑体" w:eastAsia="黑体" w:cs="黑体"/>
          <w:b/>
          <w:bCs/>
          <w:color w:val="auto"/>
          <w:sz w:val="52"/>
          <w:szCs w:val="52"/>
          <w:highlight w:val="none"/>
        </w:rPr>
      </w:pPr>
    </w:p>
    <w:p w14:paraId="6561A227">
      <w:pPr>
        <w:spacing w:line="800" w:lineRule="exact"/>
        <w:jc w:val="center"/>
        <w:rPr>
          <w:rFonts w:ascii="黑体" w:hAnsi="黑体" w:eastAsia="黑体" w:cs="黑体"/>
          <w:b/>
          <w:bCs/>
          <w:color w:val="auto"/>
          <w:sz w:val="52"/>
          <w:szCs w:val="52"/>
          <w:highlight w:val="none"/>
        </w:rPr>
      </w:pPr>
    </w:p>
    <w:p w14:paraId="73B00B43">
      <w:pPr>
        <w:spacing w:line="800" w:lineRule="exact"/>
        <w:jc w:val="center"/>
        <w:rPr>
          <w:rFonts w:ascii="黑体" w:hAnsi="黑体" w:eastAsia="黑体" w:cs="黑体"/>
          <w:b/>
          <w:bCs/>
          <w:color w:val="auto"/>
          <w:sz w:val="52"/>
          <w:szCs w:val="52"/>
          <w:highlight w:val="none"/>
        </w:rPr>
      </w:pPr>
    </w:p>
    <w:p w14:paraId="7AF208EA">
      <w:pPr>
        <w:spacing w:line="800" w:lineRule="exact"/>
        <w:jc w:val="center"/>
        <w:rPr>
          <w:rFonts w:ascii="黑体" w:hAnsi="黑体" w:eastAsia="黑体" w:cs="黑体"/>
          <w:b/>
          <w:bCs/>
          <w:color w:val="auto"/>
          <w:sz w:val="52"/>
          <w:szCs w:val="52"/>
          <w:highlight w:val="none"/>
        </w:rPr>
      </w:pPr>
    </w:p>
    <w:p w14:paraId="17B9868F">
      <w:pPr>
        <w:spacing w:line="660" w:lineRule="exact"/>
        <w:jc w:val="center"/>
        <w:rPr>
          <w:rFonts w:ascii="黑体" w:hAnsi="黑体" w:eastAsia="黑体" w:cs="黑体"/>
          <w:b/>
          <w:bCs/>
          <w:color w:val="auto"/>
          <w:sz w:val="52"/>
          <w:szCs w:val="52"/>
          <w:highlight w:val="none"/>
        </w:rPr>
      </w:pPr>
      <w:r>
        <w:rPr>
          <w:rFonts w:hint="eastAsia" w:ascii="黑体" w:hAnsi="黑体" w:eastAsia="黑体" w:cs="黑体"/>
          <w:b/>
          <w:bCs/>
          <w:color w:val="auto"/>
          <w:sz w:val="52"/>
          <w:szCs w:val="52"/>
          <w:highlight w:val="none"/>
        </w:rPr>
        <w:t>西 安 市 中 医 医 院</w:t>
      </w:r>
    </w:p>
    <w:p w14:paraId="2D69FA4E">
      <w:pPr>
        <w:spacing w:line="660" w:lineRule="exact"/>
        <w:jc w:val="center"/>
        <w:rPr>
          <w:rFonts w:ascii="黑体" w:hAnsi="黑体" w:eastAsia="黑体" w:cs="黑体"/>
          <w:b/>
          <w:bCs/>
          <w:color w:val="auto"/>
          <w:sz w:val="52"/>
          <w:szCs w:val="52"/>
          <w:highlight w:val="none"/>
        </w:rPr>
      </w:pPr>
      <w:r>
        <w:rPr>
          <w:rFonts w:hint="eastAsia" w:ascii="黑体" w:hAnsi="黑体" w:eastAsia="黑体" w:cs="黑体"/>
          <w:b/>
          <w:bCs/>
          <w:color w:val="auto"/>
          <w:sz w:val="52"/>
          <w:szCs w:val="52"/>
          <w:highlight w:val="none"/>
        </w:rPr>
        <w:t>服 务 合 同</w:t>
      </w:r>
    </w:p>
    <w:p w14:paraId="560261B4">
      <w:pPr>
        <w:widowControl/>
        <w:jc w:val="center"/>
        <w:rPr>
          <w:rFonts w:ascii="宋体" w:hAnsi="宋体" w:cs="宋体"/>
          <w:b/>
          <w:bCs/>
          <w:color w:val="auto"/>
          <w:sz w:val="28"/>
          <w:szCs w:val="28"/>
          <w:highlight w:val="none"/>
        </w:rPr>
      </w:pPr>
      <w:r>
        <w:rPr>
          <w:rFonts w:hint="eastAsia" w:ascii="宋体" w:hAnsi="宋体" w:cs="宋体"/>
          <w:b/>
          <w:bCs/>
          <w:color w:val="auto"/>
          <w:sz w:val="28"/>
          <w:szCs w:val="28"/>
          <w:highlight w:val="none"/>
        </w:rPr>
        <w:t>（三院区检验外送服务项目）</w:t>
      </w:r>
    </w:p>
    <w:p w14:paraId="0DA33F8E">
      <w:pPr>
        <w:spacing w:line="800" w:lineRule="exact"/>
        <w:jc w:val="center"/>
        <w:rPr>
          <w:rFonts w:ascii="黑体" w:hAnsi="黑体" w:eastAsia="黑体" w:cs="黑体"/>
          <w:color w:val="auto"/>
          <w:sz w:val="24"/>
          <w:highlight w:val="none"/>
        </w:rPr>
      </w:pPr>
    </w:p>
    <w:p w14:paraId="09BACC70">
      <w:pPr>
        <w:spacing w:line="440" w:lineRule="exact"/>
        <w:rPr>
          <w:rFonts w:ascii="黑体" w:hAnsi="黑体" w:eastAsia="黑体" w:cs="黑体"/>
          <w:color w:val="auto"/>
          <w:sz w:val="24"/>
          <w:highlight w:val="none"/>
        </w:rPr>
      </w:pPr>
    </w:p>
    <w:p w14:paraId="54172935">
      <w:pPr>
        <w:spacing w:line="440" w:lineRule="exact"/>
        <w:rPr>
          <w:rFonts w:ascii="黑体" w:hAnsi="黑体" w:eastAsia="黑体" w:cs="黑体"/>
          <w:color w:val="auto"/>
          <w:sz w:val="24"/>
          <w:highlight w:val="none"/>
        </w:rPr>
      </w:pPr>
    </w:p>
    <w:p w14:paraId="06767100">
      <w:pPr>
        <w:spacing w:line="440" w:lineRule="exact"/>
        <w:rPr>
          <w:rFonts w:ascii="黑体" w:hAnsi="黑体" w:eastAsia="黑体" w:cs="黑体"/>
          <w:color w:val="auto"/>
          <w:sz w:val="24"/>
          <w:highlight w:val="none"/>
        </w:rPr>
      </w:pPr>
    </w:p>
    <w:p w14:paraId="24FD05FF">
      <w:pPr>
        <w:spacing w:line="440" w:lineRule="exact"/>
        <w:rPr>
          <w:rFonts w:ascii="黑体" w:hAnsi="黑体" w:eastAsia="黑体" w:cs="黑体"/>
          <w:color w:val="auto"/>
          <w:sz w:val="24"/>
          <w:highlight w:val="none"/>
        </w:rPr>
      </w:pPr>
    </w:p>
    <w:p w14:paraId="6705A6DD">
      <w:pPr>
        <w:spacing w:line="440" w:lineRule="exact"/>
        <w:rPr>
          <w:rFonts w:ascii="黑体" w:hAnsi="黑体" w:eastAsia="黑体" w:cs="黑体"/>
          <w:color w:val="auto"/>
          <w:sz w:val="24"/>
          <w:highlight w:val="none"/>
        </w:rPr>
      </w:pPr>
    </w:p>
    <w:p w14:paraId="2CFB29EE">
      <w:pPr>
        <w:spacing w:line="440" w:lineRule="exact"/>
        <w:jc w:val="center"/>
        <w:rPr>
          <w:rFonts w:ascii="黑体" w:hAnsi="黑体" w:eastAsia="黑体" w:cs="黑体"/>
          <w:color w:val="auto"/>
          <w:sz w:val="24"/>
          <w:highlight w:val="none"/>
        </w:rPr>
      </w:pPr>
    </w:p>
    <w:p w14:paraId="78382CA8">
      <w:pPr>
        <w:spacing w:line="440" w:lineRule="exact"/>
        <w:rPr>
          <w:rFonts w:hint="eastAsia" w:ascii="黑体" w:hAnsi="黑体" w:eastAsia="黑体" w:cs="黑体"/>
          <w:color w:val="auto"/>
          <w:sz w:val="24"/>
          <w:highlight w:val="none"/>
        </w:rPr>
      </w:pPr>
    </w:p>
    <w:p w14:paraId="5E530E31">
      <w:pPr>
        <w:spacing w:line="560" w:lineRule="exact"/>
        <w:ind w:firstLine="2108" w:firstLineChars="700"/>
        <w:jc w:val="left"/>
        <w:rPr>
          <w:rFonts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甲   方：西安市中医医院</w:t>
      </w:r>
    </w:p>
    <w:p w14:paraId="692F1587">
      <w:pPr>
        <w:spacing w:line="560" w:lineRule="exact"/>
        <w:ind w:firstLine="2108" w:firstLineChars="700"/>
        <w:jc w:val="left"/>
        <w:rPr>
          <w:rFonts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乙   方：</w:t>
      </w:r>
    </w:p>
    <w:p w14:paraId="2CE8502B">
      <w:pPr>
        <w:spacing w:line="440" w:lineRule="exact"/>
        <w:jc w:val="left"/>
        <w:rPr>
          <w:rFonts w:ascii="黑体" w:hAnsi="黑体" w:eastAsia="黑体" w:cs="黑体"/>
          <w:color w:val="auto"/>
          <w:sz w:val="30"/>
          <w:szCs w:val="30"/>
          <w:highlight w:val="none"/>
        </w:rPr>
      </w:pPr>
    </w:p>
    <w:p w14:paraId="6554DFA5">
      <w:pPr>
        <w:spacing w:line="440" w:lineRule="exact"/>
        <w:jc w:val="left"/>
        <w:rPr>
          <w:rFonts w:ascii="黑体" w:hAnsi="黑体" w:eastAsia="黑体" w:cs="黑体"/>
          <w:color w:val="auto"/>
          <w:sz w:val="30"/>
          <w:szCs w:val="30"/>
          <w:highlight w:val="none"/>
        </w:rPr>
      </w:pPr>
    </w:p>
    <w:p w14:paraId="44C60EC3">
      <w:pPr>
        <w:spacing w:line="440" w:lineRule="exact"/>
        <w:jc w:val="left"/>
        <w:rPr>
          <w:rFonts w:ascii="黑体" w:hAnsi="黑体" w:eastAsia="黑体" w:cs="黑体"/>
          <w:color w:val="auto"/>
          <w:sz w:val="30"/>
          <w:szCs w:val="30"/>
          <w:highlight w:val="none"/>
        </w:rPr>
      </w:pPr>
    </w:p>
    <w:p w14:paraId="320281EA">
      <w:pPr>
        <w:spacing w:line="440" w:lineRule="exact"/>
        <w:jc w:val="left"/>
        <w:rPr>
          <w:rFonts w:ascii="黑体" w:hAnsi="黑体" w:eastAsia="黑体" w:cs="黑体"/>
          <w:color w:val="auto"/>
          <w:sz w:val="30"/>
          <w:szCs w:val="30"/>
          <w:highlight w:val="none"/>
        </w:rPr>
      </w:pPr>
    </w:p>
    <w:p w14:paraId="3A43E7E7">
      <w:pPr>
        <w:spacing w:line="440" w:lineRule="exact"/>
        <w:jc w:val="center"/>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202</w:t>
      </w:r>
      <w:r>
        <w:rPr>
          <w:rFonts w:hint="eastAsia" w:ascii="黑体" w:hAnsi="黑体" w:eastAsia="黑体" w:cs="黑体"/>
          <w:color w:val="auto"/>
          <w:sz w:val="30"/>
          <w:szCs w:val="30"/>
          <w:highlight w:val="none"/>
          <w:lang w:val="en-US" w:eastAsia="zh-CN"/>
        </w:rPr>
        <w:t>6</w:t>
      </w:r>
      <w:r>
        <w:rPr>
          <w:rFonts w:hint="eastAsia" w:ascii="黑体" w:hAnsi="黑体" w:eastAsia="黑体" w:cs="黑体"/>
          <w:color w:val="auto"/>
          <w:sz w:val="30"/>
          <w:szCs w:val="30"/>
          <w:highlight w:val="none"/>
        </w:rPr>
        <w:t>年</w:t>
      </w:r>
      <w:r>
        <w:rPr>
          <w:rFonts w:hint="eastAsia" w:ascii="黑体" w:hAnsi="黑体" w:eastAsia="黑体" w:cs="黑体"/>
          <w:color w:val="auto"/>
          <w:sz w:val="30"/>
          <w:szCs w:val="30"/>
          <w:highlight w:val="none"/>
          <w:lang w:val="en-US" w:eastAsia="zh-CN"/>
        </w:rPr>
        <w:t xml:space="preserve">  </w:t>
      </w:r>
      <w:r>
        <w:rPr>
          <w:rFonts w:hint="eastAsia" w:ascii="黑体" w:hAnsi="黑体" w:eastAsia="黑体" w:cs="黑体"/>
          <w:color w:val="auto"/>
          <w:sz w:val="30"/>
          <w:szCs w:val="30"/>
          <w:highlight w:val="none"/>
        </w:rPr>
        <w:t xml:space="preserve">月 </w:t>
      </w:r>
    </w:p>
    <w:p w14:paraId="14F47F82">
      <w:pPr>
        <w:spacing w:line="360" w:lineRule="auto"/>
        <w:ind w:right="964"/>
        <w:jc w:val="center"/>
        <w:rPr>
          <w:rFonts w:hint="eastAsia" w:ascii="仿宋" w:hAnsi="仿宋" w:eastAsia="仿宋" w:cs="仿宋"/>
          <w:color w:val="auto"/>
          <w:sz w:val="24"/>
          <w:highlight w:val="none"/>
        </w:rPr>
      </w:pPr>
      <w:r>
        <w:rPr>
          <w:rFonts w:hint="eastAsia" w:ascii="黑体" w:hAnsi="黑体" w:eastAsia="黑体" w:cs="黑体"/>
          <w:color w:val="auto"/>
          <w:sz w:val="30"/>
          <w:szCs w:val="30"/>
          <w:highlight w:val="none"/>
        </w:rPr>
        <w:t xml:space="preserve"> </w:t>
      </w:r>
      <w:r>
        <w:rPr>
          <w:rFonts w:ascii="黑体" w:hAnsi="黑体" w:eastAsia="黑体" w:cs="黑体"/>
          <w:color w:val="auto"/>
          <w:sz w:val="30"/>
          <w:szCs w:val="30"/>
          <w:highlight w:val="none"/>
        </w:rPr>
        <w:t xml:space="preserve">     </w:t>
      </w:r>
      <w:r>
        <w:rPr>
          <w:rFonts w:hint="eastAsia" w:ascii="黑体" w:hAnsi="黑体" w:eastAsia="黑体" w:cs="黑体"/>
          <w:color w:val="auto"/>
          <w:sz w:val="30"/>
          <w:szCs w:val="30"/>
          <w:highlight w:val="none"/>
        </w:rPr>
        <w:t>中国  西安</w:t>
      </w:r>
    </w:p>
    <w:p w14:paraId="5D518A93">
      <w:pPr>
        <w:spacing w:line="360" w:lineRule="auto"/>
        <w:jc w:val="left"/>
        <w:rPr>
          <w:rFonts w:ascii="仿宋" w:hAnsi="仿宋" w:eastAsia="仿宋" w:cs="仿宋"/>
          <w:b/>
          <w:bCs/>
          <w:color w:val="auto"/>
          <w:sz w:val="28"/>
          <w:szCs w:val="28"/>
          <w:highlight w:val="none"/>
        </w:rPr>
      </w:pPr>
      <w:r>
        <w:rPr>
          <w:rFonts w:hint="eastAsia" w:ascii="仿宋" w:hAnsi="仿宋" w:eastAsia="仿宋" w:cs="仿宋"/>
          <w:b/>
          <w:bCs/>
          <w:color w:val="auto"/>
          <w:sz w:val="24"/>
          <w:highlight w:val="none"/>
        </w:rPr>
        <w:t xml:space="preserve"> </w:t>
      </w:r>
      <w:r>
        <w:rPr>
          <w:rFonts w:ascii="仿宋" w:hAnsi="仿宋" w:eastAsia="仿宋" w:cs="仿宋"/>
          <w:b/>
          <w:bCs/>
          <w:color w:val="auto"/>
          <w:sz w:val="24"/>
          <w:highlight w:val="none"/>
        </w:rPr>
        <w:t xml:space="preserve">                              </w:t>
      </w:r>
      <w:r>
        <w:rPr>
          <w:rFonts w:hint="eastAsia" w:ascii="仿宋" w:hAnsi="仿宋" w:eastAsia="仿宋" w:cs="仿宋"/>
          <w:b/>
          <w:bCs/>
          <w:color w:val="auto"/>
          <w:sz w:val="28"/>
          <w:szCs w:val="28"/>
          <w:highlight w:val="none"/>
        </w:rPr>
        <w:t>服务合同</w:t>
      </w:r>
    </w:p>
    <w:p w14:paraId="51F2D2A1">
      <w:pPr>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甲方： 西安市中医医院</w:t>
      </w:r>
    </w:p>
    <w:p w14:paraId="510FCAD7">
      <w:pPr>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乙方：</w:t>
      </w:r>
    </w:p>
    <w:p w14:paraId="11AA97CC">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根据《中华人民共和国民法典》等相关规定，甲乙双方经友好协商就标本检验业务事宜达成一致，特签订本合同，以兹共同遵守。</w:t>
      </w:r>
    </w:p>
    <w:p w14:paraId="2B69AF7F">
      <w:pPr>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一、委托方式</w:t>
      </w:r>
    </w:p>
    <w:p w14:paraId="0F4FA0FD">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甲方将检验标本委托给乙方进行检验；乙方为甲方提供检验报告，并收取甲方检验服务费。</w:t>
      </w:r>
    </w:p>
    <w:p w14:paraId="03187192">
      <w:pPr>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二、委托期限</w:t>
      </w:r>
    </w:p>
    <w:p w14:paraId="0A0AEA7C">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委托期限自</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日至</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12139339">
      <w:pPr>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三、委托范围：</w:t>
      </w:r>
      <w:r>
        <w:rPr>
          <w:rFonts w:hint="eastAsia" w:ascii="仿宋" w:hAnsi="仿宋" w:eastAsia="仿宋" w:cs="仿宋"/>
          <w:color w:val="auto"/>
          <w:sz w:val="24"/>
          <w:highlight w:val="none"/>
        </w:rPr>
        <w:t>详见附件。</w:t>
      </w:r>
    </w:p>
    <w:p w14:paraId="756481DE">
      <w:pPr>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四、双方的权利与义务</w:t>
      </w:r>
    </w:p>
    <w:p w14:paraId="6685A62F">
      <w:pPr>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（一）甲方的权利义务</w:t>
      </w:r>
    </w:p>
    <w:p w14:paraId="2CE4EAE0">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甲方负责组织医生开检验单及采样人员的培训考核，按照《项目汇总》和《样本采集手册》（均以乙方提供的最新版为准）内容所列的方法和方式，正确填写申请单信息（包括但不限于检验项目所必须的病人常规个人资料、临床诊断、医生和院方必要信息）、采集标本、处理和保存送检样本，对标本来源的合法性、准确性和完整性负责，确保样本信息与检验申请单信息相符，保证送检标本质量。甲方未履行上述职责导致乙方出具的检验报告错误或检验报告与患者不符等责任由甲方承担。</w:t>
      </w:r>
    </w:p>
    <w:p w14:paraId="5E1EC65F">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甲方人员有责任与乙方人员在以下环节(如有)进行签字确认：标本交接、申请单交接、知情同意书交接、耗材交接、特殊物品回执交接、其他物品交接、纸质报告单交接、结算票据、发票签收回执的交接。乙方可能根据项目开展需要定期或不定期对合作项目的危急值及项目性能参数进行变更时，以函件的方式通知甲方，通知到达甲方后，甲方应按通知的内容及时调整院方LIS系统参数，以免影响临床使用。</w:t>
      </w:r>
    </w:p>
    <w:p w14:paraId="7DBC6831">
      <w:pPr>
        <w:spacing w:line="360" w:lineRule="auto"/>
        <w:jc w:val="left"/>
        <w:rPr>
          <w:rFonts w:hint="eastAsia" w:ascii="仿宋" w:hAnsi="仿宋" w:eastAsia="仿宋" w:cs="仿宋"/>
          <w:color w:val="auto"/>
          <w:sz w:val="24"/>
          <w:highlight w:val="none"/>
        </w:rPr>
      </w:pPr>
      <w:r>
        <w:rPr>
          <w:rFonts w:ascii="仿宋" w:hAnsi="仿宋" w:eastAsia="仿宋" w:cs="仿宋"/>
          <w:color w:val="auto"/>
          <w:sz w:val="24"/>
          <w:highlight w:val="none"/>
        </w:rPr>
        <w:t xml:space="preserve">    </w:t>
      </w:r>
      <w:r>
        <w:rPr>
          <w:rFonts w:hint="eastAsia" w:ascii="仿宋" w:hAnsi="仿宋" w:eastAsia="仿宋" w:cs="仿宋"/>
          <w:color w:val="auto"/>
          <w:sz w:val="24"/>
          <w:highlight w:val="none"/>
        </w:rPr>
        <w:t>3、甲方向乙方交付检验申请单后，需增加检验项目或变更检验项目的，甲方可以书面或数据方式向乙方申请变更检验内容，乙方同意变更检验内容的，乙方按已开始检验的项目及变更后的检验内容收取检验服务费。甲方应在申请后    日内向乙方补充提供变更后的检验申请单原件或扫描件，乙方出具检验报告单的时限从乙方收到甲方的口头变更检验项目申请之日起重新计算，甲方未按前述时间补充提供变更后的检验申请单原件或扫描件的，乙方出具检验报告单时限可顺延。</w:t>
      </w:r>
    </w:p>
    <w:p w14:paraId="219255CD">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4、甲方委托乙方对大量（ </w:t>
      </w:r>
      <w:r>
        <w:rPr>
          <w:rFonts w:hint="eastAsia" w:ascii="仿宋" w:hAnsi="仿宋" w:eastAsia="仿宋" w:cs="仿宋"/>
          <w:color w:val="auto"/>
          <w:sz w:val="24"/>
          <w:highlight w:val="none"/>
          <w:u w:val="single"/>
        </w:rPr>
        <w:t xml:space="preserve">100 </w:t>
      </w:r>
      <w:r>
        <w:rPr>
          <w:rFonts w:hint="eastAsia" w:ascii="仿宋" w:hAnsi="仿宋" w:eastAsia="仿宋" w:cs="仿宋"/>
          <w:color w:val="auto"/>
          <w:sz w:val="24"/>
          <w:highlight w:val="none"/>
        </w:rPr>
        <w:t xml:space="preserve"> 例以上）体检项目标本进行检验的，需提前</w:t>
      </w:r>
      <w:r>
        <w:rPr>
          <w:rFonts w:hint="eastAsia" w:ascii="仿宋" w:hAnsi="仿宋" w:eastAsia="仿宋" w:cs="仿宋"/>
          <w:color w:val="auto"/>
          <w:sz w:val="24"/>
          <w:highlight w:val="none"/>
          <w:u w:val="single"/>
        </w:rPr>
        <w:t xml:space="preserve">  </w:t>
      </w:r>
      <w:r>
        <w:rPr>
          <w:rFonts w:ascii="仿宋" w:hAnsi="仿宋" w:eastAsia="仿宋" w:cs="仿宋"/>
          <w:color w:val="auto"/>
          <w:sz w:val="24"/>
          <w:highlight w:val="none"/>
          <w:u w:val="single"/>
        </w:rPr>
        <w:t xml:space="preserve">1 </w:t>
      </w:r>
      <w:r>
        <w:rPr>
          <w:rFonts w:hint="eastAsia" w:ascii="仿宋" w:hAnsi="仿宋" w:eastAsia="仿宋" w:cs="仿宋"/>
          <w:color w:val="auto"/>
          <w:sz w:val="24"/>
          <w:highlight w:val="none"/>
        </w:rPr>
        <w:t>天书面通知乙方，以便乙方提前做好检验准备,否则，乙方出具报告的时间将延长。</w:t>
      </w:r>
    </w:p>
    <w:p w14:paraId="46B7B200">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5、甲方应配合支持乙方系统与甲方信息系统对接，涉及的具体内容按乙方提供的系统对接流程等工作说明执行。甲方保证其使用的系统合法性、稳定性和安全性，保证未侵犯任何第三方的合法权益并承担相应的责任。乙方为甲方提供乙方自助查询系统的登陆账号及密码并通知甲方合同首部指定的联系人，甲方指定联系人在获取信息后应及时登陆并修改访问密码。甲方及其工作人员应妥善保管乙方提供的自助查询系统的登陆账号及密码，使用甲方账号密码登录乙方查询系统的均视为甲方行为，相应责任由甲方承担。</w:t>
      </w:r>
    </w:p>
    <w:p w14:paraId="2F4DCA45">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6、乙方定期或不定期以（包括不限于）电子邮件或快递等任一形式发送对账单到甲方指定地址及联系人（甲方联系人：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邮箱：</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），甲方应在</w:t>
      </w:r>
      <w:r>
        <w:rPr>
          <w:rFonts w:ascii="仿宋" w:hAnsi="仿宋" w:eastAsia="仿宋" w:cs="仿宋"/>
          <w:color w:val="auto"/>
          <w:sz w:val="24"/>
          <w:highlight w:val="none"/>
        </w:rPr>
        <w:t>10</w:t>
      </w:r>
      <w:r>
        <w:rPr>
          <w:rFonts w:hint="eastAsia" w:ascii="仿宋" w:hAnsi="仿宋" w:eastAsia="仿宋" w:cs="仿宋"/>
          <w:color w:val="auto"/>
          <w:sz w:val="24"/>
          <w:highlight w:val="none"/>
        </w:rPr>
        <w:t>日内以相同形式回复；未回复者，视为甲方确认对账单的内容。</w:t>
      </w:r>
    </w:p>
    <w:p w14:paraId="3B16A74C">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7、甲方应依法依规履行知情告知义务，若特殊检验项目涉及需要受检者知情同意的，原则上应使用乙方的知情同意书模版。若甲方要求使用非乙方知情同意书模版的，由甲方自行承担责任，甲方承诺其已使用符合医学伦理要求的知情同意书以充分保证受检者知情、同意。</w:t>
      </w:r>
    </w:p>
    <w:p w14:paraId="490D82E7">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8、甲方及甲方人员保证具有法律法规及相关政策所要求的资质资格。乙方出具的检验结果仅对送检标本负责，供甲方临床参考，</w:t>
      </w:r>
      <w:r>
        <w:rPr>
          <w:rFonts w:ascii="仿宋" w:hAnsi="仿宋" w:eastAsia="仿宋" w:cs="仿宋"/>
          <w:color w:val="auto"/>
          <w:sz w:val="24"/>
          <w:highlight w:val="none"/>
        </w:rPr>
        <w:t>甲方及工作人员需结合其他检查指标及临床表现等综合情况具体分析</w:t>
      </w:r>
      <w:r>
        <w:rPr>
          <w:rFonts w:hint="eastAsia" w:ascii="仿宋" w:hAnsi="仿宋" w:eastAsia="仿宋" w:cs="仿宋"/>
          <w:color w:val="auto"/>
          <w:sz w:val="24"/>
          <w:highlight w:val="none"/>
        </w:rPr>
        <w:t>。</w:t>
      </w:r>
    </w:p>
    <w:p w14:paraId="3F084A17">
      <w:pPr>
        <w:pStyle w:val="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9、乙方出具的检验报告单系一个整体，甲方部分使用数据或内容、转录等导致的不利后果，由甲方承担，由此导致乙方损失的，甲方应予赔偿。</w:t>
      </w:r>
    </w:p>
    <w:p w14:paraId="3A33B701">
      <w:pPr>
        <w:tabs>
          <w:tab w:val="left" w:pos="3240"/>
        </w:tabs>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（二）乙方的权利义务</w:t>
      </w:r>
      <w:r>
        <w:rPr>
          <w:rFonts w:ascii="仿宋" w:hAnsi="仿宋" w:eastAsia="仿宋" w:cs="仿宋"/>
          <w:b/>
          <w:bCs/>
          <w:color w:val="auto"/>
          <w:sz w:val="24"/>
          <w:highlight w:val="none"/>
        </w:rPr>
        <w:tab/>
      </w:r>
    </w:p>
    <w:p w14:paraId="71B3E89F">
      <w:pPr>
        <w:spacing w:line="360" w:lineRule="auto"/>
        <w:ind w:firstLine="480" w:firstLineChars="20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1、乙方每周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次到甲方处收取标本，上门服务时间为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401034D2">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2、甲方未按乙方《项目总汇》《采样手册》（均以乙方提供的最新版为准）所述各项目要求（包括样品状态、数量及检验方法的说明），进行采集样本，填写申请单信息等，乙方可以拒收、要求甲方重新采样。</w:t>
      </w:r>
    </w:p>
    <w:p w14:paraId="4B3B34E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3、乙方保证按国家检验规范进行操作，并对送检标本的检验报告依法承担相应的责任。技术的局限性及非因乙方原因导致的检验报告错误，乙方不承担责任。</w:t>
      </w:r>
    </w:p>
    <w:p w14:paraId="2771AD71">
      <w:pPr>
        <w:pStyle w:val="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4、乙方可将部分项目委托第三方进行检测，乙方就第三方出具的检测结果按本合同约定向甲方承担责任。</w:t>
      </w:r>
    </w:p>
    <w:p w14:paraId="39C48568">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5、乙方有为甲方保密的义务，未经甲方同意或授权前提下，乙方不得向甲方及其工作人员以外的任何单位或个人泄露甲方委托检验的项目、检验的内容、检验的结果，但受检者及其授权代理人查询、咨询、复印其检验项目、检验结果除外。</w:t>
      </w:r>
    </w:p>
    <w:p w14:paraId="06EB810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乙方如需召回检验报告的，可通过电话、邮寄、电子邮件、微信、短信、当面告知等任一方式通知甲方召回检验报告，并提供新的检验报告。甲方应在收到最新检验报告单后及时变更检验报告内容，并告知受检者，否则应承担相应的责任。甲乙双方应按危急值报告制度共同管理，出现危急值时，乙方应以电话、短信、邮箱等任一形式发送至甲方指定的联系方式，发送即视为乙方完成通知义务，甲方应按流程规定立即通知临床科室及相关医师。甲方的联系电话：</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邮箱：</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18F8C1D">
      <w:pPr>
        <w:spacing w:line="360" w:lineRule="auto"/>
        <w:ind w:firstLine="480" w:firstLineChars="200"/>
        <w:jc w:val="left"/>
        <w:rPr>
          <w:rFonts w:hint="eastAsia" w:ascii="仿宋" w:hAnsi="仿宋" w:eastAsia="仿宋" w:cs="仿宋"/>
          <w:color w:val="auto"/>
          <w:sz w:val="24"/>
          <w:highlight w:val="none"/>
        </w:rPr>
      </w:pPr>
      <w:r>
        <w:rPr>
          <w:rFonts w:ascii="仿宋" w:hAnsi="仿宋" w:eastAsia="仿宋" w:cs="仿宋"/>
          <w:color w:val="auto"/>
          <w:sz w:val="24"/>
          <w:highlight w:val="none"/>
        </w:rPr>
        <w:t>7</w:t>
      </w:r>
      <w:r>
        <w:rPr>
          <w:rFonts w:hint="eastAsia" w:ascii="仿宋" w:hAnsi="仿宋" w:eastAsia="仿宋" w:cs="仿宋"/>
          <w:color w:val="auto"/>
          <w:sz w:val="24"/>
          <w:highlight w:val="none"/>
        </w:rPr>
        <w:t>、剩余标本（如有）由乙方依据相关法律法规及规定保存、处置，甲方如对检测结果有异议的，应在标本保存期限内提出（法律法规对保存期限没有明确规定的，乙方检测后保存7日），否则，视为甲方对乙方出具的检测结果无异议。</w:t>
      </w:r>
    </w:p>
    <w:p w14:paraId="3A882906">
      <w:pPr>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五、检验费用</w:t>
      </w:r>
    </w:p>
    <w:p w14:paraId="0B07B839">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1、甲方负责向病人收取病人检验费，乙方按照《陕西省医疗服务项目价格》陕西省物价局三级医院收费标准向甲方收取委托检验服务费：</w:t>
      </w:r>
    </w:p>
    <w:p w14:paraId="3A281F70">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2、各类检验项目的收费比例为：</w:t>
      </w:r>
    </w:p>
    <w:p w14:paraId="720F969D">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常规项目，收费比例为：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C5842C5">
      <w:pPr>
        <w:numPr>
          <w:ilvl w:val="0"/>
          <w:numId w:val="1"/>
        </w:numPr>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付款方式</w:t>
      </w:r>
    </w:p>
    <w:p w14:paraId="110BB897">
      <w:pPr>
        <w:spacing w:line="360" w:lineRule="auto"/>
        <w:ind w:firstLine="480" w:firstLineChars="200"/>
        <w:jc w:val="left"/>
        <w:rPr>
          <w:rFonts w:hint="eastAsia"/>
          <w:color w:val="auto"/>
          <w:highlight w:val="none"/>
        </w:rPr>
      </w:pPr>
      <w:r>
        <w:rPr>
          <w:rFonts w:hint="eastAsia" w:ascii="仿宋" w:hAnsi="仿宋" w:eastAsia="仿宋" w:cs="仿宋"/>
          <w:color w:val="auto"/>
          <w:sz w:val="24"/>
          <w:highlight w:val="none"/>
        </w:rPr>
        <w:t>1、结算周期：每季度结算上一季度检测费用（据实结算）。我院每季度首月10号前与投标方核对上一季度检测费用。投标方需在15号前和我院核对票目，并且将发票、病人费用明细等资料送到我院。</w:t>
      </w:r>
    </w:p>
    <w:p w14:paraId="021E9854">
      <w:pPr>
        <w:pStyle w:val="2"/>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2、采购包1： 付款条件说明：每季度结算上一季度检测费用（据实结算）。我院每季度首月10号前与投标方核对上一季度检测费用。投标方需在15号前和我院核对票目，并且将发票、病人费用明细等资料送到我院，达到付款条件起30日内，支付实际发生费用。</w:t>
      </w:r>
    </w:p>
    <w:tbl>
      <w:tblPr>
        <w:tblStyle w:val="4"/>
        <w:tblpPr w:leftFromText="180" w:rightFromText="180" w:vertAnchor="text" w:horzAnchor="page" w:tblpX="2139" w:tblpY="20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7760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4261" w:type="dxa"/>
            <w:noWrap w:val="0"/>
            <w:vAlign w:val="top"/>
          </w:tcPr>
          <w:p w14:paraId="70E19709">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甲方：西安市中医医院</w:t>
            </w:r>
          </w:p>
        </w:tc>
        <w:tc>
          <w:tcPr>
            <w:tcW w:w="4261" w:type="dxa"/>
            <w:noWrap w:val="0"/>
            <w:vAlign w:val="top"/>
          </w:tcPr>
          <w:p w14:paraId="40F375A9">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乙方：</w:t>
            </w:r>
          </w:p>
        </w:tc>
      </w:tr>
      <w:tr w14:paraId="0F3F3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4261" w:type="dxa"/>
            <w:noWrap w:val="0"/>
            <w:vAlign w:val="top"/>
          </w:tcPr>
          <w:p w14:paraId="06FD77A2">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开户行：中国银行西安大差市支行</w:t>
            </w:r>
          </w:p>
        </w:tc>
        <w:tc>
          <w:tcPr>
            <w:tcW w:w="4261" w:type="dxa"/>
            <w:noWrap w:val="0"/>
            <w:vAlign w:val="top"/>
          </w:tcPr>
          <w:p w14:paraId="0130AF89">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w:t>
            </w:r>
          </w:p>
        </w:tc>
      </w:tr>
      <w:tr w14:paraId="5E781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4261" w:type="dxa"/>
            <w:noWrap w:val="0"/>
            <w:vAlign w:val="top"/>
          </w:tcPr>
          <w:p w14:paraId="78E0D089">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户名：西安市中医医院</w:t>
            </w:r>
          </w:p>
        </w:tc>
        <w:tc>
          <w:tcPr>
            <w:tcW w:w="4261" w:type="dxa"/>
            <w:noWrap w:val="0"/>
            <w:vAlign w:val="top"/>
          </w:tcPr>
          <w:p w14:paraId="183F42B6">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户名：</w:t>
            </w:r>
          </w:p>
        </w:tc>
      </w:tr>
      <w:tr w14:paraId="67657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4261" w:type="dxa"/>
            <w:noWrap w:val="0"/>
            <w:vAlign w:val="top"/>
          </w:tcPr>
          <w:p w14:paraId="1E13412F">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账号：1</w:t>
            </w:r>
            <w:r>
              <w:rPr>
                <w:rFonts w:ascii="仿宋" w:hAnsi="仿宋" w:eastAsia="仿宋" w:cs="仿宋"/>
                <w:color w:val="auto"/>
                <w:sz w:val="24"/>
                <w:highlight w:val="none"/>
              </w:rPr>
              <w:t>03216991575</w:t>
            </w:r>
          </w:p>
        </w:tc>
        <w:tc>
          <w:tcPr>
            <w:tcW w:w="4261" w:type="dxa"/>
            <w:noWrap w:val="0"/>
            <w:vAlign w:val="top"/>
          </w:tcPr>
          <w:p w14:paraId="371F6D45">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账号：</w:t>
            </w:r>
          </w:p>
        </w:tc>
      </w:tr>
    </w:tbl>
    <w:p w14:paraId="7BE22232">
      <w:pPr>
        <w:pStyle w:val="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乙方向甲方开具电子发票，甲方指定邮箱：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或手机号：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收取电子发票下载链接地址，甲方自行打印发票。乙方将电子发票链接地址发送给甲方后即视为乙方已向甲方交付发票。</w:t>
      </w:r>
    </w:p>
    <w:p w14:paraId="3A67BF1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3、检验费用支付时间以账款到达乙方账户时间为准。甲方未按规定期限内将检验费用汇入乙方指定账户的，乙方有权中止标本检验服务，因乙方中止服务产生的损失由甲方承担。</w:t>
      </w:r>
    </w:p>
    <w:p w14:paraId="2E58DDC4">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4、双方业务往来以对公账号为准，甲方不得以现金、转账等任何方式将检验费支付到乙方员工等非乙方账户，否则，甲方承担不利后果，乙方仍有权要求甲方支付。</w:t>
      </w:r>
    </w:p>
    <w:p w14:paraId="6735F978">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5、甲乙双方应积极对账，双方有</w:t>
      </w:r>
      <w:r>
        <w:rPr>
          <w:rFonts w:hint="eastAsia" w:ascii="仿宋" w:hAnsi="仿宋" w:eastAsia="仿宋" w:cs="仿宋"/>
          <w:color w:val="auto"/>
          <w:sz w:val="24"/>
          <w:highlight w:val="none"/>
          <w:lang w:eastAsia="zh-CN"/>
        </w:rPr>
        <w:t>权在</w:t>
      </w:r>
      <w:r>
        <w:rPr>
          <w:rFonts w:hint="eastAsia" w:ascii="仿宋" w:hAnsi="仿宋" w:eastAsia="仿宋" w:cs="仿宋"/>
          <w:color w:val="auto"/>
          <w:sz w:val="24"/>
          <w:highlight w:val="none"/>
        </w:rPr>
        <w:t>周期性或特殊事项下委托第三方审计机构对检验服务项目进行审计，各方应予配合。</w:t>
      </w:r>
    </w:p>
    <w:p w14:paraId="75C6C718">
      <w:pPr>
        <w:spacing w:line="360" w:lineRule="auto"/>
        <w:ind w:firstLine="482" w:firstLineChars="200"/>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七、合同的终止</w:t>
      </w:r>
    </w:p>
    <w:p w14:paraId="05864F20">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存在以下情形的，乙方有权终止本合同：</w:t>
      </w:r>
    </w:p>
    <w:p w14:paraId="55326A49">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1、甲方不按乙方的规定提供检验样本，经双方多次协商后仍不予改正；</w:t>
      </w:r>
    </w:p>
    <w:p w14:paraId="063E4E48">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2、乙方因国家政策或其他原因不能提供相应的服务；</w:t>
      </w:r>
    </w:p>
    <w:p w14:paraId="3268695E">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3、甲方迟延支付检验费用达</w:t>
      </w:r>
      <w:r>
        <w:rPr>
          <w:rFonts w:ascii="仿宋" w:hAnsi="仿宋" w:eastAsia="仿宋" w:cs="仿宋"/>
          <w:color w:val="auto"/>
          <w:sz w:val="24"/>
          <w:highlight w:val="none"/>
          <w:u w:val="single"/>
        </w:rPr>
        <w:t>9</w:t>
      </w:r>
      <w:r>
        <w:rPr>
          <w:rFonts w:hint="eastAsia" w:ascii="仿宋" w:hAnsi="仿宋" w:eastAsia="仿宋" w:cs="仿宋"/>
          <w:color w:val="auto"/>
          <w:sz w:val="24"/>
          <w:highlight w:val="none"/>
          <w:u w:val="single"/>
        </w:rPr>
        <w:t>0</w:t>
      </w:r>
      <w:r>
        <w:rPr>
          <w:rFonts w:hint="eastAsia" w:ascii="仿宋" w:hAnsi="仿宋" w:eastAsia="仿宋" w:cs="仿宋"/>
          <w:color w:val="auto"/>
          <w:sz w:val="24"/>
          <w:highlight w:val="none"/>
        </w:rPr>
        <w:t>天的。</w:t>
      </w:r>
    </w:p>
    <w:p w14:paraId="56105A72">
      <w:pPr>
        <w:tabs>
          <w:tab w:val="left" w:pos="6598"/>
        </w:tabs>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八、违约责任</w:t>
      </w:r>
      <w:r>
        <w:rPr>
          <w:rFonts w:hint="eastAsia" w:ascii="仿宋" w:hAnsi="仿宋" w:eastAsia="仿宋" w:cs="仿宋"/>
          <w:b/>
          <w:bCs/>
          <w:color w:val="auto"/>
          <w:sz w:val="24"/>
          <w:highlight w:val="none"/>
        </w:rPr>
        <w:tab/>
      </w:r>
    </w:p>
    <w:p w14:paraId="07F673BC">
      <w:pPr>
        <w:spacing w:line="360" w:lineRule="auto"/>
        <w:ind w:firstLine="480" w:firstLineChars="200"/>
        <w:jc w:val="left"/>
        <w:rPr>
          <w:rFonts w:hint="eastAsia" w:ascii="仿宋" w:hAnsi="仿宋" w:eastAsia="仿宋" w:cs="仿宋"/>
          <w:color w:val="auto"/>
          <w:sz w:val="24"/>
          <w:highlight w:val="none"/>
        </w:rPr>
      </w:pPr>
      <w:r>
        <w:rPr>
          <w:rFonts w:ascii="仿宋" w:hAnsi="仿宋" w:eastAsia="仿宋" w:cs="仿宋"/>
          <w:color w:val="auto"/>
          <w:sz w:val="24"/>
          <w:highlight w:val="none"/>
        </w:rPr>
        <w:t>1</w:t>
      </w:r>
      <w:r>
        <w:rPr>
          <w:rFonts w:hint="eastAsia" w:ascii="仿宋" w:hAnsi="仿宋" w:eastAsia="仿宋" w:cs="仿宋"/>
          <w:color w:val="auto"/>
          <w:sz w:val="24"/>
          <w:highlight w:val="none"/>
        </w:rPr>
        <w:t>、甲方及甲方人员、代理人不得以任何形式篡改、冒用乙方名义出具报告，否则，甲方承担一切法律责任，乙方有权解除本合同。</w:t>
      </w:r>
    </w:p>
    <w:p w14:paraId="465179FD">
      <w:pPr>
        <w:spacing w:line="360" w:lineRule="auto"/>
        <w:ind w:firstLine="480" w:firstLineChars="200"/>
        <w:jc w:val="left"/>
        <w:rPr>
          <w:rFonts w:hint="eastAsia" w:ascii="仿宋" w:hAnsi="仿宋" w:eastAsia="仿宋" w:cs="仿宋"/>
          <w:color w:val="auto"/>
          <w:sz w:val="24"/>
          <w:highlight w:val="none"/>
        </w:rPr>
      </w:pPr>
      <w:r>
        <w:rPr>
          <w:rFonts w:ascii="仿宋" w:hAnsi="仿宋" w:eastAsia="仿宋" w:cs="仿宋"/>
          <w:color w:val="auto"/>
          <w:sz w:val="24"/>
          <w:highlight w:val="none"/>
        </w:rPr>
        <w:t>2</w:t>
      </w:r>
      <w:r>
        <w:rPr>
          <w:rFonts w:hint="eastAsia" w:ascii="仿宋" w:hAnsi="仿宋" w:eastAsia="仿宋" w:cs="仿宋"/>
          <w:color w:val="auto"/>
          <w:sz w:val="24"/>
          <w:highlight w:val="none"/>
        </w:rPr>
        <w:t>、任一方未按照本合同约定履行或履行不符合本合同规定的，即为违约，另一方有权要求违约方依法赔偿损失，包括但不限于经济损失及因此支出的诉讼费、律师费、保全费、担保费、鉴定费、差旅费、调查取证费等合理费用。</w:t>
      </w:r>
    </w:p>
    <w:p w14:paraId="256F6D88">
      <w:pPr>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九、纠纷的解决</w:t>
      </w:r>
    </w:p>
    <w:p w14:paraId="0368ECCF">
      <w:pPr>
        <w:pStyle w:val="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未尽事宜及在本合同履行过程中出现的争议，由双方友好协商解决。协商不能解决的，双方同意向甲方所在地有管辖权的人民法院提出诉讼解决。</w:t>
      </w:r>
    </w:p>
    <w:p w14:paraId="7D693889">
      <w:pPr>
        <w:pStyle w:val="2"/>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十、通知及送达</w:t>
      </w:r>
    </w:p>
    <w:p w14:paraId="5F04DA28">
      <w:pPr>
        <w:pStyle w:val="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1、除本合同另有约定外，本合同履行过程中甲乙双方之间的所有通讯往来均应按照本合同首部载明的联系方式进行。任何一方按该方式向对方联系人发出通知即视为向对方履行了通知义务。</w:t>
      </w:r>
    </w:p>
    <w:p w14:paraId="5135DE81">
      <w:pPr>
        <w:pStyle w:val="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2、合同有效期内，任一方的名称、地址、指定的联系人、联系方式等发生变更的，应提前7个工作日书面通知另一方，否则，另一方按变更前的方式送达的，视为有效送达，未履行通知义务一方承担不利后果。</w:t>
      </w:r>
    </w:p>
    <w:p w14:paraId="2A4AC1CA">
      <w:pPr>
        <w:spacing w:line="360" w:lineRule="auto"/>
        <w:ind w:firstLine="482" w:firstLineChars="200"/>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十一、合同的效力</w:t>
      </w:r>
    </w:p>
    <w:p w14:paraId="60C6CBD7">
      <w:pPr>
        <w:spacing w:line="360" w:lineRule="auto"/>
        <w:ind w:firstLine="496" w:firstLineChars="200"/>
        <w:jc w:val="left"/>
        <w:rPr>
          <w:rFonts w:ascii="仿宋" w:hAnsi="仿宋" w:eastAsia="仿宋" w:cs="仿宋"/>
          <w:bCs/>
          <w:snapToGrid w:val="0"/>
          <w:color w:val="auto"/>
          <w:spacing w:val="4"/>
          <w:kern w:val="0"/>
          <w:sz w:val="24"/>
          <w:highlight w:val="none"/>
        </w:rPr>
      </w:pPr>
      <w:r>
        <w:rPr>
          <w:rFonts w:hint="eastAsia" w:ascii="仿宋" w:hAnsi="仿宋" w:eastAsia="仿宋" w:cs="仿宋"/>
          <w:bCs/>
          <w:snapToGrid w:val="0"/>
          <w:color w:val="auto"/>
          <w:spacing w:val="4"/>
          <w:kern w:val="0"/>
          <w:sz w:val="24"/>
          <w:highlight w:val="none"/>
        </w:rPr>
        <w:t>本合同一式柒份，甲方执伍份，乙方执贰份，合同经甲、乙双方法定代表人签字并盖章后生效。</w:t>
      </w:r>
    </w:p>
    <w:p w14:paraId="11B39B58">
      <w:pPr>
        <w:spacing w:line="360" w:lineRule="auto"/>
        <w:ind w:firstLine="482" w:firstLineChars="200"/>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十二、项目联系人及方式</w:t>
      </w:r>
    </w:p>
    <w:p w14:paraId="54276D5C">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甲方项目联系人：张西安            乙方项目联系人：</w:t>
      </w:r>
    </w:p>
    <w:p w14:paraId="607CB2BE">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联系电话：029-</w:t>
      </w:r>
      <w:r>
        <w:rPr>
          <w:rFonts w:ascii="仿宋" w:hAnsi="仿宋" w:eastAsia="仿宋" w:cs="仿宋"/>
          <w:color w:val="auto"/>
          <w:sz w:val="24"/>
          <w:highlight w:val="none"/>
        </w:rPr>
        <w:t>89626251</w:t>
      </w:r>
      <w:r>
        <w:rPr>
          <w:rFonts w:hint="eastAsia" w:ascii="仿宋" w:hAnsi="仿宋" w:eastAsia="仿宋" w:cs="仿宋"/>
          <w:color w:val="auto"/>
          <w:sz w:val="24"/>
          <w:highlight w:val="none"/>
        </w:rPr>
        <w:t xml:space="preserve">            联系电话：</w:t>
      </w:r>
    </w:p>
    <w:p w14:paraId="740E8DF5">
      <w:pP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双方确定，在本合同有效期内，甲方指定</w:t>
      </w:r>
      <w:r>
        <w:rPr>
          <w:rFonts w:hint="eastAsia" w:ascii="仿宋" w:hAnsi="仿宋" w:eastAsia="仿宋" w:cs="仿宋"/>
          <w:color w:val="auto"/>
          <w:sz w:val="24"/>
          <w:highlight w:val="none"/>
          <w:u w:val="single"/>
        </w:rPr>
        <w:t xml:space="preserve"> 张西安 </w:t>
      </w:r>
      <w:r>
        <w:rPr>
          <w:rFonts w:hint="eastAsia" w:ascii="仿宋" w:hAnsi="仿宋" w:eastAsia="仿宋" w:cs="仿宋"/>
          <w:color w:val="auto"/>
          <w:sz w:val="24"/>
          <w:highlight w:val="none"/>
        </w:rPr>
        <w:t>为甲方项目联系人，乙方指定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为乙方项目联系人。一方变更项目联系人的，应当及时以书面形式通知另一方。未及时通知并影响本合同履行或造成损失的，应承担相应的责任。</w:t>
      </w:r>
    </w:p>
    <w:p w14:paraId="0749CBC2">
      <w:pPr>
        <w:spacing w:line="360" w:lineRule="auto"/>
        <w:ind w:firstLine="482" w:firstLineChars="200"/>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十三、其他事项</w:t>
      </w:r>
    </w:p>
    <w:p w14:paraId="43F66CF7">
      <w:pPr>
        <w:pStyle w:val="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1、合同履行期间，甲乙双方应严格遵守合同相关的《信息保护政策》《廉洁合同》及相关补充约定，遵守法律法规的合规要求。</w:t>
      </w:r>
    </w:p>
    <w:p w14:paraId="4835D4C9">
      <w:pPr>
        <w:pStyle w:val="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甲乙任一方因科研项目、发表论文、数据分析等需要，将受检者信息去标识化后，可使用本合同所产生的信息、数据及相关剩余样本（如有），并依法自行承担责任，一方如需另一方协助的，应当另行签订合同明确。</w:t>
      </w:r>
    </w:p>
    <w:p w14:paraId="7AEE31DA">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3、甲乙双方均应提交各自的盖公章的医疗机构执业许可证、统一社会信用代码证给对方存档。                            </w:t>
      </w:r>
    </w:p>
    <w:p w14:paraId="1BD0E138">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4、未经另一方书面同意，任何一方不得变更或修改本合同；双方协商达成一致的，应签订书面补充合同。补充合同经双方法定代表人签字并盖章后生效，否则无效。</w:t>
      </w:r>
    </w:p>
    <w:p w14:paraId="5BCBF6C0">
      <w:pPr>
        <w:spacing w:line="380" w:lineRule="exact"/>
        <w:ind w:firstLine="480" w:firstLineChars="200"/>
        <w:rPr>
          <w:rFonts w:hint="eastAsia" w:ascii="等线" w:hAnsi="等线" w:cs="等线"/>
          <w:color w:val="auto"/>
          <w:sz w:val="24"/>
          <w:highlight w:val="none"/>
        </w:rPr>
      </w:pPr>
      <w:r>
        <w:rPr>
          <w:rFonts w:hint="eastAsia" w:ascii="仿宋" w:hAnsi="仿宋" w:eastAsia="仿宋" w:cs="仿宋"/>
          <w:color w:val="auto"/>
          <w:sz w:val="24"/>
          <w:highlight w:val="none"/>
        </w:rPr>
        <w:t>本合同按照中华人民共和国的现行法律进行解释。</w:t>
      </w:r>
    </w:p>
    <w:p w14:paraId="770CFF5C">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甲方：（盖章）                   乙方：（盖章）</w:t>
      </w:r>
    </w:p>
    <w:p w14:paraId="77F8D099">
      <w:pPr>
        <w:spacing w:line="360" w:lineRule="auto"/>
        <w:ind w:firstLine="240" w:firstLineChars="10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地址：西安市凤城八路6</w:t>
      </w:r>
      <w:r>
        <w:rPr>
          <w:rFonts w:ascii="仿宋" w:hAnsi="仿宋" w:eastAsia="仿宋" w:cs="仿宋"/>
          <w:color w:val="auto"/>
          <w:sz w:val="24"/>
          <w:highlight w:val="none"/>
        </w:rPr>
        <w:t>9</w:t>
      </w:r>
      <w:r>
        <w:rPr>
          <w:rFonts w:hint="eastAsia" w:ascii="仿宋" w:hAnsi="仿宋" w:eastAsia="仿宋" w:cs="仿宋"/>
          <w:color w:val="auto"/>
          <w:sz w:val="24"/>
          <w:highlight w:val="none"/>
        </w:rPr>
        <w:t xml:space="preserve">号 </w:t>
      </w:r>
      <w:r>
        <w:rPr>
          <w:rFonts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地址：</w:t>
      </w:r>
    </w:p>
    <w:p w14:paraId="5175478B">
      <w:pPr>
        <w:pStyle w:val="2"/>
        <w:rPr>
          <w:rFonts w:hint="eastAsia"/>
          <w:color w:val="auto"/>
          <w:highlight w:val="none"/>
        </w:rPr>
      </w:pPr>
    </w:p>
    <w:p w14:paraId="5E2FCDCA">
      <w:pPr>
        <w:pStyle w:val="2"/>
        <w:ind w:firstLine="240" w:firstLineChars="100"/>
        <w:rPr>
          <w:rFonts w:ascii="仿宋" w:hAnsi="仿宋" w:eastAsia="仿宋" w:cs="仿宋"/>
          <w:color w:val="auto"/>
          <w:sz w:val="24"/>
          <w:highlight w:val="none"/>
        </w:rPr>
      </w:pPr>
    </w:p>
    <w:p w14:paraId="7CD482C0">
      <w:pPr>
        <w:pStyle w:val="2"/>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 xml:space="preserve">法定代表人：（签章） </w:t>
      </w:r>
      <w:r>
        <w:rPr>
          <w:rFonts w:ascii="仿宋" w:hAnsi="仿宋" w:eastAsia="仿宋" w:cs="仿宋"/>
          <w:color w:val="auto"/>
          <w:sz w:val="24"/>
          <w:highlight w:val="none"/>
        </w:rPr>
        <w:t xml:space="preserve">            </w:t>
      </w:r>
      <w:r>
        <w:rPr>
          <w:rFonts w:hint="eastAsia" w:ascii="仿宋" w:hAnsi="仿宋" w:eastAsia="仿宋" w:cs="仿宋"/>
          <w:color w:val="auto"/>
          <w:sz w:val="24"/>
          <w:highlight w:val="none"/>
        </w:rPr>
        <w:t>法定代表人：（签章）</w:t>
      </w:r>
    </w:p>
    <w:p w14:paraId="3E22D14B">
      <w:pPr>
        <w:pStyle w:val="2"/>
        <w:ind w:firstLine="240" w:firstLineChars="100"/>
        <w:rPr>
          <w:rFonts w:ascii="仿宋" w:hAnsi="仿宋" w:eastAsia="仿宋" w:cs="仿宋"/>
          <w:color w:val="auto"/>
          <w:sz w:val="24"/>
          <w:highlight w:val="none"/>
        </w:rPr>
      </w:pPr>
    </w:p>
    <w:p w14:paraId="72827B78">
      <w:pPr>
        <w:pStyle w:val="2"/>
        <w:ind w:firstLine="240" w:firstLineChars="100"/>
        <w:rPr>
          <w:rFonts w:ascii="仿宋" w:hAnsi="仿宋" w:eastAsia="仿宋" w:cs="仿宋"/>
          <w:color w:val="auto"/>
          <w:sz w:val="24"/>
          <w:highlight w:val="none"/>
        </w:rPr>
      </w:pPr>
    </w:p>
    <w:p w14:paraId="76B123BA">
      <w:pPr>
        <w:pStyle w:val="2"/>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主管院长：</w:t>
      </w:r>
    </w:p>
    <w:p w14:paraId="5FB14DB7">
      <w:pPr>
        <w:pStyle w:val="2"/>
        <w:ind w:firstLine="240" w:firstLineChars="100"/>
        <w:rPr>
          <w:rFonts w:ascii="仿宋" w:hAnsi="仿宋" w:eastAsia="仿宋" w:cs="仿宋"/>
          <w:color w:val="auto"/>
          <w:sz w:val="24"/>
          <w:highlight w:val="none"/>
        </w:rPr>
      </w:pPr>
    </w:p>
    <w:p w14:paraId="3C9899C2">
      <w:pPr>
        <w:pStyle w:val="2"/>
        <w:ind w:firstLine="240" w:firstLineChars="100"/>
        <w:rPr>
          <w:rFonts w:hint="eastAsia" w:ascii="仿宋" w:hAnsi="仿宋" w:eastAsia="仿宋" w:cs="仿宋"/>
          <w:color w:val="auto"/>
          <w:sz w:val="24"/>
          <w:highlight w:val="none"/>
        </w:rPr>
      </w:pPr>
    </w:p>
    <w:p w14:paraId="794F4A82">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代理人：                    </w:t>
      </w:r>
      <w:r>
        <w:rPr>
          <w:rFonts w:ascii="仿宋" w:hAnsi="仿宋" w:eastAsia="仿宋" w:cs="仿宋"/>
          <w:color w:val="auto"/>
          <w:sz w:val="24"/>
          <w:highlight w:val="none"/>
        </w:rPr>
        <w:t xml:space="preserve">   </w:t>
      </w:r>
      <w:r>
        <w:rPr>
          <w:rFonts w:hint="eastAsia" w:ascii="仿宋" w:hAnsi="仿宋" w:eastAsia="仿宋" w:cs="仿宋"/>
          <w:color w:val="auto"/>
          <w:sz w:val="24"/>
          <w:highlight w:val="none"/>
        </w:rPr>
        <w:t xml:space="preserve">  代理人：</w:t>
      </w:r>
    </w:p>
    <w:p w14:paraId="2448BD48">
      <w:pPr>
        <w:spacing w:line="360" w:lineRule="auto"/>
        <w:jc w:val="left"/>
        <w:rPr>
          <w:rFonts w:hint="eastAsia" w:ascii="仿宋" w:hAnsi="仿宋" w:eastAsia="仿宋" w:cs="仿宋"/>
          <w:color w:val="auto"/>
          <w:sz w:val="24"/>
          <w:highlight w:val="none"/>
        </w:rPr>
      </w:pPr>
    </w:p>
    <w:p w14:paraId="30790E6E">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ascii="仿宋" w:hAnsi="仿宋" w:eastAsia="仿宋" w:cs="仿宋"/>
          <w:color w:val="auto"/>
          <w:sz w:val="24"/>
          <w:highlight w:val="none"/>
        </w:rPr>
        <w:t xml:space="preserve"> </w:t>
      </w:r>
      <w:r>
        <w:rPr>
          <w:rFonts w:hint="eastAsia" w:ascii="仿宋" w:hAnsi="仿宋" w:eastAsia="仿宋" w:cs="仿宋"/>
          <w:color w:val="auto"/>
          <w:sz w:val="24"/>
          <w:highlight w:val="none"/>
        </w:rPr>
        <w:t>联系方式：0</w:t>
      </w:r>
      <w:r>
        <w:rPr>
          <w:rFonts w:ascii="仿宋" w:hAnsi="仿宋" w:eastAsia="仿宋" w:cs="仿宋"/>
          <w:color w:val="auto"/>
          <w:sz w:val="24"/>
          <w:highlight w:val="none"/>
        </w:rPr>
        <w:t xml:space="preserve">29-89626819           </w:t>
      </w:r>
      <w:r>
        <w:rPr>
          <w:rFonts w:hint="eastAsia" w:ascii="仿宋" w:hAnsi="仿宋" w:eastAsia="仿宋" w:cs="仿宋"/>
          <w:color w:val="auto"/>
          <w:sz w:val="24"/>
          <w:highlight w:val="none"/>
        </w:rPr>
        <w:t>联系方式：</w:t>
      </w:r>
    </w:p>
    <w:p w14:paraId="135A0E9C">
      <w:pPr>
        <w:spacing w:line="360" w:lineRule="auto"/>
        <w:jc w:val="left"/>
        <w:rPr>
          <w:rFonts w:hint="eastAsia" w:ascii="仿宋" w:hAnsi="仿宋" w:eastAsia="仿宋" w:cs="仿宋"/>
          <w:color w:val="auto"/>
          <w:sz w:val="24"/>
          <w:highlight w:val="none"/>
        </w:rPr>
      </w:pPr>
    </w:p>
    <w:p w14:paraId="359F257D">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ascii="仿宋" w:hAnsi="仿宋" w:eastAsia="仿宋" w:cs="仿宋"/>
          <w:color w:val="auto"/>
          <w:sz w:val="24"/>
          <w:highlight w:val="none"/>
        </w:rPr>
        <w:t xml:space="preserve"> </w:t>
      </w: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年 </w:t>
      </w:r>
      <w:r>
        <w:rPr>
          <w:rFonts w:ascii="仿宋" w:hAnsi="仿宋" w:eastAsia="仿宋" w:cs="仿宋"/>
          <w:color w:val="auto"/>
          <w:sz w:val="24"/>
          <w:highlight w:val="none"/>
        </w:rPr>
        <w:t xml:space="preserve">  </w:t>
      </w:r>
      <w:r>
        <w:rPr>
          <w:rFonts w:hint="eastAsia" w:ascii="仿宋" w:hAnsi="仿宋" w:eastAsia="仿宋" w:cs="仿宋"/>
          <w:color w:val="auto"/>
          <w:sz w:val="24"/>
          <w:highlight w:val="none"/>
        </w:rPr>
        <w:t xml:space="preserve">月 </w:t>
      </w:r>
      <w:r>
        <w:rPr>
          <w:rFonts w:ascii="仿宋" w:hAnsi="仿宋" w:eastAsia="仿宋" w:cs="仿宋"/>
          <w:color w:val="auto"/>
          <w:sz w:val="24"/>
          <w:highlight w:val="none"/>
        </w:rPr>
        <w:t xml:space="preserve">  </w:t>
      </w:r>
      <w:r>
        <w:rPr>
          <w:rFonts w:hint="eastAsia" w:ascii="仿宋" w:hAnsi="仿宋" w:eastAsia="仿宋" w:cs="仿宋"/>
          <w:color w:val="auto"/>
          <w:sz w:val="24"/>
          <w:highlight w:val="none"/>
        </w:rPr>
        <w:t xml:space="preserve">日 </w:t>
      </w:r>
      <w:r>
        <w:rPr>
          <w:rFonts w:ascii="仿宋" w:hAnsi="仿宋" w:eastAsia="仿宋" w:cs="仿宋"/>
          <w:color w:val="auto"/>
          <w:sz w:val="24"/>
          <w:highlight w:val="none"/>
        </w:rPr>
        <w:t xml:space="preserve">         </w:t>
      </w: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年 </w:t>
      </w:r>
      <w:r>
        <w:rPr>
          <w:rFonts w:ascii="仿宋" w:hAnsi="仿宋" w:eastAsia="仿宋" w:cs="仿宋"/>
          <w:color w:val="auto"/>
          <w:sz w:val="24"/>
          <w:highlight w:val="none"/>
        </w:rPr>
        <w:t xml:space="preserve">  </w:t>
      </w:r>
      <w:r>
        <w:rPr>
          <w:rFonts w:hint="eastAsia" w:ascii="仿宋" w:hAnsi="仿宋" w:eastAsia="仿宋" w:cs="仿宋"/>
          <w:color w:val="auto"/>
          <w:sz w:val="24"/>
          <w:highlight w:val="none"/>
        </w:rPr>
        <w:t xml:space="preserve">月 </w:t>
      </w:r>
      <w:r>
        <w:rPr>
          <w:rFonts w:ascii="仿宋" w:hAnsi="仿宋" w:eastAsia="仿宋" w:cs="仿宋"/>
          <w:color w:val="auto"/>
          <w:sz w:val="24"/>
          <w:highlight w:val="none"/>
        </w:rPr>
        <w:t xml:space="preserve">  </w:t>
      </w:r>
      <w:r>
        <w:rPr>
          <w:rFonts w:hint="eastAsia" w:ascii="仿宋" w:hAnsi="仿宋" w:eastAsia="仿宋" w:cs="仿宋"/>
          <w:color w:val="auto"/>
          <w:sz w:val="24"/>
          <w:highlight w:val="none"/>
        </w:rPr>
        <w:t>日</w:t>
      </w:r>
    </w:p>
    <w:p w14:paraId="617DBD6F">
      <w:pPr>
        <w:spacing w:line="360" w:lineRule="auto"/>
        <w:jc w:val="left"/>
        <w:rPr>
          <w:rFonts w:ascii="仿宋" w:hAnsi="仿宋" w:eastAsia="仿宋" w:cs="仿宋"/>
          <w:color w:val="auto"/>
          <w:sz w:val="24"/>
          <w:highlight w:val="none"/>
        </w:rPr>
      </w:pPr>
    </w:p>
    <w:p w14:paraId="42951199">
      <w:pPr>
        <w:spacing w:line="360" w:lineRule="auto"/>
        <w:jc w:val="left"/>
        <w:rPr>
          <w:rFonts w:ascii="仿宋" w:hAnsi="仿宋" w:eastAsia="仿宋" w:cs="仿宋"/>
          <w:color w:val="auto"/>
          <w:sz w:val="24"/>
          <w:highlight w:val="none"/>
        </w:rPr>
      </w:pPr>
    </w:p>
    <w:p w14:paraId="3262DC19">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附件：</w:t>
      </w:r>
    </w:p>
    <w:p w14:paraId="22819E16">
      <w:pPr>
        <w:spacing w:line="360" w:lineRule="auto"/>
        <w:ind w:left="-420" w:leftChars="-295" w:hanging="199" w:hangingChars="83"/>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1、《项目总汇》、《采样手册》（包括其后乙方提供的所有的修改版）；</w:t>
      </w:r>
    </w:p>
    <w:p w14:paraId="7FC01A6D">
      <w:pPr>
        <w:spacing w:line="360" w:lineRule="auto"/>
        <w:ind w:leftChars="-94" w:hanging="196" w:hangingChars="82"/>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ascii="仿宋" w:hAnsi="仿宋" w:eastAsia="仿宋" w:cs="仿宋"/>
          <w:color w:val="auto"/>
          <w:sz w:val="24"/>
          <w:highlight w:val="none"/>
        </w:rPr>
        <w:t xml:space="preserve"> </w:t>
      </w:r>
      <w:r>
        <w:rPr>
          <w:rFonts w:hint="eastAsia" w:ascii="仿宋" w:hAnsi="仿宋" w:eastAsia="仿宋" w:cs="仿宋"/>
          <w:color w:val="auto"/>
          <w:sz w:val="24"/>
          <w:highlight w:val="none"/>
        </w:rPr>
        <w:t xml:space="preserve"> 2、合同签订前，双方应向对方提供包括但不限于以下资料复印件一份：</w:t>
      </w:r>
    </w:p>
    <w:p w14:paraId="078042E2">
      <w:pPr>
        <w:spacing w:line="360" w:lineRule="auto"/>
        <w:ind w:left="-619" w:leftChars="-295"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（1）统一社会信用代码证或事业单位法人证书；</w:t>
      </w:r>
    </w:p>
    <w:p w14:paraId="344134C5">
      <w:pPr>
        <w:spacing w:line="360" w:lineRule="auto"/>
        <w:ind w:left="-619" w:leftChars="-295"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（2）医疗机构执业许可证；</w:t>
      </w:r>
    </w:p>
    <w:p w14:paraId="66C05DC3">
      <w:pPr>
        <w:spacing w:line="360" w:lineRule="auto"/>
        <w:ind w:left="-619" w:leftChars="-295"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（3）医疗机构负责人身份证明/身份证（非法人性质的民营医疗机构必须提   </w:t>
      </w:r>
    </w:p>
    <w:p w14:paraId="10455E13">
      <w:pPr>
        <w:spacing w:line="360" w:lineRule="auto"/>
        <w:ind w:left="-619" w:leftChars="-295"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供）。　　</w:t>
      </w:r>
    </w:p>
    <w:p w14:paraId="39648445">
      <w:pPr>
        <w:tabs>
          <w:tab w:val="left" w:pos="3860"/>
        </w:tabs>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3、《委托范围》《信息保护政策》《廉洁合同》</w:t>
      </w:r>
    </w:p>
    <w:p w14:paraId="3DF65021">
      <w:pPr>
        <w:pStyle w:val="2"/>
        <w:rPr>
          <w:rFonts w:ascii="仿宋" w:hAnsi="仿宋" w:eastAsia="仿宋" w:cs="仿宋"/>
          <w:b/>
          <w:bCs/>
          <w:color w:val="auto"/>
          <w:sz w:val="24"/>
          <w:highlight w:val="none"/>
        </w:rPr>
      </w:pPr>
      <w:r>
        <w:rPr>
          <w:rFonts w:hint="eastAsia" w:ascii="仿宋" w:hAnsi="仿宋" w:eastAsia="仿宋" w:cs="仿宋"/>
          <w:b/>
          <w:bCs/>
          <w:color w:val="auto"/>
          <w:sz w:val="24"/>
          <w:highlight w:val="none"/>
        </w:rPr>
        <w:t xml:space="preserve"> </w:t>
      </w:r>
      <w:r>
        <w:rPr>
          <w:rFonts w:ascii="仿宋" w:hAnsi="仿宋" w:eastAsia="仿宋" w:cs="仿宋"/>
          <w:b/>
          <w:bCs/>
          <w:color w:val="auto"/>
          <w:sz w:val="24"/>
          <w:highlight w:val="none"/>
        </w:rPr>
        <w:t xml:space="preserve">                               </w:t>
      </w:r>
    </w:p>
    <w:p w14:paraId="48440963">
      <w:pPr>
        <w:pStyle w:val="2"/>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委托范围</w:t>
      </w:r>
    </w:p>
    <w:tbl>
      <w:tblPr>
        <w:tblStyle w:val="4"/>
        <w:tblpPr w:leftFromText="180" w:rightFromText="180" w:vertAnchor="page" w:horzAnchor="margin" w:tblpXSpec="center" w:tblpY="5521"/>
        <w:tblOverlap w:val="never"/>
        <w:tblW w:w="94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300"/>
        <w:gridCol w:w="3950"/>
        <w:gridCol w:w="616"/>
        <w:gridCol w:w="967"/>
        <w:gridCol w:w="950"/>
        <w:gridCol w:w="1050"/>
      </w:tblGrid>
      <w:tr w14:paraId="516C3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59" w:type="dxa"/>
            <w:noWrap w:val="0"/>
            <w:vAlign w:val="top"/>
          </w:tcPr>
          <w:p w14:paraId="1624508D">
            <w:pP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财务</w:t>
            </w:r>
          </w:p>
          <w:p w14:paraId="515863DC">
            <w:pP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分类</w:t>
            </w:r>
          </w:p>
        </w:tc>
        <w:tc>
          <w:tcPr>
            <w:tcW w:w="1300" w:type="dxa"/>
            <w:noWrap w:val="0"/>
            <w:vAlign w:val="top"/>
          </w:tcPr>
          <w:p w14:paraId="00982703">
            <w:pPr>
              <w:ind w:firstLine="211" w:firstLineChars="10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收费编码</w:t>
            </w:r>
          </w:p>
        </w:tc>
        <w:tc>
          <w:tcPr>
            <w:tcW w:w="3950" w:type="dxa"/>
            <w:noWrap w:val="0"/>
            <w:vAlign w:val="top"/>
          </w:tcPr>
          <w:p w14:paraId="736A5722">
            <w:pPr>
              <w:ind w:firstLine="1265" w:firstLineChars="60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项目名称</w:t>
            </w:r>
          </w:p>
        </w:tc>
        <w:tc>
          <w:tcPr>
            <w:tcW w:w="616" w:type="dxa"/>
            <w:noWrap w:val="0"/>
            <w:vAlign w:val="top"/>
          </w:tcPr>
          <w:p w14:paraId="5154B518">
            <w:pPr>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计价单位</w:t>
            </w:r>
          </w:p>
        </w:tc>
        <w:tc>
          <w:tcPr>
            <w:tcW w:w="967" w:type="dxa"/>
            <w:noWrap w:val="0"/>
            <w:vAlign w:val="top"/>
          </w:tcPr>
          <w:p w14:paraId="22B74E1E">
            <w:pP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金额</w:t>
            </w:r>
          </w:p>
          <w:p w14:paraId="72C825D4">
            <w:pP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（元）</w:t>
            </w:r>
          </w:p>
        </w:tc>
        <w:tc>
          <w:tcPr>
            <w:tcW w:w="950" w:type="dxa"/>
            <w:noWrap w:val="0"/>
            <w:vAlign w:val="top"/>
          </w:tcPr>
          <w:p w14:paraId="25083D96">
            <w:pP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院区</w:t>
            </w:r>
          </w:p>
        </w:tc>
        <w:tc>
          <w:tcPr>
            <w:tcW w:w="1050" w:type="dxa"/>
            <w:noWrap w:val="0"/>
            <w:vAlign w:val="top"/>
          </w:tcPr>
          <w:p w14:paraId="7B9B4FE8">
            <w:pP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折扣率</w:t>
            </w:r>
          </w:p>
        </w:tc>
      </w:tr>
      <w:tr w14:paraId="1F4EE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21173166">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7991678F">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250501038a</w:t>
            </w:r>
          </w:p>
        </w:tc>
        <w:tc>
          <w:tcPr>
            <w:tcW w:w="3950" w:type="dxa"/>
            <w:noWrap w:val="0"/>
            <w:vAlign w:val="top"/>
          </w:tcPr>
          <w:p w14:paraId="4118DF3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半乳甘露聚糖检测</w:t>
            </w:r>
          </w:p>
        </w:tc>
        <w:tc>
          <w:tcPr>
            <w:tcW w:w="616" w:type="dxa"/>
            <w:noWrap w:val="0"/>
            <w:vAlign w:val="top"/>
          </w:tcPr>
          <w:p w14:paraId="2F8261C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6057B3DC">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180</w:t>
            </w:r>
          </w:p>
        </w:tc>
        <w:tc>
          <w:tcPr>
            <w:tcW w:w="950" w:type="dxa"/>
            <w:noWrap w:val="0"/>
            <w:vAlign w:val="top"/>
          </w:tcPr>
          <w:p w14:paraId="52BD064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restart"/>
            <w:noWrap w:val="0"/>
            <w:vAlign w:val="top"/>
          </w:tcPr>
          <w:p w14:paraId="4DE6AAD6">
            <w:pPr>
              <w:rPr>
                <w:rFonts w:hint="eastAsia" w:ascii="仿宋" w:hAnsi="仿宋" w:eastAsia="仿宋" w:cs="仿宋"/>
                <w:color w:val="auto"/>
                <w:sz w:val="21"/>
                <w:szCs w:val="21"/>
                <w:highlight w:val="none"/>
              </w:rPr>
            </w:pPr>
          </w:p>
          <w:p w14:paraId="3A58658A">
            <w:pPr>
              <w:rPr>
                <w:rFonts w:hint="eastAsia" w:ascii="仿宋" w:hAnsi="仿宋" w:eastAsia="仿宋" w:cs="仿宋"/>
                <w:color w:val="auto"/>
                <w:sz w:val="21"/>
                <w:szCs w:val="21"/>
                <w:highlight w:val="none"/>
              </w:rPr>
            </w:pPr>
          </w:p>
          <w:p w14:paraId="6AB272D6">
            <w:pPr>
              <w:rPr>
                <w:rFonts w:hint="eastAsia" w:ascii="仿宋" w:hAnsi="仿宋" w:eastAsia="仿宋" w:cs="仿宋"/>
                <w:color w:val="auto"/>
                <w:sz w:val="21"/>
                <w:szCs w:val="21"/>
                <w:highlight w:val="none"/>
              </w:rPr>
            </w:pPr>
          </w:p>
          <w:p w14:paraId="4D7EBC68">
            <w:pPr>
              <w:rPr>
                <w:rFonts w:hint="eastAsia" w:ascii="仿宋" w:hAnsi="仿宋" w:eastAsia="仿宋" w:cs="仿宋"/>
                <w:color w:val="auto"/>
                <w:sz w:val="21"/>
                <w:szCs w:val="21"/>
                <w:highlight w:val="none"/>
              </w:rPr>
            </w:pPr>
          </w:p>
          <w:p w14:paraId="7E158D98">
            <w:pPr>
              <w:rPr>
                <w:rFonts w:hint="eastAsia" w:ascii="仿宋" w:hAnsi="仿宋" w:eastAsia="仿宋" w:cs="仿宋"/>
                <w:color w:val="auto"/>
                <w:sz w:val="21"/>
                <w:szCs w:val="21"/>
                <w:highlight w:val="none"/>
              </w:rPr>
            </w:pPr>
          </w:p>
          <w:p w14:paraId="3CAE1A3E">
            <w:pPr>
              <w:rPr>
                <w:rFonts w:hint="eastAsia" w:ascii="仿宋" w:hAnsi="仿宋" w:eastAsia="仿宋" w:cs="仿宋"/>
                <w:color w:val="auto"/>
                <w:sz w:val="21"/>
                <w:szCs w:val="21"/>
                <w:highlight w:val="none"/>
              </w:rPr>
            </w:pPr>
          </w:p>
          <w:p w14:paraId="1342E97F">
            <w:pPr>
              <w:rPr>
                <w:rFonts w:hint="eastAsia" w:ascii="仿宋" w:hAnsi="仿宋" w:eastAsia="仿宋" w:cs="仿宋"/>
                <w:color w:val="auto"/>
                <w:sz w:val="21"/>
                <w:szCs w:val="21"/>
                <w:highlight w:val="none"/>
              </w:rPr>
            </w:pPr>
          </w:p>
          <w:p w14:paraId="2A879DCE">
            <w:pPr>
              <w:rPr>
                <w:rFonts w:hint="eastAsia" w:ascii="仿宋" w:hAnsi="仿宋" w:eastAsia="仿宋" w:cs="仿宋"/>
                <w:color w:val="auto"/>
                <w:sz w:val="21"/>
                <w:szCs w:val="21"/>
                <w:highlight w:val="none"/>
              </w:rPr>
            </w:pPr>
          </w:p>
          <w:p w14:paraId="5FC37625">
            <w:pPr>
              <w:rPr>
                <w:rFonts w:hint="eastAsia" w:ascii="仿宋" w:hAnsi="仿宋" w:eastAsia="仿宋" w:cs="仿宋"/>
                <w:color w:val="auto"/>
                <w:sz w:val="21"/>
                <w:szCs w:val="21"/>
                <w:highlight w:val="none"/>
              </w:rPr>
            </w:pPr>
          </w:p>
          <w:p w14:paraId="7E4C55E5">
            <w:pPr>
              <w:rPr>
                <w:rFonts w:hint="eastAsia" w:ascii="仿宋" w:hAnsi="仿宋" w:eastAsia="仿宋" w:cs="仿宋"/>
                <w:color w:val="auto"/>
                <w:sz w:val="21"/>
                <w:szCs w:val="21"/>
                <w:highlight w:val="none"/>
              </w:rPr>
            </w:pPr>
          </w:p>
          <w:p w14:paraId="765303E8">
            <w:pPr>
              <w:rPr>
                <w:rFonts w:hint="eastAsia" w:ascii="仿宋" w:hAnsi="仿宋" w:eastAsia="仿宋" w:cs="仿宋"/>
                <w:color w:val="auto"/>
                <w:sz w:val="21"/>
                <w:szCs w:val="21"/>
                <w:highlight w:val="none"/>
              </w:rPr>
            </w:pPr>
          </w:p>
          <w:p w14:paraId="1724933A">
            <w:pPr>
              <w:rPr>
                <w:rFonts w:hint="eastAsia" w:ascii="仿宋" w:hAnsi="仿宋" w:eastAsia="仿宋" w:cs="仿宋"/>
                <w:color w:val="auto"/>
                <w:sz w:val="21"/>
                <w:szCs w:val="21"/>
                <w:highlight w:val="none"/>
              </w:rPr>
            </w:pPr>
          </w:p>
          <w:p w14:paraId="4678AFBE">
            <w:pPr>
              <w:rPr>
                <w:rFonts w:hint="eastAsia" w:ascii="仿宋" w:hAnsi="仿宋" w:eastAsia="仿宋" w:cs="仿宋"/>
                <w:color w:val="auto"/>
                <w:sz w:val="21"/>
                <w:szCs w:val="21"/>
                <w:highlight w:val="none"/>
              </w:rPr>
            </w:pPr>
          </w:p>
          <w:p w14:paraId="20E0CE6A">
            <w:pPr>
              <w:rPr>
                <w:rFonts w:hint="eastAsia" w:ascii="仿宋" w:hAnsi="仿宋" w:eastAsia="仿宋" w:cs="仿宋"/>
                <w:color w:val="auto"/>
                <w:sz w:val="21"/>
                <w:szCs w:val="21"/>
                <w:highlight w:val="none"/>
              </w:rPr>
            </w:pPr>
          </w:p>
          <w:p w14:paraId="0F992824">
            <w:pPr>
              <w:rPr>
                <w:rFonts w:hint="eastAsia" w:ascii="仿宋" w:hAnsi="仿宋" w:eastAsia="仿宋" w:cs="仿宋"/>
                <w:color w:val="auto"/>
                <w:sz w:val="21"/>
                <w:szCs w:val="21"/>
                <w:highlight w:val="none"/>
              </w:rPr>
            </w:pPr>
          </w:p>
          <w:p w14:paraId="45DD55CD">
            <w:pPr>
              <w:rPr>
                <w:rFonts w:hint="eastAsia" w:ascii="仿宋" w:hAnsi="仿宋" w:eastAsia="仿宋" w:cs="仿宋"/>
                <w:color w:val="auto"/>
                <w:sz w:val="21"/>
                <w:szCs w:val="21"/>
                <w:highlight w:val="none"/>
              </w:rPr>
            </w:pPr>
          </w:p>
          <w:p w14:paraId="2FEA11BD">
            <w:pPr>
              <w:rPr>
                <w:rFonts w:hint="eastAsia" w:ascii="仿宋" w:hAnsi="仿宋" w:eastAsia="仿宋" w:cs="仿宋"/>
                <w:color w:val="auto"/>
                <w:sz w:val="21"/>
                <w:szCs w:val="21"/>
                <w:highlight w:val="none"/>
              </w:rPr>
            </w:pPr>
          </w:p>
          <w:p w14:paraId="3C15D4FA">
            <w:pPr>
              <w:rPr>
                <w:rFonts w:hint="eastAsia" w:ascii="仿宋" w:hAnsi="仿宋" w:eastAsia="仿宋" w:cs="仿宋"/>
                <w:color w:val="auto"/>
                <w:sz w:val="21"/>
                <w:szCs w:val="21"/>
                <w:highlight w:val="none"/>
              </w:rPr>
            </w:pPr>
          </w:p>
          <w:p w14:paraId="39485EE2">
            <w:pPr>
              <w:rPr>
                <w:rFonts w:hint="eastAsia" w:ascii="仿宋" w:hAnsi="仿宋" w:eastAsia="仿宋" w:cs="仿宋"/>
                <w:color w:val="auto"/>
                <w:sz w:val="21"/>
                <w:szCs w:val="21"/>
                <w:highlight w:val="none"/>
              </w:rPr>
            </w:pPr>
          </w:p>
          <w:p w14:paraId="10BC1C4A">
            <w:pPr>
              <w:ind w:firstLine="210" w:firstLineChars="100"/>
              <w:rPr>
                <w:rFonts w:hint="eastAsia" w:ascii="仿宋" w:hAnsi="仿宋" w:eastAsia="仿宋" w:cs="仿宋"/>
                <w:color w:val="auto"/>
                <w:sz w:val="21"/>
                <w:szCs w:val="21"/>
                <w:highlight w:val="none"/>
              </w:rPr>
            </w:pPr>
          </w:p>
        </w:tc>
      </w:tr>
      <w:tr w14:paraId="07E25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10C2C451">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14AEF30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250403013a</w:t>
            </w:r>
          </w:p>
        </w:tc>
        <w:tc>
          <w:tcPr>
            <w:tcW w:w="3950" w:type="dxa"/>
            <w:noWrap w:val="0"/>
            <w:vAlign w:val="top"/>
          </w:tcPr>
          <w:p w14:paraId="1DFAC090">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丙型肝炎RNA定量测定</w:t>
            </w:r>
          </w:p>
        </w:tc>
        <w:tc>
          <w:tcPr>
            <w:tcW w:w="616" w:type="dxa"/>
            <w:noWrap w:val="0"/>
            <w:vAlign w:val="top"/>
          </w:tcPr>
          <w:p w14:paraId="49C4EB0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3CB4831F">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85</w:t>
            </w:r>
          </w:p>
        </w:tc>
        <w:tc>
          <w:tcPr>
            <w:tcW w:w="950" w:type="dxa"/>
            <w:noWrap w:val="0"/>
            <w:vAlign w:val="top"/>
          </w:tcPr>
          <w:p w14:paraId="3914F68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020482CD">
            <w:pPr>
              <w:rPr>
                <w:rFonts w:hint="eastAsia" w:ascii="仿宋" w:hAnsi="仿宋" w:eastAsia="仿宋" w:cs="仿宋"/>
                <w:color w:val="auto"/>
                <w:sz w:val="21"/>
                <w:szCs w:val="21"/>
                <w:highlight w:val="none"/>
              </w:rPr>
            </w:pPr>
          </w:p>
        </w:tc>
      </w:tr>
      <w:tr w14:paraId="4D51E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9" w:type="dxa"/>
            <w:noWrap w:val="0"/>
            <w:vAlign w:val="top"/>
          </w:tcPr>
          <w:p w14:paraId="411A7ADD">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731443B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250403066</w:t>
            </w:r>
          </w:p>
        </w:tc>
        <w:tc>
          <w:tcPr>
            <w:tcW w:w="3950" w:type="dxa"/>
            <w:noWrap w:val="0"/>
            <w:vAlign w:val="top"/>
          </w:tcPr>
          <w:p w14:paraId="6030A0C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丙型肝炎病毒基因HCV分型</w:t>
            </w:r>
          </w:p>
        </w:tc>
        <w:tc>
          <w:tcPr>
            <w:tcW w:w="616" w:type="dxa"/>
            <w:noWrap w:val="0"/>
            <w:vAlign w:val="top"/>
          </w:tcPr>
          <w:p w14:paraId="269F1D0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7F61AF9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255</w:t>
            </w:r>
          </w:p>
        </w:tc>
        <w:tc>
          <w:tcPr>
            <w:tcW w:w="950" w:type="dxa"/>
            <w:noWrap w:val="0"/>
            <w:vAlign w:val="top"/>
          </w:tcPr>
          <w:p w14:paraId="3D3BEBB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3ECE8D4A">
            <w:pPr>
              <w:rPr>
                <w:rFonts w:hint="eastAsia" w:ascii="仿宋" w:hAnsi="仿宋" w:eastAsia="仿宋" w:cs="仿宋"/>
                <w:color w:val="auto"/>
                <w:sz w:val="21"/>
                <w:szCs w:val="21"/>
                <w:highlight w:val="none"/>
              </w:rPr>
            </w:pPr>
          </w:p>
        </w:tc>
      </w:tr>
      <w:tr w14:paraId="52610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308850A2">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52DEB5B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250402018</w:t>
            </w:r>
          </w:p>
        </w:tc>
        <w:tc>
          <w:tcPr>
            <w:tcW w:w="3950" w:type="dxa"/>
            <w:noWrap w:val="0"/>
            <w:vAlign w:val="top"/>
          </w:tcPr>
          <w:p w14:paraId="6B8DEB6F">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抗甲状腺微粒体抗体测定(TMAb)</w:t>
            </w:r>
          </w:p>
        </w:tc>
        <w:tc>
          <w:tcPr>
            <w:tcW w:w="616" w:type="dxa"/>
            <w:noWrap w:val="0"/>
            <w:vAlign w:val="top"/>
          </w:tcPr>
          <w:p w14:paraId="1621CC59">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3AFF579E">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w:t>
            </w:r>
          </w:p>
        </w:tc>
        <w:tc>
          <w:tcPr>
            <w:tcW w:w="950" w:type="dxa"/>
            <w:noWrap w:val="0"/>
            <w:vAlign w:val="top"/>
          </w:tcPr>
          <w:p w14:paraId="6130E75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1CE2B4B7">
            <w:pPr>
              <w:rPr>
                <w:rFonts w:hint="eastAsia" w:ascii="仿宋" w:hAnsi="仿宋" w:eastAsia="仿宋" w:cs="仿宋"/>
                <w:color w:val="auto"/>
                <w:sz w:val="21"/>
                <w:szCs w:val="21"/>
                <w:highlight w:val="none"/>
              </w:rPr>
            </w:pPr>
          </w:p>
        </w:tc>
      </w:tr>
      <w:tr w14:paraId="3AE56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6D57109A">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5CA4FFB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250402054</w:t>
            </w:r>
          </w:p>
        </w:tc>
        <w:tc>
          <w:tcPr>
            <w:tcW w:w="3950" w:type="dxa"/>
            <w:noWrap w:val="0"/>
            <w:vAlign w:val="top"/>
          </w:tcPr>
          <w:p w14:paraId="532209A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抗人绒毛膜促性腺激素抗体(AHCGAb)测定</w:t>
            </w:r>
          </w:p>
        </w:tc>
        <w:tc>
          <w:tcPr>
            <w:tcW w:w="616" w:type="dxa"/>
            <w:noWrap w:val="0"/>
            <w:vAlign w:val="top"/>
          </w:tcPr>
          <w:p w14:paraId="049DD98C">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4103B852">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w:t>
            </w:r>
          </w:p>
        </w:tc>
        <w:tc>
          <w:tcPr>
            <w:tcW w:w="950" w:type="dxa"/>
            <w:noWrap w:val="0"/>
            <w:vAlign w:val="top"/>
          </w:tcPr>
          <w:p w14:paraId="51A7EB8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325FD1F5">
            <w:pPr>
              <w:rPr>
                <w:rFonts w:hint="eastAsia" w:ascii="仿宋" w:hAnsi="仿宋" w:eastAsia="仿宋" w:cs="仿宋"/>
                <w:color w:val="auto"/>
                <w:sz w:val="21"/>
                <w:szCs w:val="21"/>
                <w:highlight w:val="none"/>
              </w:rPr>
            </w:pPr>
          </w:p>
        </w:tc>
      </w:tr>
      <w:tr w14:paraId="43E18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59ADA109">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393FC62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250402024</w:t>
            </w:r>
          </w:p>
        </w:tc>
        <w:tc>
          <w:tcPr>
            <w:tcW w:w="3950" w:type="dxa"/>
            <w:noWrap w:val="0"/>
            <w:vAlign w:val="top"/>
          </w:tcPr>
          <w:p w14:paraId="22C7C4C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抗精子抗体测定</w:t>
            </w:r>
          </w:p>
        </w:tc>
        <w:tc>
          <w:tcPr>
            <w:tcW w:w="616" w:type="dxa"/>
            <w:noWrap w:val="0"/>
            <w:vAlign w:val="top"/>
          </w:tcPr>
          <w:p w14:paraId="1F59A2D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7087835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26</w:t>
            </w:r>
          </w:p>
        </w:tc>
        <w:tc>
          <w:tcPr>
            <w:tcW w:w="950" w:type="dxa"/>
            <w:noWrap w:val="0"/>
            <w:vAlign w:val="top"/>
          </w:tcPr>
          <w:p w14:paraId="5E5D544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2DD07813">
            <w:pPr>
              <w:rPr>
                <w:rFonts w:hint="eastAsia" w:ascii="仿宋" w:hAnsi="仿宋" w:eastAsia="仿宋" w:cs="仿宋"/>
                <w:color w:val="auto"/>
                <w:sz w:val="21"/>
                <w:szCs w:val="21"/>
                <w:highlight w:val="none"/>
              </w:rPr>
            </w:pPr>
          </w:p>
        </w:tc>
      </w:tr>
      <w:tr w14:paraId="275C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48DBF9E1">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653D823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250402022</w:t>
            </w:r>
          </w:p>
        </w:tc>
        <w:tc>
          <w:tcPr>
            <w:tcW w:w="3950" w:type="dxa"/>
            <w:noWrap w:val="0"/>
            <w:vAlign w:val="top"/>
          </w:tcPr>
          <w:p w14:paraId="25B4CFE8">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抗卵巢抗体测定</w:t>
            </w:r>
          </w:p>
        </w:tc>
        <w:tc>
          <w:tcPr>
            <w:tcW w:w="616" w:type="dxa"/>
            <w:noWrap w:val="0"/>
            <w:vAlign w:val="top"/>
          </w:tcPr>
          <w:p w14:paraId="043DBDC2">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4BF0BA59">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w:t>
            </w:r>
          </w:p>
        </w:tc>
        <w:tc>
          <w:tcPr>
            <w:tcW w:w="950" w:type="dxa"/>
            <w:noWrap w:val="0"/>
            <w:vAlign w:val="top"/>
          </w:tcPr>
          <w:p w14:paraId="69EDD36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4994458D">
            <w:pPr>
              <w:rPr>
                <w:rFonts w:hint="eastAsia" w:ascii="仿宋" w:hAnsi="仿宋" w:eastAsia="仿宋" w:cs="仿宋"/>
                <w:color w:val="auto"/>
                <w:sz w:val="21"/>
                <w:szCs w:val="21"/>
                <w:highlight w:val="none"/>
              </w:rPr>
            </w:pPr>
          </w:p>
        </w:tc>
      </w:tr>
      <w:tr w14:paraId="1CEC8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070A83B7">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3EF65BC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250402041</w:t>
            </w:r>
          </w:p>
        </w:tc>
        <w:tc>
          <w:tcPr>
            <w:tcW w:w="3950" w:type="dxa"/>
            <w:noWrap w:val="0"/>
            <w:vAlign w:val="top"/>
          </w:tcPr>
          <w:p w14:paraId="4E37C51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抗透明带抗体（AZP）检测</w:t>
            </w:r>
          </w:p>
        </w:tc>
        <w:tc>
          <w:tcPr>
            <w:tcW w:w="616" w:type="dxa"/>
            <w:noWrap w:val="0"/>
            <w:vAlign w:val="top"/>
          </w:tcPr>
          <w:p w14:paraId="26BEE38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1E4D60E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43</w:t>
            </w:r>
          </w:p>
        </w:tc>
        <w:tc>
          <w:tcPr>
            <w:tcW w:w="950" w:type="dxa"/>
            <w:noWrap w:val="0"/>
            <w:vAlign w:val="top"/>
          </w:tcPr>
          <w:p w14:paraId="7E7858AF">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396AE36F">
            <w:pPr>
              <w:rPr>
                <w:rFonts w:hint="eastAsia" w:ascii="仿宋" w:hAnsi="仿宋" w:eastAsia="仿宋" w:cs="仿宋"/>
                <w:color w:val="auto"/>
                <w:sz w:val="21"/>
                <w:szCs w:val="21"/>
                <w:highlight w:val="none"/>
              </w:rPr>
            </w:pPr>
          </w:p>
        </w:tc>
      </w:tr>
      <w:tr w14:paraId="3BA5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386FED5A">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5A5C0219">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250402016</w:t>
            </w:r>
          </w:p>
        </w:tc>
        <w:tc>
          <w:tcPr>
            <w:tcW w:w="3950" w:type="dxa"/>
            <w:noWrap w:val="0"/>
            <w:vAlign w:val="top"/>
          </w:tcPr>
          <w:p w14:paraId="7D6290E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抗心磷脂抗体测定(ACA)</w:t>
            </w:r>
          </w:p>
        </w:tc>
        <w:tc>
          <w:tcPr>
            <w:tcW w:w="616" w:type="dxa"/>
            <w:noWrap w:val="0"/>
            <w:vAlign w:val="top"/>
          </w:tcPr>
          <w:p w14:paraId="3F64D995">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07EA6F1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26</w:t>
            </w:r>
          </w:p>
        </w:tc>
        <w:tc>
          <w:tcPr>
            <w:tcW w:w="950" w:type="dxa"/>
            <w:noWrap w:val="0"/>
            <w:vAlign w:val="top"/>
          </w:tcPr>
          <w:p w14:paraId="47A7634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5E3BC8E4">
            <w:pPr>
              <w:rPr>
                <w:rFonts w:hint="eastAsia" w:ascii="仿宋" w:hAnsi="仿宋" w:eastAsia="仿宋" w:cs="仿宋"/>
                <w:color w:val="auto"/>
                <w:sz w:val="21"/>
                <w:szCs w:val="21"/>
                <w:highlight w:val="none"/>
              </w:rPr>
            </w:pPr>
          </w:p>
        </w:tc>
      </w:tr>
      <w:tr w14:paraId="6C85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66EC4B25">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1D7E2CE5">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250402023</w:t>
            </w:r>
          </w:p>
        </w:tc>
        <w:tc>
          <w:tcPr>
            <w:tcW w:w="3950" w:type="dxa"/>
            <w:noWrap w:val="0"/>
            <w:vAlign w:val="top"/>
          </w:tcPr>
          <w:p w14:paraId="5C68535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抗子宫内膜抗体测定(EMAb)</w:t>
            </w:r>
          </w:p>
        </w:tc>
        <w:tc>
          <w:tcPr>
            <w:tcW w:w="616" w:type="dxa"/>
            <w:noWrap w:val="0"/>
            <w:vAlign w:val="top"/>
          </w:tcPr>
          <w:p w14:paraId="4F5CAFC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042D083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w:t>
            </w:r>
          </w:p>
        </w:tc>
        <w:tc>
          <w:tcPr>
            <w:tcW w:w="950" w:type="dxa"/>
            <w:noWrap w:val="0"/>
            <w:vAlign w:val="top"/>
          </w:tcPr>
          <w:p w14:paraId="0164F922">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18D3AB5A">
            <w:pPr>
              <w:rPr>
                <w:rFonts w:hint="eastAsia" w:ascii="仿宋" w:hAnsi="仿宋" w:eastAsia="仿宋" w:cs="仿宋"/>
                <w:color w:val="auto"/>
                <w:sz w:val="21"/>
                <w:szCs w:val="21"/>
                <w:highlight w:val="none"/>
              </w:rPr>
            </w:pPr>
          </w:p>
        </w:tc>
      </w:tr>
      <w:tr w14:paraId="7046A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43AA8DCA">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79F9CEC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250203068</w:t>
            </w:r>
          </w:p>
        </w:tc>
        <w:tc>
          <w:tcPr>
            <w:tcW w:w="3950" w:type="dxa"/>
            <w:noWrap w:val="0"/>
            <w:vAlign w:val="top"/>
          </w:tcPr>
          <w:p w14:paraId="3CE9949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人类白细胞抗原B27测定(HLA-B27)</w:t>
            </w:r>
          </w:p>
        </w:tc>
        <w:tc>
          <w:tcPr>
            <w:tcW w:w="616" w:type="dxa"/>
            <w:noWrap w:val="0"/>
            <w:vAlign w:val="top"/>
          </w:tcPr>
          <w:p w14:paraId="7C9721A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003A500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125</w:t>
            </w:r>
          </w:p>
        </w:tc>
        <w:tc>
          <w:tcPr>
            <w:tcW w:w="950" w:type="dxa"/>
            <w:noWrap w:val="0"/>
            <w:vAlign w:val="top"/>
          </w:tcPr>
          <w:p w14:paraId="4EA8E589">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64BDEC42">
            <w:pPr>
              <w:rPr>
                <w:rFonts w:hint="eastAsia" w:ascii="仿宋" w:hAnsi="仿宋" w:eastAsia="仿宋" w:cs="仿宋"/>
                <w:color w:val="auto"/>
                <w:sz w:val="21"/>
                <w:szCs w:val="21"/>
                <w:highlight w:val="none"/>
              </w:rPr>
            </w:pPr>
          </w:p>
        </w:tc>
      </w:tr>
      <w:tr w14:paraId="29B35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7BBAEBE9">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5DCC4D4E">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250403030</w:t>
            </w:r>
          </w:p>
        </w:tc>
        <w:tc>
          <w:tcPr>
            <w:tcW w:w="3950" w:type="dxa"/>
            <w:noWrap w:val="0"/>
            <w:vAlign w:val="top"/>
          </w:tcPr>
          <w:p w14:paraId="35D6322E">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水痘—带状疱疹病毒抗体测定</w:t>
            </w:r>
          </w:p>
        </w:tc>
        <w:tc>
          <w:tcPr>
            <w:tcW w:w="616" w:type="dxa"/>
            <w:noWrap w:val="0"/>
            <w:vAlign w:val="top"/>
          </w:tcPr>
          <w:p w14:paraId="224C0FA0">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5754B689">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43</w:t>
            </w:r>
          </w:p>
        </w:tc>
        <w:tc>
          <w:tcPr>
            <w:tcW w:w="950" w:type="dxa"/>
            <w:noWrap w:val="0"/>
            <w:vAlign w:val="top"/>
          </w:tcPr>
          <w:p w14:paraId="3DD0E85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3561A2E4">
            <w:pPr>
              <w:rPr>
                <w:rFonts w:hint="eastAsia" w:ascii="仿宋" w:hAnsi="仿宋" w:eastAsia="仿宋" w:cs="仿宋"/>
                <w:color w:val="auto"/>
                <w:sz w:val="21"/>
                <w:szCs w:val="21"/>
                <w:highlight w:val="none"/>
              </w:rPr>
            </w:pPr>
          </w:p>
        </w:tc>
      </w:tr>
      <w:tr w14:paraId="5144C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7B8F3FC9">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5F6FBFA2">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250403072</w:t>
            </w:r>
          </w:p>
        </w:tc>
        <w:tc>
          <w:tcPr>
            <w:tcW w:w="3950" w:type="dxa"/>
            <w:noWrap w:val="0"/>
            <w:vAlign w:val="top"/>
          </w:tcPr>
          <w:p w14:paraId="7DF1014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乙型肝炎病毒（HBV）基因分型</w:t>
            </w:r>
          </w:p>
        </w:tc>
        <w:tc>
          <w:tcPr>
            <w:tcW w:w="616" w:type="dxa"/>
            <w:noWrap w:val="0"/>
            <w:vAlign w:val="top"/>
          </w:tcPr>
          <w:p w14:paraId="117B54C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1330E69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170</w:t>
            </w:r>
          </w:p>
        </w:tc>
        <w:tc>
          <w:tcPr>
            <w:tcW w:w="950" w:type="dxa"/>
            <w:noWrap w:val="0"/>
            <w:vAlign w:val="top"/>
          </w:tcPr>
          <w:p w14:paraId="04C489D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196A322A">
            <w:pPr>
              <w:rPr>
                <w:rFonts w:hint="eastAsia" w:ascii="仿宋" w:hAnsi="仿宋" w:eastAsia="仿宋" w:cs="仿宋"/>
                <w:color w:val="auto"/>
                <w:sz w:val="21"/>
                <w:szCs w:val="21"/>
                <w:highlight w:val="none"/>
              </w:rPr>
            </w:pPr>
          </w:p>
        </w:tc>
      </w:tr>
      <w:tr w14:paraId="00E5D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1DB133A7">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4C170F42">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250301004a</w:t>
            </w:r>
          </w:p>
        </w:tc>
        <w:tc>
          <w:tcPr>
            <w:tcW w:w="3950" w:type="dxa"/>
            <w:noWrap w:val="0"/>
            <w:vAlign w:val="top"/>
          </w:tcPr>
          <w:p w14:paraId="0A1DEC48">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血清蛋白电泳</w:t>
            </w:r>
          </w:p>
        </w:tc>
        <w:tc>
          <w:tcPr>
            <w:tcW w:w="616" w:type="dxa"/>
            <w:noWrap w:val="0"/>
            <w:vAlign w:val="top"/>
          </w:tcPr>
          <w:p w14:paraId="22D51CDF">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3A08A4A2">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40</w:t>
            </w:r>
          </w:p>
        </w:tc>
        <w:tc>
          <w:tcPr>
            <w:tcW w:w="950" w:type="dxa"/>
            <w:noWrap w:val="0"/>
            <w:vAlign w:val="top"/>
          </w:tcPr>
          <w:p w14:paraId="1A6F35D2">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7562287A">
            <w:pPr>
              <w:rPr>
                <w:rFonts w:hint="eastAsia" w:ascii="仿宋" w:hAnsi="仿宋" w:eastAsia="仿宋" w:cs="仿宋"/>
                <w:color w:val="auto"/>
                <w:sz w:val="21"/>
                <w:szCs w:val="21"/>
                <w:highlight w:val="none"/>
              </w:rPr>
            </w:pPr>
          </w:p>
        </w:tc>
      </w:tr>
      <w:tr w14:paraId="345B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39171129">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62E1F95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250301005</w:t>
            </w:r>
          </w:p>
        </w:tc>
        <w:tc>
          <w:tcPr>
            <w:tcW w:w="3950" w:type="dxa"/>
            <w:noWrap w:val="0"/>
            <w:vAlign w:val="top"/>
          </w:tcPr>
          <w:p w14:paraId="7D44B61E">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免疫固定电泳</w:t>
            </w:r>
          </w:p>
        </w:tc>
        <w:tc>
          <w:tcPr>
            <w:tcW w:w="616" w:type="dxa"/>
            <w:noWrap w:val="0"/>
            <w:vAlign w:val="top"/>
          </w:tcPr>
          <w:p w14:paraId="0548C31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3683140F">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180</w:t>
            </w:r>
          </w:p>
        </w:tc>
        <w:tc>
          <w:tcPr>
            <w:tcW w:w="950" w:type="dxa"/>
            <w:noWrap w:val="0"/>
            <w:vAlign w:val="top"/>
          </w:tcPr>
          <w:p w14:paraId="6C1D56F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4A368539">
            <w:pPr>
              <w:rPr>
                <w:rFonts w:hint="eastAsia" w:ascii="仿宋" w:hAnsi="仿宋" w:eastAsia="仿宋" w:cs="仿宋"/>
                <w:color w:val="auto"/>
                <w:sz w:val="21"/>
                <w:szCs w:val="21"/>
                <w:highlight w:val="none"/>
              </w:rPr>
            </w:pPr>
          </w:p>
        </w:tc>
      </w:tr>
      <w:tr w14:paraId="24175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7DDF1768">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33A4560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250309005a</w:t>
            </w:r>
          </w:p>
        </w:tc>
        <w:tc>
          <w:tcPr>
            <w:tcW w:w="3950" w:type="dxa"/>
            <w:noWrap w:val="0"/>
            <w:vAlign w:val="top"/>
          </w:tcPr>
          <w:p w14:paraId="55B1373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全血中环孢素药物浓度测定</w:t>
            </w:r>
          </w:p>
        </w:tc>
        <w:tc>
          <w:tcPr>
            <w:tcW w:w="616" w:type="dxa"/>
            <w:noWrap w:val="0"/>
            <w:vAlign w:val="top"/>
          </w:tcPr>
          <w:p w14:paraId="2570261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1AF6BC0C">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240</w:t>
            </w:r>
          </w:p>
        </w:tc>
        <w:tc>
          <w:tcPr>
            <w:tcW w:w="950" w:type="dxa"/>
            <w:noWrap w:val="0"/>
            <w:vAlign w:val="top"/>
          </w:tcPr>
          <w:p w14:paraId="673AE2A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1901C1BB">
            <w:pPr>
              <w:rPr>
                <w:rFonts w:hint="eastAsia" w:ascii="仿宋" w:hAnsi="仿宋" w:eastAsia="仿宋" w:cs="仿宋"/>
                <w:color w:val="auto"/>
                <w:sz w:val="21"/>
                <w:szCs w:val="21"/>
                <w:highlight w:val="none"/>
              </w:rPr>
            </w:pPr>
          </w:p>
        </w:tc>
      </w:tr>
      <w:tr w14:paraId="6A187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9" w:type="dxa"/>
            <w:noWrap w:val="0"/>
            <w:vAlign w:val="top"/>
          </w:tcPr>
          <w:p w14:paraId="699EC064">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6200EC75">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250403011</w:t>
            </w:r>
          </w:p>
        </w:tc>
        <w:tc>
          <w:tcPr>
            <w:tcW w:w="3950" w:type="dxa"/>
            <w:noWrap w:val="0"/>
            <w:vAlign w:val="top"/>
          </w:tcPr>
          <w:p w14:paraId="55A1EBF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乙型肝炎病毒外膜蛋白前S1抗原测定</w:t>
            </w:r>
          </w:p>
        </w:tc>
        <w:tc>
          <w:tcPr>
            <w:tcW w:w="616" w:type="dxa"/>
            <w:noWrap w:val="0"/>
            <w:vAlign w:val="top"/>
          </w:tcPr>
          <w:p w14:paraId="0D5C355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5CEC26EE">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w:t>
            </w:r>
          </w:p>
        </w:tc>
        <w:tc>
          <w:tcPr>
            <w:tcW w:w="950" w:type="dxa"/>
            <w:noWrap w:val="0"/>
            <w:vAlign w:val="top"/>
          </w:tcPr>
          <w:p w14:paraId="739585DC">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51291CF3">
            <w:pPr>
              <w:rPr>
                <w:rFonts w:hint="eastAsia" w:ascii="仿宋" w:hAnsi="仿宋" w:eastAsia="仿宋" w:cs="仿宋"/>
                <w:color w:val="auto"/>
                <w:sz w:val="21"/>
                <w:szCs w:val="21"/>
                <w:highlight w:val="none"/>
              </w:rPr>
            </w:pPr>
          </w:p>
        </w:tc>
      </w:tr>
      <w:tr w14:paraId="6BE68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59" w:type="dxa"/>
            <w:noWrap w:val="0"/>
            <w:vAlign w:val="top"/>
          </w:tcPr>
          <w:p w14:paraId="19A0CCA9">
            <w:pPr>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2E884C6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250403025</w:t>
            </w:r>
          </w:p>
        </w:tc>
        <w:tc>
          <w:tcPr>
            <w:tcW w:w="3950" w:type="dxa"/>
            <w:noWrap w:val="0"/>
            <w:vAlign w:val="top"/>
          </w:tcPr>
          <w:p w14:paraId="6495C31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EB病毒抗体测定</w:t>
            </w:r>
          </w:p>
          <w:p w14:paraId="3FB8C455">
            <w:pP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包括</w:t>
            </w:r>
            <w:r>
              <w:rPr>
                <w:rFonts w:hint="eastAsia" w:ascii="仿宋" w:hAnsi="仿宋" w:eastAsia="仿宋" w:cs="仿宋"/>
                <w:color w:val="auto"/>
                <w:sz w:val="21"/>
                <w:szCs w:val="21"/>
                <w:highlight w:val="none"/>
                <w:lang w:eastAsia="zh-CN"/>
              </w:rPr>
              <w:t>：</w:t>
            </w:r>
          </w:p>
          <w:p w14:paraId="2FDA352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IgG、IgM、IgA、EBV-CA、EBV-EA、EBNA（EBVIgG、IgM、EBV-EAIgG、EBNA-G）</w:t>
            </w:r>
          </w:p>
        </w:tc>
        <w:tc>
          <w:tcPr>
            <w:tcW w:w="616" w:type="dxa"/>
            <w:noWrap w:val="0"/>
            <w:vAlign w:val="top"/>
          </w:tcPr>
          <w:p w14:paraId="3A3BF3A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76AB2E9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34（每多做一项加收34元）</w:t>
            </w:r>
          </w:p>
        </w:tc>
        <w:tc>
          <w:tcPr>
            <w:tcW w:w="950" w:type="dxa"/>
            <w:noWrap w:val="0"/>
            <w:vAlign w:val="top"/>
          </w:tcPr>
          <w:p w14:paraId="6152344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1A8C9BE3">
            <w:pPr>
              <w:rPr>
                <w:rFonts w:hint="eastAsia" w:ascii="仿宋" w:hAnsi="仿宋" w:eastAsia="仿宋" w:cs="仿宋"/>
                <w:color w:val="auto"/>
                <w:sz w:val="21"/>
                <w:szCs w:val="21"/>
                <w:highlight w:val="none"/>
              </w:rPr>
            </w:pPr>
          </w:p>
        </w:tc>
      </w:tr>
      <w:tr w14:paraId="21C0D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59" w:type="dxa"/>
            <w:noWrap w:val="0"/>
            <w:vAlign w:val="top"/>
          </w:tcPr>
          <w:p w14:paraId="4C5A2E91">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5459CE0E">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250310003a</w:t>
            </w:r>
          </w:p>
        </w:tc>
        <w:tc>
          <w:tcPr>
            <w:tcW w:w="3950" w:type="dxa"/>
            <w:noWrap w:val="0"/>
            <w:vAlign w:val="center"/>
          </w:tcPr>
          <w:p w14:paraId="15FD1988">
            <w:pPr>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vertAlign w:val="baseline"/>
                <w:lang w:val="en-US" w:eastAsia="zh-CN"/>
              </w:rPr>
              <w:t>生长激素测定</w:t>
            </w:r>
          </w:p>
        </w:tc>
        <w:tc>
          <w:tcPr>
            <w:tcW w:w="616" w:type="dxa"/>
            <w:noWrap w:val="0"/>
            <w:vAlign w:val="top"/>
          </w:tcPr>
          <w:p w14:paraId="342425E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593EB6A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40</w:t>
            </w:r>
          </w:p>
        </w:tc>
        <w:tc>
          <w:tcPr>
            <w:tcW w:w="950" w:type="dxa"/>
            <w:noWrap w:val="0"/>
            <w:vAlign w:val="top"/>
          </w:tcPr>
          <w:p w14:paraId="2C4AFB00">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北院区</w:t>
            </w:r>
          </w:p>
          <w:p w14:paraId="42E6B80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曲江院区</w:t>
            </w:r>
          </w:p>
        </w:tc>
        <w:tc>
          <w:tcPr>
            <w:tcW w:w="1050" w:type="dxa"/>
            <w:vMerge w:val="continue"/>
            <w:noWrap w:val="0"/>
            <w:vAlign w:val="top"/>
          </w:tcPr>
          <w:p w14:paraId="32124488">
            <w:pPr>
              <w:jc w:val="center"/>
              <w:rPr>
                <w:rFonts w:hint="eastAsia" w:ascii="仿宋" w:hAnsi="仿宋" w:eastAsia="仿宋" w:cs="仿宋"/>
                <w:color w:val="auto"/>
                <w:sz w:val="21"/>
                <w:szCs w:val="21"/>
                <w:highlight w:val="none"/>
              </w:rPr>
            </w:pPr>
          </w:p>
        </w:tc>
      </w:tr>
      <w:tr w14:paraId="0A1A7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59" w:type="dxa"/>
            <w:noWrap w:val="0"/>
            <w:vAlign w:val="top"/>
          </w:tcPr>
          <w:p w14:paraId="6DB06DEF">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046AA650">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250310063</w:t>
            </w:r>
          </w:p>
        </w:tc>
        <w:tc>
          <w:tcPr>
            <w:tcW w:w="3950" w:type="dxa"/>
            <w:noWrap w:val="0"/>
            <w:vAlign w:val="center"/>
          </w:tcPr>
          <w:p w14:paraId="22FD85F1">
            <w:pPr>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vertAlign w:val="baseline"/>
                <w:lang w:val="en-US" w:eastAsia="zh-CN"/>
              </w:rPr>
              <w:t>胰岛素样生长因子-1测定</w:t>
            </w:r>
          </w:p>
        </w:tc>
        <w:tc>
          <w:tcPr>
            <w:tcW w:w="616" w:type="dxa"/>
            <w:noWrap w:val="0"/>
            <w:vAlign w:val="top"/>
          </w:tcPr>
          <w:p w14:paraId="6F1E277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652B4B28">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75</w:t>
            </w:r>
          </w:p>
        </w:tc>
        <w:tc>
          <w:tcPr>
            <w:tcW w:w="950" w:type="dxa"/>
            <w:noWrap w:val="0"/>
            <w:vAlign w:val="top"/>
          </w:tcPr>
          <w:p w14:paraId="496CE9A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6B8CC92F">
            <w:pPr>
              <w:jc w:val="center"/>
              <w:rPr>
                <w:rFonts w:hint="eastAsia" w:ascii="仿宋" w:hAnsi="仿宋" w:eastAsia="仿宋" w:cs="仿宋"/>
                <w:color w:val="auto"/>
                <w:sz w:val="21"/>
                <w:szCs w:val="21"/>
                <w:highlight w:val="none"/>
              </w:rPr>
            </w:pPr>
          </w:p>
        </w:tc>
      </w:tr>
      <w:tr w14:paraId="554F5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659" w:type="dxa"/>
            <w:noWrap w:val="0"/>
            <w:vAlign w:val="top"/>
          </w:tcPr>
          <w:p w14:paraId="4D219F08">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15945D0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250310064</w:t>
            </w:r>
          </w:p>
        </w:tc>
        <w:tc>
          <w:tcPr>
            <w:tcW w:w="3950" w:type="dxa"/>
            <w:noWrap w:val="0"/>
            <w:vAlign w:val="center"/>
          </w:tcPr>
          <w:p w14:paraId="27A29D39">
            <w:pPr>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vertAlign w:val="baseline"/>
                <w:lang w:val="en-US" w:eastAsia="zh-CN"/>
              </w:rPr>
              <w:t>胰岛素样生长因子结合蛋白-3测定</w:t>
            </w:r>
          </w:p>
        </w:tc>
        <w:tc>
          <w:tcPr>
            <w:tcW w:w="616" w:type="dxa"/>
            <w:noWrap w:val="0"/>
            <w:vAlign w:val="top"/>
          </w:tcPr>
          <w:p w14:paraId="487C524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967" w:type="dxa"/>
            <w:noWrap w:val="0"/>
            <w:vAlign w:val="top"/>
          </w:tcPr>
          <w:p w14:paraId="77E1F1F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65</w:t>
            </w:r>
          </w:p>
        </w:tc>
        <w:tc>
          <w:tcPr>
            <w:tcW w:w="950" w:type="dxa"/>
            <w:noWrap w:val="0"/>
            <w:vAlign w:val="top"/>
          </w:tcPr>
          <w:p w14:paraId="55ED821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3034F7EA">
            <w:pPr>
              <w:jc w:val="center"/>
              <w:rPr>
                <w:rFonts w:hint="eastAsia" w:ascii="仿宋" w:hAnsi="仿宋" w:eastAsia="仿宋" w:cs="仿宋"/>
                <w:color w:val="auto"/>
                <w:sz w:val="21"/>
                <w:szCs w:val="21"/>
                <w:highlight w:val="none"/>
              </w:rPr>
            </w:pPr>
          </w:p>
        </w:tc>
      </w:tr>
      <w:tr w14:paraId="554CC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trPr>
        <w:tc>
          <w:tcPr>
            <w:tcW w:w="659" w:type="dxa"/>
            <w:noWrap w:val="0"/>
            <w:vAlign w:val="top"/>
          </w:tcPr>
          <w:p w14:paraId="648D8DAA">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63EE40B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250401037</w:t>
            </w:r>
          </w:p>
        </w:tc>
        <w:tc>
          <w:tcPr>
            <w:tcW w:w="3950" w:type="dxa"/>
            <w:noWrap w:val="0"/>
            <w:vAlign w:val="center"/>
          </w:tcPr>
          <w:p w14:paraId="5990BBA7">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免疫球蛋白游离轻链测定</w:t>
            </w:r>
          </w:p>
          <w:p w14:paraId="70AFB886">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包括：</w:t>
            </w:r>
          </w:p>
          <w:p w14:paraId="1B4E87E4">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血清游离Kappa轻链、</w:t>
            </w:r>
          </w:p>
          <w:p w14:paraId="00FDFD36">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血清游离lambda轻链、</w:t>
            </w:r>
          </w:p>
          <w:p w14:paraId="2EF8CE69">
            <w:pPr>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vertAlign w:val="baseline"/>
                <w:lang w:val="en-US" w:eastAsia="zh-CN"/>
              </w:rPr>
              <w:t>血清游离Kappa/血清游离lambda。</w:t>
            </w:r>
          </w:p>
        </w:tc>
        <w:tc>
          <w:tcPr>
            <w:tcW w:w="616" w:type="dxa"/>
            <w:noWrap w:val="0"/>
            <w:vAlign w:val="top"/>
          </w:tcPr>
          <w:p w14:paraId="0FDC154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项</w:t>
            </w:r>
          </w:p>
        </w:tc>
        <w:tc>
          <w:tcPr>
            <w:tcW w:w="967" w:type="dxa"/>
            <w:noWrap w:val="0"/>
            <w:vAlign w:val="top"/>
          </w:tcPr>
          <w:p w14:paraId="372EC3D8">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240（单做一次包含3个项目，480元）</w:t>
            </w:r>
          </w:p>
        </w:tc>
        <w:tc>
          <w:tcPr>
            <w:tcW w:w="950" w:type="dxa"/>
            <w:noWrap w:val="0"/>
            <w:vAlign w:val="top"/>
          </w:tcPr>
          <w:p w14:paraId="26071E4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06D35644">
            <w:pPr>
              <w:jc w:val="center"/>
              <w:rPr>
                <w:rFonts w:hint="eastAsia" w:ascii="仿宋" w:hAnsi="仿宋" w:eastAsia="仿宋" w:cs="仿宋"/>
                <w:color w:val="auto"/>
                <w:sz w:val="21"/>
                <w:szCs w:val="21"/>
                <w:highlight w:val="none"/>
              </w:rPr>
            </w:pPr>
          </w:p>
        </w:tc>
      </w:tr>
      <w:tr w14:paraId="4FC01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59" w:type="dxa"/>
            <w:noWrap w:val="0"/>
            <w:vAlign w:val="top"/>
          </w:tcPr>
          <w:p w14:paraId="7633B516">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007ECCF8">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250402005</w:t>
            </w:r>
          </w:p>
        </w:tc>
        <w:tc>
          <w:tcPr>
            <w:tcW w:w="3950" w:type="dxa"/>
            <w:noWrap w:val="0"/>
            <w:vAlign w:val="center"/>
          </w:tcPr>
          <w:p w14:paraId="7EF6499C">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抗中性粒细胞抗体</w:t>
            </w:r>
          </w:p>
          <w:p w14:paraId="58A809DD">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包含：</w:t>
            </w:r>
          </w:p>
          <w:p w14:paraId="5D682E2C">
            <w:pPr>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vertAlign w:val="baseline"/>
                <w:lang w:val="en-US" w:eastAsia="zh-CN"/>
              </w:rPr>
              <w:t>C-ANCA、P-ANCA、ANCP-PR33、ANCP-MPO、GBM。</w:t>
            </w:r>
          </w:p>
        </w:tc>
        <w:tc>
          <w:tcPr>
            <w:tcW w:w="616" w:type="dxa"/>
            <w:noWrap w:val="0"/>
            <w:vAlign w:val="top"/>
          </w:tcPr>
          <w:p w14:paraId="5CBE36A9">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项</w:t>
            </w:r>
          </w:p>
        </w:tc>
        <w:tc>
          <w:tcPr>
            <w:tcW w:w="967" w:type="dxa"/>
            <w:noWrap w:val="0"/>
            <w:vAlign w:val="top"/>
          </w:tcPr>
          <w:p w14:paraId="209599B9">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20</w:t>
            </w:r>
          </w:p>
        </w:tc>
        <w:tc>
          <w:tcPr>
            <w:tcW w:w="950" w:type="dxa"/>
            <w:noWrap w:val="0"/>
            <w:vAlign w:val="top"/>
          </w:tcPr>
          <w:p w14:paraId="1EC83BE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6D0B76BC">
            <w:pPr>
              <w:jc w:val="center"/>
              <w:rPr>
                <w:rFonts w:hint="eastAsia" w:ascii="仿宋" w:hAnsi="仿宋" w:eastAsia="仿宋" w:cs="仿宋"/>
                <w:color w:val="auto"/>
                <w:sz w:val="21"/>
                <w:szCs w:val="21"/>
                <w:highlight w:val="none"/>
              </w:rPr>
            </w:pPr>
          </w:p>
        </w:tc>
      </w:tr>
      <w:tr w14:paraId="7930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659" w:type="dxa"/>
            <w:noWrap w:val="0"/>
            <w:vAlign w:val="top"/>
          </w:tcPr>
          <w:p w14:paraId="629133A8">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1FDA435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250306016</w:t>
            </w:r>
          </w:p>
        </w:tc>
        <w:tc>
          <w:tcPr>
            <w:tcW w:w="3950" w:type="dxa"/>
            <w:noWrap w:val="0"/>
            <w:vAlign w:val="center"/>
          </w:tcPr>
          <w:p w14:paraId="2EF9CE60">
            <w:pPr>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vertAlign w:val="baseline"/>
                <w:lang w:val="en-US" w:eastAsia="zh-CN"/>
              </w:rPr>
              <w:t>抗磷脂酶A2受体抗体</w:t>
            </w:r>
          </w:p>
        </w:tc>
        <w:tc>
          <w:tcPr>
            <w:tcW w:w="616" w:type="dxa"/>
            <w:noWrap w:val="0"/>
            <w:vAlign w:val="top"/>
          </w:tcPr>
          <w:p w14:paraId="4646C345">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项</w:t>
            </w:r>
          </w:p>
        </w:tc>
        <w:tc>
          <w:tcPr>
            <w:tcW w:w="967" w:type="dxa"/>
            <w:noWrap w:val="0"/>
            <w:vAlign w:val="top"/>
          </w:tcPr>
          <w:p w14:paraId="29A6A22C">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300</w:t>
            </w:r>
          </w:p>
        </w:tc>
        <w:tc>
          <w:tcPr>
            <w:tcW w:w="950" w:type="dxa"/>
            <w:noWrap w:val="0"/>
            <w:vAlign w:val="top"/>
          </w:tcPr>
          <w:p w14:paraId="7D38478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0AB3900A">
            <w:pPr>
              <w:jc w:val="center"/>
              <w:rPr>
                <w:rFonts w:hint="eastAsia" w:ascii="仿宋" w:hAnsi="仿宋" w:eastAsia="仿宋" w:cs="仿宋"/>
                <w:color w:val="auto"/>
                <w:sz w:val="21"/>
                <w:szCs w:val="21"/>
                <w:highlight w:val="none"/>
              </w:rPr>
            </w:pPr>
          </w:p>
        </w:tc>
      </w:tr>
      <w:tr w14:paraId="7605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59" w:type="dxa"/>
            <w:noWrap w:val="0"/>
            <w:vAlign w:val="top"/>
          </w:tcPr>
          <w:p w14:paraId="2EA4075F">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4FE285A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250401031b</w:t>
            </w:r>
          </w:p>
        </w:tc>
        <w:tc>
          <w:tcPr>
            <w:tcW w:w="3950" w:type="dxa"/>
            <w:noWrap w:val="0"/>
            <w:vAlign w:val="center"/>
          </w:tcPr>
          <w:p w14:paraId="6F0F8D82">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流式淋巴细胞亚群（T+B+NK）</w:t>
            </w:r>
          </w:p>
          <w:p w14:paraId="1791A6B8">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包含：</w:t>
            </w:r>
          </w:p>
          <w:p w14:paraId="01C1FA42">
            <w:pPr>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vertAlign w:val="baseline"/>
                <w:lang w:val="en-US" w:eastAsia="zh-CN"/>
              </w:rPr>
              <w:t>CD3+、CD4+、CD8+、CD19+、CD16+、CD56+、CD45+等。</w:t>
            </w:r>
          </w:p>
        </w:tc>
        <w:tc>
          <w:tcPr>
            <w:tcW w:w="616" w:type="dxa"/>
            <w:noWrap w:val="0"/>
            <w:vAlign w:val="top"/>
          </w:tcPr>
          <w:p w14:paraId="7AE90F4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项</w:t>
            </w:r>
          </w:p>
        </w:tc>
        <w:tc>
          <w:tcPr>
            <w:tcW w:w="967" w:type="dxa"/>
            <w:noWrap w:val="0"/>
            <w:vAlign w:val="top"/>
          </w:tcPr>
          <w:p w14:paraId="1DB052B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65</w:t>
            </w:r>
          </w:p>
        </w:tc>
        <w:tc>
          <w:tcPr>
            <w:tcW w:w="950" w:type="dxa"/>
            <w:noWrap w:val="0"/>
            <w:vAlign w:val="top"/>
          </w:tcPr>
          <w:p w14:paraId="3E40D7C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北院区</w:t>
            </w:r>
          </w:p>
        </w:tc>
        <w:tc>
          <w:tcPr>
            <w:tcW w:w="1050" w:type="dxa"/>
            <w:vMerge w:val="continue"/>
            <w:noWrap w:val="0"/>
            <w:vAlign w:val="top"/>
          </w:tcPr>
          <w:p w14:paraId="60C96480">
            <w:pPr>
              <w:jc w:val="center"/>
              <w:rPr>
                <w:rFonts w:hint="eastAsia" w:ascii="仿宋" w:hAnsi="仿宋" w:eastAsia="仿宋" w:cs="仿宋"/>
                <w:color w:val="auto"/>
                <w:sz w:val="21"/>
                <w:szCs w:val="21"/>
                <w:highlight w:val="none"/>
              </w:rPr>
            </w:pPr>
          </w:p>
        </w:tc>
      </w:tr>
      <w:tr w14:paraId="641EE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59" w:type="dxa"/>
            <w:noWrap w:val="0"/>
            <w:vAlign w:val="top"/>
          </w:tcPr>
          <w:p w14:paraId="57ABA61A">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6DF304D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250501038a</w:t>
            </w:r>
          </w:p>
        </w:tc>
        <w:tc>
          <w:tcPr>
            <w:tcW w:w="3950" w:type="dxa"/>
            <w:noWrap w:val="0"/>
            <w:vAlign w:val="center"/>
          </w:tcPr>
          <w:p w14:paraId="0CAD076A">
            <w:pPr>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vertAlign w:val="baseline"/>
                <w:lang w:val="en-US" w:eastAsia="zh-CN"/>
              </w:rPr>
              <w:t>曲霉菌抗原酶免试验 （GM试验）</w:t>
            </w:r>
          </w:p>
        </w:tc>
        <w:tc>
          <w:tcPr>
            <w:tcW w:w="616" w:type="dxa"/>
            <w:noWrap w:val="0"/>
            <w:vAlign w:val="top"/>
          </w:tcPr>
          <w:p w14:paraId="5C6276B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项</w:t>
            </w:r>
          </w:p>
        </w:tc>
        <w:tc>
          <w:tcPr>
            <w:tcW w:w="967" w:type="dxa"/>
            <w:noWrap w:val="0"/>
            <w:vAlign w:val="top"/>
          </w:tcPr>
          <w:p w14:paraId="08264DF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180</w:t>
            </w:r>
          </w:p>
        </w:tc>
        <w:tc>
          <w:tcPr>
            <w:tcW w:w="950" w:type="dxa"/>
            <w:noWrap w:val="0"/>
            <w:vAlign w:val="top"/>
          </w:tcPr>
          <w:p w14:paraId="16718D45">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曲江院区</w:t>
            </w:r>
          </w:p>
        </w:tc>
        <w:tc>
          <w:tcPr>
            <w:tcW w:w="1050" w:type="dxa"/>
            <w:vMerge w:val="continue"/>
            <w:noWrap w:val="0"/>
            <w:vAlign w:val="top"/>
          </w:tcPr>
          <w:p w14:paraId="4FDCA3C3">
            <w:pPr>
              <w:jc w:val="center"/>
              <w:rPr>
                <w:rFonts w:hint="eastAsia" w:ascii="仿宋" w:hAnsi="仿宋" w:eastAsia="仿宋" w:cs="仿宋"/>
                <w:color w:val="auto"/>
                <w:sz w:val="21"/>
                <w:szCs w:val="21"/>
                <w:highlight w:val="none"/>
              </w:rPr>
            </w:pPr>
          </w:p>
        </w:tc>
      </w:tr>
      <w:tr w14:paraId="25B5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59" w:type="dxa"/>
            <w:noWrap w:val="0"/>
            <w:vAlign w:val="top"/>
          </w:tcPr>
          <w:p w14:paraId="3FE40A01">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4315513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250502004b</w:t>
            </w:r>
          </w:p>
        </w:tc>
        <w:tc>
          <w:tcPr>
            <w:tcW w:w="3950" w:type="dxa"/>
            <w:noWrap w:val="0"/>
            <w:vAlign w:val="center"/>
          </w:tcPr>
          <w:p w14:paraId="73480C60">
            <w:pPr>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vertAlign w:val="baseline"/>
                <w:lang w:val="en-US" w:eastAsia="zh-CN"/>
              </w:rPr>
              <w:t>结核分枝杆菌及利福平耐药检测(Xpert MTB/RIF Assay</w:t>
            </w:r>
          </w:p>
        </w:tc>
        <w:tc>
          <w:tcPr>
            <w:tcW w:w="616" w:type="dxa"/>
            <w:noWrap w:val="0"/>
            <w:vAlign w:val="top"/>
          </w:tcPr>
          <w:p w14:paraId="1950511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次</w:t>
            </w:r>
          </w:p>
        </w:tc>
        <w:tc>
          <w:tcPr>
            <w:tcW w:w="967" w:type="dxa"/>
            <w:noWrap w:val="0"/>
            <w:vAlign w:val="top"/>
          </w:tcPr>
          <w:p w14:paraId="61926EA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470</w:t>
            </w:r>
          </w:p>
        </w:tc>
        <w:tc>
          <w:tcPr>
            <w:tcW w:w="950" w:type="dxa"/>
            <w:noWrap w:val="0"/>
            <w:vAlign w:val="top"/>
          </w:tcPr>
          <w:p w14:paraId="4E8329BE">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曲江院区</w:t>
            </w:r>
          </w:p>
        </w:tc>
        <w:tc>
          <w:tcPr>
            <w:tcW w:w="1050" w:type="dxa"/>
            <w:vMerge w:val="continue"/>
            <w:noWrap w:val="0"/>
            <w:vAlign w:val="top"/>
          </w:tcPr>
          <w:p w14:paraId="1462F5F3">
            <w:pPr>
              <w:jc w:val="center"/>
              <w:rPr>
                <w:rFonts w:hint="eastAsia" w:ascii="仿宋" w:hAnsi="仿宋" w:eastAsia="仿宋" w:cs="仿宋"/>
                <w:color w:val="auto"/>
                <w:sz w:val="21"/>
                <w:szCs w:val="21"/>
                <w:highlight w:val="none"/>
              </w:rPr>
            </w:pPr>
          </w:p>
        </w:tc>
      </w:tr>
      <w:tr w14:paraId="24854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59" w:type="dxa"/>
            <w:noWrap w:val="0"/>
            <w:vAlign w:val="top"/>
          </w:tcPr>
          <w:p w14:paraId="0514EC39">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747866AE">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250309010</w:t>
            </w:r>
          </w:p>
        </w:tc>
        <w:tc>
          <w:tcPr>
            <w:tcW w:w="3950" w:type="dxa"/>
            <w:noWrap w:val="0"/>
            <w:vAlign w:val="center"/>
          </w:tcPr>
          <w:p w14:paraId="2DCD73DD">
            <w:pPr>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vertAlign w:val="baseline"/>
                <w:lang w:val="en-US" w:eastAsia="zh-CN"/>
              </w:rPr>
              <w:t>“三高”安全用药基因检测 (47种药物20个基因28个位点)</w:t>
            </w:r>
          </w:p>
        </w:tc>
        <w:tc>
          <w:tcPr>
            <w:tcW w:w="616" w:type="dxa"/>
            <w:noWrap w:val="0"/>
            <w:vAlign w:val="top"/>
          </w:tcPr>
          <w:p w14:paraId="1EDDD3B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每个位点</w:t>
            </w:r>
          </w:p>
        </w:tc>
        <w:tc>
          <w:tcPr>
            <w:tcW w:w="967" w:type="dxa"/>
            <w:noWrap w:val="0"/>
            <w:vAlign w:val="top"/>
          </w:tcPr>
          <w:p w14:paraId="69FD4C0F">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330</w:t>
            </w:r>
          </w:p>
        </w:tc>
        <w:tc>
          <w:tcPr>
            <w:tcW w:w="950" w:type="dxa"/>
            <w:noWrap w:val="0"/>
            <w:vAlign w:val="top"/>
          </w:tcPr>
          <w:p w14:paraId="6932D0AF">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曲江院区</w:t>
            </w:r>
          </w:p>
        </w:tc>
        <w:tc>
          <w:tcPr>
            <w:tcW w:w="1050" w:type="dxa"/>
            <w:vMerge w:val="continue"/>
            <w:noWrap w:val="0"/>
            <w:vAlign w:val="top"/>
          </w:tcPr>
          <w:p w14:paraId="787B7729">
            <w:pPr>
              <w:jc w:val="center"/>
              <w:rPr>
                <w:rFonts w:hint="eastAsia" w:ascii="仿宋" w:hAnsi="仿宋" w:eastAsia="仿宋" w:cs="仿宋"/>
                <w:color w:val="auto"/>
                <w:sz w:val="21"/>
                <w:szCs w:val="21"/>
                <w:highlight w:val="none"/>
              </w:rPr>
            </w:pPr>
          </w:p>
        </w:tc>
      </w:tr>
      <w:tr w14:paraId="5580E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659" w:type="dxa"/>
            <w:noWrap w:val="0"/>
            <w:vAlign w:val="top"/>
          </w:tcPr>
          <w:p w14:paraId="21C8D9D2">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2B0E1FE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250310025</w:t>
            </w:r>
          </w:p>
        </w:tc>
        <w:tc>
          <w:tcPr>
            <w:tcW w:w="3950" w:type="dxa"/>
            <w:noWrap w:val="0"/>
            <w:vAlign w:val="center"/>
          </w:tcPr>
          <w:p w14:paraId="650C0ED6">
            <w:pPr>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vertAlign w:val="baseline"/>
                <w:lang w:val="en-US" w:eastAsia="zh-CN"/>
              </w:rPr>
              <w:t>尿香草扁桃酸(VMA),均相酶免法</w:t>
            </w:r>
          </w:p>
        </w:tc>
        <w:tc>
          <w:tcPr>
            <w:tcW w:w="616" w:type="dxa"/>
            <w:noWrap w:val="0"/>
            <w:vAlign w:val="top"/>
          </w:tcPr>
          <w:p w14:paraId="414E847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项</w:t>
            </w:r>
          </w:p>
        </w:tc>
        <w:tc>
          <w:tcPr>
            <w:tcW w:w="967" w:type="dxa"/>
            <w:noWrap w:val="0"/>
            <w:vAlign w:val="top"/>
          </w:tcPr>
          <w:p w14:paraId="409DEA0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38</w:t>
            </w:r>
          </w:p>
        </w:tc>
        <w:tc>
          <w:tcPr>
            <w:tcW w:w="950" w:type="dxa"/>
            <w:noWrap w:val="0"/>
            <w:vAlign w:val="top"/>
          </w:tcPr>
          <w:p w14:paraId="27625DE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曲江院区</w:t>
            </w:r>
          </w:p>
        </w:tc>
        <w:tc>
          <w:tcPr>
            <w:tcW w:w="1050" w:type="dxa"/>
            <w:vMerge w:val="continue"/>
            <w:noWrap w:val="0"/>
            <w:vAlign w:val="top"/>
          </w:tcPr>
          <w:p w14:paraId="1634E433">
            <w:pPr>
              <w:jc w:val="center"/>
              <w:rPr>
                <w:rFonts w:hint="eastAsia" w:ascii="仿宋" w:hAnsi="仿宋" w:eastAsia="仿宋" w:cs="仿宋"/>
                <w:color w:val="auto"/>
                <w:sz w:val="21"/>
                <w:szCs w:val="21"/>
                <w:highlight w:val="none"/>
              </w:rPr>
            </w:pPr>
          </w:p>
        </w:tc>
      </w:tr>
      <w:tr w14:paraId="7A9AA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659" w:type="dxa"/>
            <w:noWrap w:val="0"/>
            <w:vAlign w:val="top"/>
          </w:tcPr>
          <w:p w14:paraId="05D77F12">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5DD3AA02">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250401029</w:t>
            </w:r>
          </w:p>
        </w:tc>
        <w:tc>
          <w:tcPr>
            <w:tcW w:w="3950" w:type="dxa"/>
            <w:noWrap w:val="0"/>
            <w:vAlign w:val="center"/>
          </w:tcPr>
          <w:p w14:paraId="28344CD9">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淋巴细胞免疫分析</w:t>
            </w:r>
          </w:p>
        </w:tc>
        <w:tc>
          <w:tcPr>
            <w:tcW w:w="616" w:type="dxa"/>
            <w:noWrap w:val="0"/>
            <w:vAlign w:val="top"/>
          </w:tcPr>
          <w:p w14:paraId="6BB60DE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w:t>
            </w:r>
          </w:p>
        </w:tc>
        <w:tc>
          <w:tcPr>
            <w:tcW w:w="967" w:type="dxa"/>
            <w:noWrap w:val="0"/>
            <w:vAlign w:val="top"/>
          </w:tcPr>
          <w:p w14:paraId="0C5A508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65</w:t>
            </w:r>
          </w:p>
        </w:tc>
        <w:tc>
          <w:tcPr>
            <w:tcW w:w="950" w:type="dxa"/>
            <w:noWrap w:val="0"/>
            <w:vAlign w:val="top"/>
          </w:tcPr>
          <w:p w14:paraId="405875DC">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曲江院区</w:t>
            </w:r>
          </w:p>
        </w:tc>
        <w:tc>
          <w:tcPr>
            <w:tcW w:w="1050" w:type="dxa"/>
            <w:vMerge w:val="continue"/>
            <w:noWrap w:val="0"/>
            <w:vAlign w:val="top"/>
          </w:tcPr>
          <w:p w14:paraId="55497F8E">
            <w:pPr>
              <w:jc w:val="center"/>
              <w:rPr>
                <w:rFonts w:hint="eastAsia" w:ascii="仿宋" w:hAnsi="仿宋" w:eastAsia="仿宋" w:cs="仿宋"/>
                <w:color w:val="auto"/>
                <w:sz w:val="21"/>
                <w:szCs w:val="21"/>
                <w:highlight w:val="none"/>
                <w:lang w:val="en-US" w:eastAsia="zh-CN"/>
              </w:rPr>
            </w:pPr>
          </w:p>
        </w:tc>
      </w:tr>
      <w:tr w14:paraId="2F036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59" w:type="dxa"/>
            <w:noWrap w:val="0"/>
            <w:vAlign w:val="top"/>
          </w:tcPr>
          <w:p w14:paraId="3B2DCA17">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1EBCDADE">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250310029</w:t>
            </w:r>
          </w:p>
        </w:tc>
        <w:tc>
          <w:tcPr>
            <w:tcW w:w="3950" w:type="dxa"/>
            <w:noWrap w:val="0"/>
            <w:vAlign w:val="center"/>
          </w:tcPr>
          <w:p w14:paraId="2B9C1710">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促红细胞生成素(EPO)</w:t>
            </w:r>
          </w:p>
        </w:tc>
        <w:tc>
          <w:tcPr>
            <w:tcW w:w="616" w:type="dxa"/>
            <w:noWrap w:val="0"/>
            <w:vAlign w:val="top"/>
          </w:tcPr>
          <w:p w14:paraId="1AFC441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w:t>
            </w:r>
          </w:p>
        </w:tc>
        <w:tc>
          <w:tcPr>
            <w:tcW w:w="967" w:type="dxa"/>
            <w:noWrap w:val="0"/>
            <w:vAlign w:val="top"/>
          </w:tcPr>
          <w:p w14:paraId="7AF6074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w:t>
            </w:r>
          </w:p>
        </w:tc>
        <w:tc>
          <w:tcPr>
            <w:tcW w:w="950" w:type="dxa"/>
            <w:noWrap w:val="0"/>
            <w:vAlign w:val="top"/>
          </w:tcPr>
          <w:p w14:paraId="555FC03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曲江院区</w:t>
            </w:r>
          </w:p>
        </w:tc>
        <w:tc>
          <w:tcPr>
            <w:tcW w:w="1050" w:type="dxa"/>
            <w:vMerge w:val="continue"/>
            <w:noWrap w:val="0"/>
            <w:vAlign w:val="top"/>
          </w:tcPr>
          <w:p w14:paraId="335E8AC9">
            <w:pPr>
              <w:jc w:val="center"/>
              <w:rPr>
                <w:rFonts w:hint="eastAsia" w:ascii="仿宋" w:hAnsi="仿宋" w:eastAsia="仿宋" w:cs="仿宋"/>
                <w:color w:val="auto"/>
                <w:sz w:val="21"/>
                <w:szCs w:val="21"/>
                <w:highlight w:val="none"/>
                <w:lang w:val="en-US" w:eastAsia="zh-CN"/>
              </w:rPr>
            </w:pPr>
          </w:p>
        </w:tc>
      </w:tr>
      <w:tr w14:paraId="23DF9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659" w:type="dxa"/>
            <w:noWrap w:val="0"/>
            <w:vAlign w:val="top"/>
          </w:tcPr>
          <w:p w14:paraId="28235670">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21AC61B0">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250203051</w:t>
            </w:r>
          </w:p>
        </w:tc>
        <w:tc>
          <w:tcPr>
            <w:tcW w:w="3950" w:type="dxa"/>
            <w:noWrap w:val="0"/>
            <w:vAlign w:val="center"/>
          </w:tcPr>
          <w:p w14:paraId="30D15821">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血浆蛋白C活性测定</w:t>
            </w:r>
          </w:p>
        </w:tc>
        <w:tc>
          <w:tcPr>
            <w:tcW w:w="616" w:type="dxa"/>
            <w:noWrap w:val="0"/>
            <w:vAlign w:val="top"/>
          </w:tcPr>
          <w:p w14:paraId="2653D649">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w:t>
            </w:r>
          </w:p>
        </w:tc>
        <w:tc>
          <w:tcPr>
            <w:tcW w:w="967" w:type="dxa"/>
            <w:noWrap w:val="0"/>
            <w:vAlign w:val="top"/>
          </w:tcPr>
          <w:p w14:paraId="273FC85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43</w:t>
            </w:r>
          </w:p>
        </w:tc>
        <w:tc>
          <w:tcPr>
            <w:tcW w:w="950" w:type="dxa"/>
            <w:noWrap w:val="0"/>
            <w:vAlign w:val="top"/>
          </w:tcPr>
          <w:p w14:paraId="0A9297E9">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曲江院区</w:t>
            </w:r>
          </w:p>
        </w:tc>
        <w:tc>
          <w:tcPr>
            <w:tcW w:w="1050" w:type="dxa"/>
            <w:vMerge w:val="continue"/>
            <w:noWrap w:val="0"/>
            <w:vAlign w:val="top"/>
          </w:tcPr>
          <w:p w14:paraId="5314386D">
            <w:pPr>
              <w:jc w:val="center"/>
              <w:rPr>
                <w:rFonts w:hint="eastAsia" w:ascii="仿宋" w:hAnsi="仿宋" w:eastAsia="仿宋" w:cs="仿宋"/>
                <w:color w:val="auto"/>
                <w:sz w:val="21"/>
                <w:szCs w:val="21"/>
                <w:highlight w:val="none"/>
                <w:lang w:val="en-US" w:eastAsia="zh-CN"/>
              </w:rPr>
            </w:pPr>
          </w:p>
        </w:tc>
      </w:tr>
      <w:tr w14:paraId="20DA0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59" w:type="dxa"/>
            <w:noWrap w:val="0"/>
            <w:vAlign w:val="top"/>
          </w:tcPr>
          <w:p w14:paraId="79A1E7EB">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64370700">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250203054</w:t>
            </w:r>
          </w:p>
        </w:tc>
        <w:tc>
          <w:tcPr>
            <w:tcW w:w="3950" w:type="dxa"/>
            <w:noWrap w:val="0"/>
            <w:vAlign w:val="center"/>
          </w:tcPr>
          <w:p w14:paraId="481F98D0">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血浆蛋白S测定</w:t>
            </w:r>
          </w:p>
        </w:tc>
        <w:tc>
          <w:tcPr>
            <w:tcW w:w="616" w:type="dxa"/>
            <w:noWrap w:val="0"/>
            <w:vAlign w:val="top"/>
          </w:tcPr>
          <w:p w14:paraId="7B90A396">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w:t>
            </w:r>
          </w:p>
        </w:tc>
        <w:tc>
          <w:tcPr>
            <w:tcW w:w="967" w:type="dxa"/>
            <w:noWrap w:val="0"/>
            <w:vAlign w:val="top"/>
          </w:tcPr>
          <w:p w14:paraId="1E6F72A5">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43</w:t>
            </w:r>
          </w:p>
        </w:tc>
        <w:tc>
          <w:tcPr>
            <w:tcW w:w="950" w:type="dxa"/>
            <w:noWrap w:val="0"/>
            <w:vAlign w:val="top"/>
          </w:tcPr>
          <w:p w14:paraId="5822D626">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曲江院区</w:t>
            </w:r>
          </w:p>
        </w:tc>
        <w:tc>
          <w:tcPr>
            <w:tcW w:w="1050" w:type="dxa"/>
            <w:vMerge w:val="continue"/>
            <w:noWrap w:val="0"/>
            <w:vAlign w:val="top"/>
          </w:tcPr>
          <w:p w14:paraId="0953FD18">
            <w:pPr>
              <w:jc w:val="center"/>
              <w:rPr>
                <w:rFonts w:hint="eastAsia" w:ascii="仿宋" w:hAnsi="仿宋" w:eastAsia="仿宋" w:cs="仿宋"/>
                <w:color w:val="auto"/>
                <w:sz w:val="21"/>
                <w:szCs w:val="21"/>
                <w:highlight w:val="none"/>
                <w:lang w:val="en-US" w:eastAsia="zh-CN"/>
              </w:rPr>
            </w:pPr>
          </w:p>
        </w:tc>
      </w:tr>
      <w:tr w14:paraId="225FE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59" w:type="dxa"/>
            <w:noWrap w:val="0"/>
            <w:vAlign w:val="top"/>
          </w:tcPr>
          <w:p w14:paraId="2DDD9E65">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H</w:t>
            </w:r>
          </w:p>
        </w:tc>
        <w:tc>
          <w:tcPr>
            <w:tcW w:w="1300" w:type="dxa"/>
            <w:noWrap w:val="0"/>
            <w:vAlign w:val="top"/>
          </w:tcPr>
          <w:p w14:paraId="1FE10460">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250401031</w:t>
            </w:r>
          </w:p>
        </w:tc>
        <w:tc>
          <w:tcPr>
            <w:tcW w:w="3950" w:type="dxa"/>
            <w:noWrap w:val="0"/>
            <w:vAlign w:val="center"/>
          </w:tcPr>
          <w:p w14:paraId="67CD9F26">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淋巴细胞亚群绝对计数</w:t>
            </w:r>
          </w:p>
          <w:p w14:paraId="70EC5FAE">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包括：</w:t>
            </w:r>
          </w:p>
          <w:p w14:paraId="6D5EA822">
            <w:pPr>
              <w:jc w:val="both"/>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CD3+、CD4+、CD8+、CD19+、CD16+、CD56+、CD45+等。</w:t>
            </w:r>
          </w:p>
        </w:tc>
        <w:tc>
          <w:tcPr>
            <w:tcW w:w="616" w:type="dxa"/>
            <w:noWrap w:val="0"/>
            <w:vAlign w:val="top"/>
          </w:tcPr>
          <w:p w14:paraId="2F7769A8">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w:t>
            </w:r>
          </w:p>
        </w:tc>
        <w:tc>
          <w:tcPr>
            <w:tcW w:w="967" w:type="dxa"/>
            <w:noWrap w:val="0"/>
            <w:vAlign w:val="top"/>
          </w:tcPr>
          <w:p w14:paraId="5A9419A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85</w:t>
            </w:r>
          </w:p>
        </w:tc>
        <w:tc>
          <w:tcPr>
            <w:tcW w:w="950" w:type="dxa"/>
            <w:noWrap w:val="0"/>
            <w:vAlign w:val="top"/>
          </w:tcPr>
          <w:p w14:paraId="72D30F58">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曲江院区</w:t>
            </w:r>
          </w:p>
        </w:tc>
        <w:tc>
          <w:tcPr>
            <w:tcW w:w="1050" w:type="dxa"/>
            <w:vMerge w:val="continue"/>
            <w:noWrap w:val="0"/>
            <w:vAlign w:val="top"/>
          </w:tcPr>
          <w:p w14:paraId="1C7881AB">
            <w:pPr>
              <w:jc w:val="center"/>
              <w:rPr>
                <w:rFonts w:hint="eastAsia" w:ascii="仿宋" w:hAnsi="仿宋" w:eastAsia="仿宋" w:cs="仿宋"/>
                <w:color w:val="auto"/>
                <w:sz w:val="21"/>
                <w:szCs w:val="21"/>
                <w:highlight w:val="none"/>
                <w:lang w:val="en-US" w:eastAsia="zh-CN"/>
              </w:rPr>
            </w:pPr>
          </w:p>
        </w:tc>
      </w:tr>
      <w:tr w14:paraId="470E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59" w:type="dxa"/>
            <w:noWrap w:val="0"/>
            <w:vAlign w:val="top"/>
          </w:tcPr>
          <w:p w14:paraId="5D90F97F">
            <w:pPr>
              <w:jc w:val="center"/>
              <w:rPr>
                <w:rFonts w:hint="eastAsia" w:ascii="仿宋" w:hAnsi="仿宋" w:eastAsia="仿宋" w:cs="仿宋"/>
                <w:color w:val="auto"/>
                <w:sz w:val="21"/>
                <w:szCs w:val="21"/>
                <w:highlight w:val="none"/>
                <w:lang w:val="en-US" w:eastAsia="zh-CN"/>
              </w:rPr>
            </w:pPr>
          </w:p>
        </w:tc>
        <w:tc>
          <w:tcPr>
            <w:tcW w:w="8833" w:type="dxa"/>
            <w:gridSpan w:val="6"/>
            <w:noWrap w:val="0"/>
            <w:vAlign w:val="top"/>
          </w:tcPr>
          <w:p w14:paraId="78AF60BE">
            <w:pPr>
              <w:jc w:val="center"/>
              <w:rPr>
                <w:rFonts w:hint="eastAsia" w:ascii="仿宋" w:hAnsi="仿宋" w:eastAsia="仿宋" w:cs="仿宋"/>
                <w:color w:val="auto"/>
                <w:sz w:val="20"/>
                <w:szCs w:val="20"/>
                <w:highlight w:val="none"/>
                <w:lang w:val="en-US" w:eastAsia="zh-CN"/>
              </w:rPr>
            </w:pPr>
          </w:p>
          <w:p w14:paraId="72267823">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0"/>
                <w:szCs w:val="20"/>
                <w:highlight w:val="none"/>
                <w:lang w:val="en-US" w:eastAsia="zh-CN"/>
              </w:rPr>
              <w:t>曲江院区及南院区病理冰冻、免疫组化项目</w:t>
            </w:r>
          </w:p>
        </w:tc>
      </w:tr>
    </w:tbl>
    <w:p w14:paraId="3AF55D9C">
      <w:pPr>
        <w:jc w:val="left"/>
        <w:rPr>
          <w:rFonts w:hint="eastAsia" w:ascii="仿宋_GB2312" w:hAnsi="仿宋_GB2312" w:eastAsia="仿宋_GB2312" w:cs="仿宋_GB2312"/>
          <w:b/>
          <w:bCs/>
          <w:color w:val="auto"/>
          <w:kern w:val="0"/>
          <w:sz w:val="20"/>
          <w:szCs w:val="20"/>
          <w:highlight w:val="none"/>
          <w:lang w:val="en-US" w:eastAsia="zh-CN"/>
        </w:rPr>
      </w:pPr>
      <w:r>
        <w:rPr>
          <w:rFonts w:hint="eastAsia" w:ascii="仿宋" w:hAnsi="仿宋" w:eastAsia="仿宋" w:cs="仿宋"/>
          <w:color w:val="auto"/>
          <w:highlight w:val="none"/>
          <w:lang w:val="en-US" w:eastAsia="zh-CN"/>
        </w:rPr>
        <w:t>注：</w:t>
      </w:r>
      <w:r>
        <w:rPr>
          <w:rFonts w:hint="eastAsia" w:ascii="仿宋_GB2312" w:hAnsi="仿宋_GB2312" w:eastAsia="仿宋_GB2312" w:cs="仿宋_GB2312"/>
          <w:b/>
          <w:bCs/>
          <w:color w:val="auto"/>
          <w:kern w:val="0"/>
          <w:sz w:val="20"/>
          <w:szCs w:val="20"/>
          <w:highlight w:val="none"/>
          <w:lang w:val="en-US" w:eastAsia="zh-CN"/>
        </w:rPr>
        <w:t>1.西安市中医医院（南院区）外送项目与北院区、曲江院区一致。</w:t>
      </w:r>
    </w:p>
    <w:p w14:paraId="6C9176F2">
      <w:pPr>
        <w:jc w:val="left"/>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    2.经医务部门批准增加或删除的项目。</w:t>
      </w:r>
    </w:p>
    <w:p w14:paraId="61862359">
      <w:pPr>
        <w:pStyle w:val="2"/>
        <w:rPr>
          <w:rFonts w:hint="eastAsia" w:ascii="仿宋" w:hAnsi="仿宋" w:eastAsia="仿宋" w:cs="仿宋"/>
          <w:b/>
          <w:bCs/>
          <w:color w:val="auto"/>
          <w:sz w:val="24"/>
          <w:highlight w:val="none"/>
        </w:rPr>
      </w:pPr>
    </w:p>
    <w:p w14:paraId="1EE67D41">
      <w:pPr>
        <w:pStyle w:val="2"/>
        <w:rPr>
          <w:rFonts w:hint="eastAsia" w:ascii="仿宋" w:hAnsi="仿宋" w:eastAsia="仿宋" w:cs="仿宋"/>
          <w:b/>
          <w:bCs/>
          <w:color w:val="auto"/>
          <w:sz w:val="24"/>
          <w:highlight w:val="none"/>
        </w:rPr>
      </w:pPr>
    </w:p>
    <w:p w14:paraId="39D9CE96">
      <w:pPr>
        <w:pStyle w:val="2"/>
        <w:rPr>
          <w:rFonts w:hint="eastAsia" w:ascii="仿宋" w:hAnsi="仿宋" w:eastAsia="仿宋" w:cs="仿宋"/>
          <w:b/>
          <w:bCs/>
          <w:color w:val="auto"/>
          <w:sz w:val="24"/>
          <w:highlight w:val="none"/>
        </w:rPr>
      </w:pPr>
    </w:p>
    <w:p w14:paraId="2CA1DF90">
      <w:pPr>
        <w:pStyle w:val="2"/>
        <w:rPr>
          <w:rFonts w:hint="eastAsia" w:ascii="仿宋" w:hAnsi="仿宋" w:eastAsia="仿宋" w:cs="仿宋"/>
          <w:b/>
          <w:bCs/>
          <w:color w:val="auto"/>
          <w:sz w:val="24"/>
          <w:highlight w:val="none"/>
        </w:rPr>
      </w:pPr>
    </w:p>
    <w:p w14:paraId="5679049F">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6D147FBE">
      <w:pPr>
        <w:pStyle w:val="2"/>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信息保护政策</w:t>
      </w:r>
    </w:p>
    <w:p w14:paraId="27C8A675">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甲乙双方深知个人信息等受监管数据全力安全保护的重要性，各方应当按照法律法规、相关标准等规定，采取相应的安全保护措施保护及处理受检者的个人信息及受监管的数据。一方因履行本合同之目的交付、传输给另一方的个人信息、数据等，接收方及其工作人员应按法律法规的要求进行保护及处理。否则，违规方应承担因此导致的受检者个人信息泄露产生的相关责任及损失，造成另一方损失的，应赔偿另一方损失。</w:t>
      </w:r>
    </w:p>
    <w:p w14:paraId="74046E9A">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甲方应当依法依规保护受检者的个人信息，提供给乙方的受检者信息应进行匿名化处理或依法取得受检者同意，同意乙方按本合同约定之目的合法使规处理个人信息。乙方若涉及处理个人信息的，应进行相应信息安全措施。</w:t>
      </w:r>
    </w:p>
    <w:p w14:paraId="617DDF66">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乙方及相关服务方，可以为了履行合同之目的存储或以其他方式处理甲方、甲方人员和业务联络信息，例如姓名、办公电话、地址、邮箱和用户ID。如就前述处理需通知个人或取得其同意之必要，甲方将通知并取得该个人之同意。</w:t>
      </w:r>
    </w:p>
    <w:p w14:paraId="32A1991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一方履行合同期间，从另一方知悉的关于另一方的经营信息、检验技术信息、受检者个人信息及医疗信息数据等一切非公开的信息负有保密义务及合法处理义务。如因国家行政机关要求提供保密资料，或双方对任何与本合同相关的仲裁、诉讼、鉴定、及指控等表达诉求、进行答复、抗辩时，可使用保密资料，不视为违约。</w:t>
      </w:r>
    </w:p>
    <w:p w14:paraId="720C1573">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5、本政策是甲乙双方《委托检验合同》的重要组成部分，与合同具有同等法律效力，经双方盖章后生效。  </w:t>
      </w:r>
    </w:p>
    <w:p w14:paraId="6030711F">
      <w:pPr>
        <w:widowControl/>
        <w:tabs>
          <w:tab w:val="left" w:pos="5166"/>
        </w:tabs>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甲方：                                  乙方：</w:t>
      </w:r>
    </w:p>
    <w:p w14:paraId="215435C1">
      <w:pPr>
        <w:widowControl/>
        <w:tabs>
          <w:tab w:val="left" w:pos="5166"/>
        </w:tabs>
        <w:spacing w:line="360" w:lineRule="auto"/>
        <w:jc w:val="left"/>
        <w:rPr>
          <w:rFonts w:hint="eastAsia" w:ascii="仿宋" w:hAnsi="仿宋" w:eastAsia="仿宋" w:cs="仿宋"/>
          <w:color w:val="auto"/>
          <w:sz w:val="24"/>
          <w:highlight w:val="none"/>
        </w:rPr>
      </w:pPr>
    </w:p>
    <w:p w14:paraId="2FAE93E1">
      <w:pPr>
        <w:widowControl/>
        <w:tabs>
          <w:tab w:val="left" w:pos="5166"/>
        </w:tabs>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授权签约人：                            授权签约人：      </w:t>
      </w:r>
    </w:p>
    <w:p w14:paraId="0C1D8B07">
      <w:pPr>
        <w:widowControl/>
        <w:tabs>
          <w:tab w:val="left" w:pos="5166"/>
        </w:tabs>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734E824A">
      <w:pPr>
        <w:widowControl/>
        <w:tabs>
          <w:tab w:val="left" w:pos="5166"/>
        </w:tabs>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签约日期：                              签约日期： </w:t>
      </w:r>
    </w:p>
    <w:p w14:paraId="3B315484">
      <w:pPr>
        <w:pStyle w:val="2"/>
        <w:spacing w:line="360" w:lineRule="auto"/>
        <w:jc w:val="left"/>
        <w:rPr>
          <w:rFonts w:hint="eastAsia"/>
          <w:color w:val="auto"/>
          <w:sz w:val="24"/>
          <w:highlight w:val="none"/>
        </w:rPr>
      </w:pPr>
    </w:p>
    <w:p w14:paraId="6C52E7F3">
      <w:pPr>
        <w:pStyle w:val="2"/>
        <w:spacing w:line="360" w:lineRule="auto"/>
        <w:jc w:val="left"/>
        <w:rPr>
          <w:rFonts w:hint="eastAsia"/>
          <w:color w:val="auto"/>
          <w:sz w:val="24"/>
          <w:highlight w:val="none"/>
        </w:rPr>
      </w:pPr>
    </w:p>
    <w:p w14:paraId="7BC42C2D">
      <w:pPr>
        <w:pStyle w:val="2"/>
        <w:spacing w:line="360" w:lineRule="auto"/>
        <w:jc w:val="left"/>
        <w:rPr>
          <w:rFonts w:hint="eastAsia"/>
          <w:color w:val="auto"/>
          <w:highlight w:val="none"/>
        </w:rPr>
      </w:pPr>
    </w:p>
    <w:p w14:paraId="2B941204">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202A58F7">
      <w:pPr>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廉洁合同</w:t>
      </w:r>
    </w:p>
    <w:p w14:paraId="0B601991">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甲乙双方订立、履行合同过程中，严格遵守国家有关的法律法规和反商业贿赂规定，坚持公平、公开、公正、诚实信用的原则，为保持廉洁自律工作作风，防止各种不正当行为发生，甲乙双方约定如下：</w:t>
      </w:r>
    </w:p>
    <w:p w14:paraId="49627D5B">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一、甲乙双方应当自觉遵守国家、地方法律法规以及本合同的约定，在合同的订立、履行过程中廉洁自律。 </w:t>
      </w:r>
    </w:p>
    <w:p w14:paraId="19F4A5AA">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二、甲方及其工作人员不得以任何形式向乙方索要和收受回扣、礼金、有价证券和贵重物品，不得在乙方报销任何应由其个人承担的费用。 </w:t>
      </w:r>
    </w:p>
    <w:p w14:paraId="14BB982D">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三、乙方禁止乙方及工作人员向甲方及其工作人员等实施任何违反法律法规等规定的商业贿赂行为。乙方不会向甲方及其工作人员馈赠现金和实物（包括但不限于现金、家电、设备、健身器材、汽车、房产等物品，赠与有价证券，如购物卡、提货单、娱乐场所会员卡、打折卡、代币券证券、干股、红利，假借促销费、宣传费、回扣等名义，或者以报销各种费用等方式，给付甲方或者甲方工作人员个的财物）等，不会实施任何违反法律法规及相关规定规定的行为。</w:t>
      </w:r>
    </w:p>
    <w:p w14:paraId="33C98706">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四、甲乙双方工作人员不得以私自收费、私自送检等任何方式，实施损害双方或任一方权益的行为。</w:t>
      </w:r>
    </w:p>
    <w:p w14:paraId="7591726A">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五、任一方如发现另一方工作人员有违反本合同行为倾向的，应及时提醒纠正，并向另一方的反商业贿赂监督管理门举报并提供相关证据，并对举报相关事项进行保密。</w:t>
      </w:r>
    </w:p>
    <w:p w14:paraId="3AA04F83">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六、双方设定专线接受投诉（乙方专线为：</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），双方的工作人员在经济活动中行贿或受贿累计额较大，构成违法犯罪的，移交给国家相应的司法机关处理，双方应积极配合司法机关的处理。</w:t>
      </w:r>
    </w:p>
    <w:p w14:paraId="40FCF32D">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七、本廉洁合同是《委托检验合同》的重要组成部分，,与合同具有同等法律效力，经双方后盖章后生效。  </w:t>
      </w:r>
    </w:p>
    <w:p w14:paraId="0B712C46">
      <w:pPr>
        <w:widowControl/>
        <w:spacing w:line="360" w:lineRule="auto"/>
        <w:jc w:val="left"/>
        <w:rPr>
          <w:rFonts w:hint="eastAsia" w:ascii="仿宋" w:hAnsi="仿宋" w:eastAsia="仿宋" w:cs="仿宋"/>
          <w:color w:val="auto"/>
          <w:sz w:val="24"/>
          <w:highlight w:val="none"/>
        </w:rPr>
      </w:pPr>
    </w:p>
    <w:p w14:paraId="2427B4C6">
      <w:pPr>
        <w:widowControl/>
        <w:spacing w:line="360" w:lineRule="auto"/>
        <w:jc w:val="left"/>
        <w:rPr>
          <w:rFonts w:hint="eastAsia" w:ascii="仿宋_GB2312"/>
          <w:color w:val="auto"/>
          <w:sz w:val="32"/>
          <w:highlight w:val="none"/>
        </w:rPr>
      </w:pPr>
      <w:r>
        <w:rPr>
          <w:rFonts w:hint="eastAsia" w:ascii="仿宋" w:hAnsi="仿宋" w:eastAsia="仿宋" w:cs="仿宋"/>
          <w:color w:val="auto"/>
          <w:sz w:val="24"/>
          <w:highlight w:val="none"/>
        </w:rPr>
        <w:t xml:space="preserve">甲 方：                               乙 方： </w:t>
      </w:r>
    </w:p>
    <w:p w14:paraId="3411521A">
      <w:pPr>
        <w:widowControl/>
        <w:tabs>
          <w:tab w:val="left" w:pos="5166"/>
        </w:tabs>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授权签约人：                          授权签约人：</w:t>
      </w:r>
    </w:p>
    <w:p w14:paraId="787F987A">
      <w:pPr>
        <w:widowControl/>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签约日期：                            签约日期： </w:t>
      </w:r>
    </w:p>
    <w:p w14:paraId="0046D631">
      <w:pPr>
        <w:pStyle w:val="6"/>
      </w:pPr>
      <w:r>
        <w:rPr>
          <w:rFonts w:ascii="仿宋_GB2312" w:hAnsi="仿宋_GB2312" w:eastAsia="仿宋_GB2312" w:cs="仿宋_GB2312"/>
          <w:color w:val="auto"/>
          <w:highlight w:val="none"/>
        </w:rPr>
        <w:br w:type="textWrapping"/>
      </w: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4EC9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236C53">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236C53">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602A75"/>
    <w:multiLevelType w:val="multilevel"/>
    <w:tmpl w:val="67602A75"/>
    <w:lvl w:ilvl="0" w:tentative="0">
      <w:start w:val="6"/>
      <w:numFmt w:val="japaneseCounting"/>
      <w:lvlText w:val="%1、"/>
      <w:lvlJc w:val="left"/>
      <w:pPr>
        <w:ind w:left="1112" w:hanging="510"/>
      </w:pPr>
      <w:rPr>
        <w:rFonts w:hint="default"/>
      </w:rPr>
    </w:lvl>
    <w:lvl w:ilvl="1" w:tentative="0">
      <w:start w:val="1"/>
      <w:numFmt w:val="decimal"/>
      <w:lvlText w:val="%2、"/>
      <w:lvlJc w:val="left"/>
      <w:pPr>
        <w:ind w:left="1382" w:hanging="360"/>
      </w:pPr>
      <w:rPr>
        <w:rFonts w:hint="default" w:ascii="仿宋" w:hAnsi="仿宋" w:eastAsia="仿宋" w:cs="仿宋"/>
        <w:sz w:val="24"/>
      </w:r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335DBC"/>
    <w:rsid w:val="7B335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2026-04-08T11:27:00Z</dcterms:created>
  <dc:creator>唯一</dc:creator>
  <cp:lastModifiedBy>唯一</cp:lastModifiedBy>
  <dcterms:modified xsi:type="dcterms:W3CDTF">2026-04-08T11:28:06Z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18E25E8197294523843ABD5D8F0047E7_11</vt:lpwstr>
  </property>
  <property fmtid="{D5CDD505-2E9C-101B-9397-08002B2CF9AE}" pid="4" name="KSOTemplateDocerSaveRecord">
    <vt:lpwstr>eyJoZGlkIjoiODQ4NzhkOTU2NTlmZjc5MWY1NDA2Y2U5ZTFmZDIzNzgiLCJ1c2VySWQiOiIzMzA5ODk0NTAifQ==</vt:lpwstr>
  </property>
</Properties>
</file>