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版本号：SXZY2026-ZC003-CS20260526001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泾渭工业园市政道路工程前期咨询服务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SXZY2026-ZC003-CS</w:t>
      </w:r>
      <w:r>
        <w:br/>
      </w:r>
      <w:r>
        <w:br/>
      </w:r>
      <w:r>
        <w:br/>
      </w:r>
    </w:p>
    <w:p>
      <w:pPr>
        <w:pStyle w:val="null3"/>
        <w:jc w:val="center"/>
        <w:outlineLvl w:val="2"/>
      </w:pPr>
      <w:r>
        <w:rPr>
          <w:rFonts w:ascii="仿宋_GB2312" w:hAnsi="仿宋_GB2312" w:cs="仿宋_GB2312" w:eastAsia="仿宋_GB2312"/>
          <w:sz w:val="28"/>
          <w:b/>
        </w:rPr>
        <w:t>西安经济技术开发区泾渭新城发展建设管理中心</w:t>
      </w:r>
    </w:p>
    <w:p>
      <w:pPr>
        <w:pStyle w:val="null3"/>
        <w:jc w:val="center"/>
        <w:outlineLvl w:val="2"/>
      </w:pPr>
      <w:r>
        <w:rPr>
          <w:rFonts w:ascii="仿宋_GB2312" w:hAnsi="仿宋_GB2312" w:cs="仿宋_GB2312" w:eastAsia="仿宋_GB2312"/>
          <w:sz w:val="28"/>
          <w:b/>
        </w:rPr>
        <w:t>陕西中易项目管理有限公司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委托，拟对</w:t>
      </w:r>
      <w:r>
        <w:rPr>
          <w:rFonts w:ascii="仿宋_GB2312" w:hAnsi="仿宋_GB2312" w:cs="仿宋_GB2312" w:eastAsia="仿宋_GB2312"/>
        </w:rPr>
        <w:t>泾渭工业园市政道路工程前期咨询服务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SXZY2026-ZC003-CS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泾渭工业园市政道路工程前期咨询服务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泾渭工业园市政道路工程前期咨询服务包含龙跃宫西侧规划路道路工程、龙跃宫南侧规划路道路工程、高刘路(泾渭路-高刘变)市政工程、高刘安置区西侧规划路市政工程4个项目的项目建议书、可行性研究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采购包1（泾渭工业园市政道路工程前期咨询服务）：属于专门面向中小企业采购。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1、授权委托书：法定代表人授权书（附法定代表人身份证复印件及被授权人身份证复印件），（法定代表人直接参加磋商，须提供法定代表人身份证明复印件），非法人单位参照执行。</w:t>
      </w:r>
    </w:p>
    <w:p>
      <w:pPr>
        <w:pStyle w:val="null3"/>
      </w:pPr>
      <w:r>
        <w:rPr>
          <w:rFonts w:ascii="仿宋_GB2312" w:hAnsi="仿宋_GB2312" w:cs="仿宋_GB2312" w:eastAsia="仿宋_GB2312"/>
        </w:rPr>
        <w:t>2、企业资质：供应商须具备工程咨询单位资信乙级（业务范围含市政类专业）及以上资信。</w:t>
      </w:r>
    </w:p>
    <w:p>
      <w:pPr>
        <w:pStyle w:val="null3"/>
      </w:pPr>
      <w:r>
        <w:rPr>
          <w:rFonts w:ascii="仿宋_GB2312" w:hAnsi="仿宋_GB2312" w:cs="仿宋_GB2312" w:eastAsia="仿宋_GB2312"/>
        </w:rPr>
        <w:t>3、项目负责人：拟派项目负责人须具有登记在本单位咨询工程师登记证书。</w:t>
      </w:r>
    </w:p>
    <w:p>
      <w:pPr>
        <w:pStyle w:val="null3"/>
      </w:pPr>
      <w:r>
        <w:rPr>
          <w:rFonts w:ascii="仿宋_GB2312" w:hAnsi="仿宋_GB2312" w:cs="仿宋_GB2312" w:eastAsia="仿宋_GB2312"/>
        </w:rPr>
        <w:t>4、信用截图：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西安经济技术开发区泾渭新城发展建设管理中心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西安经济技术开发区泾渭新城西金路29号泾渭国际中心8楼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029-86061255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陕西省西安市经济技术开发区尚稷路碧桂园文景府1号楼 201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中服务类收费标准计取。 账户名称：陕西中易项目管理有限公司 开户银行：中国建设银行股份有限公司西安经济技术开发区支行 银行账户：61050193004100002355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西安经济技术开发区泾渭新城发展建设管理中心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联系电话：029-89291292</w:t>
      </w:r>
    </w:p>
    <w:p>
      <w:pPr>
        <w:pStyle w:val="null3"/>
      </w:pPr>
      <w:r>
        <w:rPr>
          <w:rFonts w:ascii="仿宋_GB2312" w:hAnsi="仿宋_GB2312" w:cs="仿宋_GB2312" w:eastAsia="仿宋_GB2312"/>
        </w:rPr>
        <w:t>地址：陕西省西安市经济技术开发区尚稷路碧桂园文景府1号楼 201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泾渭工业园市政道路工程前期咨询服务包含龙跃宫西侧规划路道路工程、龙跃宫南侧规划路道路工程、高刘路(泾渭路-高刘变)市政工程、高刘安置区西侧规划路市政工程4个项目的项目建议书、可行性研究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w:t>
      </w:r>
    </w:p>
    <w:p>
      <w:pPr>
        <w:pStyle w:val="null3"/>
      </w:pPr>
      <w:r>
        <w:rPr>
          <w:rFonts w:ascii="仿宋_GB2312" w:hAnsi="仿宋_GB2312" w:cs="仿宋_GB2312" w:eastAsia="仿宋_GB2312"/>
        </w:rPr>
        <w:t>采购包最高限价（元）: 285,000.00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市政道路工程前期咨询服务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标的名称：市政道路工程前期咨询服务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泾渭工业园市政道路工程前期咨询服务主要工作为前期咨询服务主要工作包含：编制项目建议书、编制可行性研究报告。包含以下四条道路：</w:t>
            </w:r>
          </w:p>
          <w:p>
            <w:pPr>
              <w:pStyle w:val="null3"/>
              <w:jc w:val="both"/>
            </w:pPr>
            <w:r>
              <w:rPr>
                <w:rFonts w:ascii="仿宋_GB2312" w:hAnsi="仿宋_GB2312" w:cs="仿宋_GB2312" w:eastAsia="仿宋_GB2312"/>
              </w:rPr>
              <w:t>（一）高刘路（泾渭路-高刘变）市政工程道路长约685m，宽30m，主要建设内容包括道路、市政管线，交通、照明和绿化以及土方回填工程。总投资约3700万元（以实际审核为准）。根据资源规划局提供的道路红线图，高刘路与泾渭路十字西南角有长约126m的道路范围与南侧西部超导公司现状用地存在重叠。本着尊重历史，实事求是的原则，该道路工程计划按照现状用地界线实施。</w:t>
            </w:r>
            <w:r>
              <w:br/>
            </w:r>
            <w:r>
              <w:rPr>
                <w:rFonts w:ascii="仿宋_GB2312" w:hAnsi="仿宋_GB2312" w:cs="仿宋_GB2312" w:eastAsia="仿宋_GB2312"/>
              </w:rPr>
              <w:t xml:space="preserve"> （二）高刘安置区西侧规划路市政工程</w:t>
            </w:r>
            <w:r>
              <w:br/>
            </w:r>
            <w:r>
              <w:rPr>
                <w:rFonts w:ascii="仿宋_GB2312" w:hAnsi="仿宋_GB2312" w:cs="仿宋_GB2312" w:eastAsia="仿宋_GB2312"/>
              </w:rPr>
              <w:t xml:space="preserve"> 该道路长约590m，宽20m，主要建设内容包括道路、市政管线，交通、照明和绿化以及土方回填工程。总投资约2000万元（以实际审核为准）</w:t>
            </w:r>
          </w:p>
          <w:p>
            <w:pPr>
              <w:pStyle w:val="null3"/>
            </w:pPr>
            <w:r>
              <w:rPr>
                <w:rFonts w:ascii="仿宋_GB2312" w:hAnsi="仿宋_GB2312" w:cs="仿宋_GB2312" w:eastAsia="仿宋_GB2312"/>
              </w:rPr>
              <w:t>（三）龙跃宫西侧规划路道路工程</w:t>
            </w:r>
            <w:r>
              <w:br/>
            </w:r>
            <w:r>
              <w:rPr>
                <w:rFonts w:ascii="仿宋_GB2312" w:hAnsi="仿宋_GB2312" w:cs="仿宋_GB2312" w:eastAsia="仿宋_GB2312"/>
              </w:rPr>
              <w:t xml:space="preserve"> 该段道路长约470m，宽20m，主要建设内容包括道路、雨水、污水、给水、交通、照明、电力排管、绿化工程等。总投资约2086.42万元（以实际审核为准）。</w:t>
            </w:r>
            <w:r>
              <w:br/>
            </w:r>
            <w:r>
              <w:rPr>
                <w:rFonts w:ascii="仿宋_GB2312" w:hAnsi="仿宋_GB2312" w:cs="仿宋_GB2312" w:eastAsia="仿宋_GB2312"/>
              </w:rPr>
              <w:t xml:space="preserve"> （四）龙跃宫南侧规划路道路工程</w:t>
            </w:r>
            <w:r>
              <w:br/>
            </w:r>
            <w:r>
              <w:rPr>
                <w:rFonts w:ascii="仿宋_GB2312" w:hAnsi="仿宋_GB2312" w:cs="仿宋_GB2312" w:eastAsia="仿宋_GB2312"/>
              </w:rPr>
              <w:t xml:space="preserve"> 该道路长约243m，宽15m，主要建设内容包括道路、雨水、污水、给水、交通、照明、电力排管工程等。总投资约1114.39万元（以实际审核为准）。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满足服务内容其他要求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服务结束并提交成果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法定代表人授权书（附法定代表人身份证复印件及被授权人身份证复印件），（法定代表人直接参加磋商，须提供法定代表人身份证明复印件），非法人单位参照执行。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供应商须具备工程咨询单位资信乙级（业务范围含市政类专业）及以上资信。</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拟派项目负责人须具有登记在本单位咨询工程师登记证书。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报价形式符合磋商文件要求。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自合同签订之日起至服务结束。</w:t>
            </w:r>
          </w:p>
        </w:tc>
        <w:tc>
          <w:tcPr>
            <w:tcW w:type="dxa" w:w="1661"/>
          </w:tcPr>
          <w:p>
            <w:pPr>
              <w:pStyle w:val="null3"/>
            </w:pPr>
            <w:r>
              <w:rPr>
                <w:rFonts w:ascii="仿宋_GB2312" w:hAnsi="仿宋_GB2312" w:cs="仿宋_GB2312" w:eastAsia="仿宋_GB2312"/>
              </w:rPr>
              <w:t>服务方案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按照项目理解①现状分析深度②建设必要性论证③建设规模与内容合理性④社会效益与经济效益四项响应情况。单项内容全面详细、阐述条理清晰、针对性和可行性强，完全满足采购需求得12分；内容无缺漏、阐述条理基本清晰，部分内容优化后满足需求得8分；内容简单粗略、逻辑混乱、缺少针对性和可行性，不满足基本需求得4分；未提供或脱离项目实际不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按照项目①项目重点、难点分析、②问题解决对策两项响应情况。单项内容全面详细、阐述条理清晰、针对性和可行性强，完全满足采购需求得6分；内容无缺漏、阐述条理基本清晰，部分内容优化后满足需求得4分；内容简单粗略、逻辑混乱、缺少针对性和可行性，不满足基本需求得2分；未提供或脱离项目实际不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按照实施方案①前期调研统筹计划②项目建议书与可研报告编制流程优化③跨部门协同对接机制④进度节点管控措施⑤成果质量复核与修改完善流程五项响应情况。单项内容全面详细、阐述条理清晰、针对性和可行性强，完全满足采购需求得15分；内容无缺漏、阐述条理基本清晰，部分内容优化后满足需求得10分；内容简单粗略、逻辑混乱、缺少针对性和可行性，不满足基本需求得5分；未提供或脱离项目实际不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按照项目①管理方案②保障措施③整改完善及验收方案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按照服务质量①服务质量措施②交付成果质量管控标准③客户诉求响应及优化机制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风险防控与合规管理方案</w:t>
            </w:r>
          </w:p>
        </w:tc>
        <w:tc>
          <w:tcPr>
            <w:tcW w:type="dxa" w:w="2492"/>
          </w:tcPr>
          <w:p>
            <w:pPr>
              <w:pStyle w:val="null3"/>
            </w:pPr>
            <w:r>
              <w:rPr>
                <w:rFonts w:ascii="仿宋_GB2312" w:hAnsi="仿宋_GB2312" w:cs="仿宋_GB2312" w:eastAsia="仿宋_GB2312"/>
              </w:rPr>
              <w:t>按照服务过程①风险防控②合规管理③合理化建议三项响应情况。单项内容全面详细、阐述条理清晰、针对性和可行性强，完全满足采购需求得9分；内容无缺漏、阐述条理基本清晰，部分内容优化后满足需求得6分；内容简单粗略、逻辑混乱、缺少针对性和可行性，不满足基本需求得3分；未提供或脱离项目实际不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按照项目①方案措施②后期质量保证两项响应情况。单项内容全面详细、阐述条理清晰、针对性和可行性强，完全满足采购需求得6分；内容无缺漏、阐述条理基本清晰，部分内容优化后满足需求得4分；内容简单粗略、逻辑混乱、缺少针对性和可行性，不满足基本需求得2分；未提供或脱离项目实际不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①拟投入本项目的其他人员（除项目负责人外），具有相关专业高级工程师职称的，每提供 1 人计 2分；具有相关专业中级工程师职称的，每提供 1人计 1 分。本项累计得分最高为 6 分 ②团队组织架构岗位职责，根据其响应程度。内容全面洋细、闻述条理清晰、针对性和可行性强完全满足采购需求的得3分，内容无缺漏、描述条理基本清渐、部分内容需优化后能满足采购需求的得2分 ;内容简单粗略、逻辑混乱、缺少针对性和可行性不能满足采购基本需求的得1分;未提供或脱离项目实际的不得分。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供应商具有2023年4月1日起至今类似项目业绩，业绩以合同扫描件（复印件）为依据；每提供1个业绩得2分，最多得10分。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（1）经初审合格的磋商响应文件，其磋商报价为有效磋商报价。（2）满足磋商文件实质性要求且最终报价最低的供应商的价格为磋商基准价，其价格分为满分15分。 （3）磋商报价得分=（磋商基准价/最终磋商报价）×15。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