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版本号：THXZB2026-1032-H20260723001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粪便清运处理作业人员保障项目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THXZB2026-1032-H</w:t>
      </w:r>
      <w:r>
        <w:br/>
      </w:r>
      <w:r>
        <w:br/>
      </w:r>
      <w:r>
        <w:br/>
      </w:r>
    </w:p>
    <w:p>
      <w:pPr>
        <w:pStyle w:val="null3"/>
        <w:jc w:val="center"/>
        <w:outlineLvl w:val="2"/>
      </w:pPr>
      <w:r>
        <w:rPr>
          <w:rFonts w:ascii="仿宋_GB2312" w:hAnsi="仿宋_GB2312" w:cs="仿宋_GB2312" w:eastAsia="仿宋_GB2312"/>
          <w:sz w:val="28"/>
          <w:b/>
        </w:rPr>
        <w:t>西安市城肥清运处理中心</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西安市城肥清运处理中心</w:t>
      </w:r>
      <w:r>
        <w:rPr>
          <w:rFonts w:ascii="仿宋_GB2312" w:hAnsi="仿宋_GB2312" w:cs="仿宋_GB2312" w:eastAsia="仿宋_GB2312"/>
        </w:rPr>
        <w:t>委托，拟对</w:t>
      </w:r>
      <w:r>
        <w:rPr>
          <w:rFonts w:ascii="仿宋_GB2312" w:hAnsi="仿宋_GB2312" w:cs="仿宋_GB2312" w:eastAsia="仿宋_GB2312"/>
        </w:rPr>
        <w:t>粪便清运处理作业人员保障项目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THXZB2026-1032-H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粪便清运处理作业人员保障项目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扎实做好西安市城区公私旱厕粪便的清运和预处理、城区化粪池的管理和清掏等保障工作，及时解决粪水外溢、异味扰民、环境卫生脏乱等群众急难愁盼问题，持续优化老旧小区、机关单位、学校人居环境，履行城市环境卫生治理社会责任。依据政府采购相关法律法规及中心内控管理制度，中心拟采购粪便清运配套作业服务，常态化开展清运范围内公私旱厕、化粪池清掏、粪便密闭转运、现场消杀清理等作业，夯实基层环卫民生服务保障基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采购包1（西安市城肥清运处理中心粪便清运处理作业人员保障项目）：属于专门面向中小企业采购。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投标人需在项目电子化交易系统中按要求上传相应证明文件并进行电子签章；</w:t>
      </w:r>
    </w:p>
    <w:p>
      <w:pPr>
        <w:pStyle w:val="null3"/>
      </w:pPr>
      <w:r>
        <w:rPr>
          <w:rFonts w:ascii="仿宋_GB2312" w:hAnsi="仿宋_GB2312" w:cs="仿宋_GB2312" w:eastAsia="仿宋_GB2312"/>
        </w:rPr>
        <w:t>2、法定代表人证明及授权书：法定代表人直接投标须提交法定代表人证明书，法定代表人授权代表参加投标的，须出具法定代表人证明书及授权书、授权代表本单位的证明（提供有效的养老保险缴纳证明），投标人需在项目电子化交易系统中按要求上传相应证明文件并进行电子签章；</w:t>
      </w:r>
    </w:p>
    <w:p>
      <w:pPr>
        <w:pStyle w:val="null3"/>
      </w:pPr>
      <w:r>
        <w:rPr>
          <w:rFonts w:ascii="仿宋_GB2312" w:hAnsi="仿宋_GB2312" w:cs="仿宋_GB2312" w:eastAsia="仿宋_GB2312"/>
        </w:rPr>
        <w:t>3、审计报告：投标人须提供2024或2025年度经会计师事务所审计的审计报告（新成立企业可从成立当年开始提供相对应的财务报表）或其基本存款账户开户银行出具的资信证明（资信证明开具日期为采购公告发布之日后），投标人需在项目电子化交易系统中按要求上传相应证明文件并进行电子签章；</w:t>
      </w:r>
    </w:p>
    <w:p>
      <w:pPr>
        <w:pStyle w:val="null3"/>
      </w:pPr>
      <w:r>
        <w:rPr>
          <w:rFonts w:ascii="仿宋_GB2312" w:hAnsi="仿宋_GB2312" w:cs="仿宋_GB2312" w:eastAsia="仿宋_GB2312"/>
        </w:rPr>
        <w:t>4、税收缴纳证明：投标人须提供投标截止时间前半年内任意一个月的税收缴纳凭证（注：依法免税或零申报的供应商须提供相关文件证明，若为新成立企业可提供相应月度的缴税证明），投标人需在项目电子化交易系统中按要求上传相应证明文件并进行电子签章；</w:t>
      </w:r>
    </w:p>
    <w:p>
      <w:pPr>
        <w:pStyle w:val="null3"/>
      </w:pPr>
      <w:r>
        <w:rPr>
          <w:rFonts w:ascii="仿宋_GB2312" w:hAnsi="仿宋_GB2312" w:cs="仿宋_GB2312" w:eastAsia="仿宋_GB2312"/>
        </w:rPr>
        <w:t>5、社会保障资金缴纳证明：投标人须提供投标截止时间前半年内任意一个月的社会保险缴纳凭证（注：依法不需要缴纳社会保障资金的供应商应提供相关文件证明，若为新成立企业可提供相应月度的社会保险缴纳证明），投标人需在项目电子化交易系统中按要求上传相应证明文件并进行电子签章；</w:t>
      </w:r>
    </w:p>
    <w:p>
      <w:pPr>
        <w:pStyle w:val="null3"/>
      </w:pPr>
      <w:r>
        <w:rPr>
          <w:rFonts w:ascii="仿宋_GB2312" w:hAnsi="仿宋_GB2312" w:cs="仿宋_GB2312" w:eastAsia="仿宋_GB2312"/>
        </w:rPr>
        <w:t>6、资质证明：投标人须提供行政主管部门颁发的有效期内的《劳务派遣经营许可证》及《人力资源服务许可证》，投标人需在项目电子化交易系统中按要求上传相应证明文件并进行电子签章；</w:t>
      </w:r>
    </w:p>
    <w:p>
      <w:pPr>
        <w:pStyle w:val="null3"/>
      </w:pPr>
      <w:r>
        <w:rPr>
          <w:rFonts w:ascii="仿宋_GB2312" w:hAnsi="仿宋_GB2312" w:cs="仿宋_GB2312" w:eastAsia="仿宋_GB2312"/>
        </w:rPr>
        <w:t>7、没有重大违法记录的书面声明：投标人应具备良好的商业信誉，提供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8、具有履行合同所必需的设备和专业技术能力的承诺函：投标人须提供具有履行合同所必需的设备和专业技术能力的承诺函，投标人需在项目电子化交易系统中按要求上传相应证明文件并进行电子签章；</w:t>
      </w:r>
    </w:p>
    <w:p>
      <w:pPr>
        <w:pStyle w:val="null3"/>
      </w:pPr>
      <w:r>
        <w:rPr>
          <w:rFonts w:ascii="仿宋_GB2312" w:hAnsi="仿宋_GB2312" w:cs="仿宋_GB2312" w:eastAsia="仿宋_GB2312"/>
        </w:rPr>
        <w:t>9、信用查询：投标人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投标人提供查询截图，以开标当日网上查询结果为评审依据）；</w:t>
      </w:r>
    </w:p>
    <w:p>
      <w:pPr>
        <w:pStyle w:val="null3"/>
      </w:pPr>
      <w:r>
        <w:rPr>
          <w:rFonts w:ascii="仿宋_GB2312" w:hAnsi="仿宋_GB2312" w:cs="仿宋_GB2312" w:eastAsia="仿宋_GB2312"/>
        </w:rPr>
        <w:t>10、中小企业声明函：本项目专门面向中小企业采购，仅限符合《政府采购促进中小企业发展管理办法》（财库〔2020〕46号）条件的中小微型企业参与，投标人应填写中小企业声明函并对真实性负责（残疾人福利性单位及监狱企业视同为小型、微型企业），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西安市城肥清运处理中心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陕西省西安市未央区大兴西路西段43号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卢园秋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029-84420593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西安市雁塔区雁南二路西京公司西京科创园三号楼25楼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029-88210791转809、13199100790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[2003]857号）中服务类收费标准下浮16%计取代理服务费。以中标金额作为基数，差额累进法进行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西安市城肥清运处理中心</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西安市城肥清运处理中心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西安市城肥清运处理中心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根据磋商文件要求、符合相关标准及规定。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扎实做好西安市城区公私旱厕粪便的清运和预处理、城区化粪池的管理和清掏等保障工作，及时解决粪水外溢、异味扰民、环境卫生脏乱等群众急难愁盼问题，持续优化老旧小区、机关单位、学校人居环境，履行城市环境卫生治理社会责任。依据政府采购相关法律法规及中心内控管理制度，中心拟采购粪便清运配套作业服务，常态化开展清运范围内公私旱厕、化粪池清掏、粪便密闭转运、现场消杀清理等作业，夯实基层环卫民生服务保障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5,150,000.00</w:t>
      </w:r>
    </w:p>
    <w:p>
      <w:pPr>
        <w:pStyle w:val="null3"/>
      </w:pPr>
      <w:r>
        <w:rPr>
          <w:rFonts w:ascii="仿宋_GB2312" w:hAnsi="仿宋_GB2312" w:cs="仿宋_GB2312" w:eastAsia="仿宋_GB2312"/>
        </w:rPr>
        <w:t>采购包最高限价（元）: 5,150,000.00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为扎实做好西安市城区公私旱厕粪便的清运和预处理、城区化粪池的管理和清掏等保障工作，及时解决粪水外溢、异味扰民、环境卫生脏乱等群众急难愁盼问题，持续优化老旧小区、机关单位、学校人居环境，履行城市环境卫生治理社会责任。依据政府采购相关法律法规及</w:t>
            </w:r>
            <w:r>
              <w:rPr>
                <w:rFonts w:ascii="仿宋_GB2312" w:hAnsi="仿宋_GB2312" w:cs="仿宋_GB2312" w:eastAsia="仿宋_GB2312"/>
              </w:rPr>
              <w:t>采购方</w:t>
            </w:r>
            <w:r>
              <w:rPr>
                <w:rFonts w:ascii="仿宋_GB2312" w:hAnsi="仿宋_GB2312" w:cs="仿宋_GB2312" w:eastAsia="仿宋_GB2312"/>
              </w:rPr>
              <w:t>内控管理制度，</w:t>
            </w:r>
            <w:r>
              <w:rPr>
                <w:rFonts w:ascii="仿宋_GB2312" w:hAnsi="仿宋_GB2312" w:cs="仿宋_GB2312" w:eastAsia="仿宋_GB2312"/>
              </w:rPr>
              <w:t>采购方</w:t>
            </w:r>
            <w:r>
              <w:rPr>
                <w:rFonts w:ascii="仿宋_GB2312" w:hAnsi="仿宋_GB2312" w:cs="仿宋_GB2312" w:eastAsia="仿宋_GB2312"/>
              </w:rPr>
              <w:t>拟采购粪便清运配套作业服务，常态化开展清运范围内公私旱厕、化粪池清掏、粪便密闭转运、现场消杀清理等作业，夯实基层环卫民生服务保障基础。</w:t>
            </w:r>
          </w:p>
          <w:p>
            <w:pPr>
              <w:pStyle w:val="null3"/>
            </w:pPr>
            <w:r>
              <w:rPr>
                <w:rFonts w:ascii="仿宋_GB2312" w:hAnsi="仿宋_GB2312" w:cs="仿宋_GB2312" w:eastAsia="仿宋_GB2312"/>
                <w:sz w:val="21"/>
              </w:rPr>
              <w:t xml:space="preserve">         </w:t>
            </w:r>
            <w:r>
              <w:rPr>
                <w:rFonts w:ascii="仿宋_GB2312" w:hAnsi="仿宋_GB2312" w:cs="仿宋_GB2312" w:eastAsia="仿宋_GB2312"/>
              </w:rPr>
              <w:t>本项目属于城市环境卫生公益性服务项目，直接服务市民日常生活，采购需求真实完整，符合政府采购政策相关要求。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本项目为城市环卫作业辅助服务，采购内容包含清运范围内公私旱厕、化粪池粪便清运处理现场作业、清运车辆配套驾驶人员保障等专项服务。中标服务商自行配齐粪便清运处理、车辆驾驶全部作业人员，承担人员用工、管理责任，所有作业人员服从</w:t>
            </w:r>
            <w:r>
              <w:rPr>
                <w:rFonts w:ascii="仿宋_GB2312" w:hAnsi="仿宋_GB2312" w:cs="仿宋_GB2312" w:eastAsia="仿宋_GB2312"/>
              </w:rPr>
              <w:t>采购人</w:t>
            </w:r>
            <w:r>
              <w:rPr>
                <w:rFonts w:ascii="仿宋_GB2312" w:hAnsi="仿宋_GB2312" w:cs="仿宋_GB2312" w:eastAsia="仿宋_GB2312"/>
              </w:rPr>
              <w:t>统一作业调度。</w:t>
            </w:r>
          </w:p>
          <w:p>
            <w:pPr>
              <w:pStyle w:val="null3"/>
              <w:ind w:firstLine="400"/>
              <w:jc w:val="both"/>
            </w:pPr>
            <w:r>
              <w:rPr>
                <w:rFonts w:ascii="仿宋_GB2312" w:hAnsi="仿宋_GB2312" w:cs="仿宋_GB2312" w:eastAsia="仿宋_GB2312"/>
              </w:rPr>
              <w:t>1.粪便清运处理作业服务</w:t>
            </w:r>
          </w:p>
          <w:p>
            <w:pPr>
              <w:pStyle w:val="null3"/>
              <w:ind w:firstLine="400"/>
              <w:jc w:val="both"/>
            </w:pPr>
            <w:r>
              <w:rPr>
                <w:rFonts w:ascii="仿宋_GB2312" w:hAnsi="仿宋_GB2312" w:cs="仿宋_GB2312" w:eastAsia="仿宋_GB2312"/>
              </w:rPr>
              <w:t>负责清运范围内公私旱厕、化粪池人工清掏、粪便清运处理工作；作业规范穿戴全套防护用具，严控粪污撒漏污染路面。</w:t>
            </w:r>
          </w:p>
          <w:p>
            <w:pPr>
              <w:pStyle w:val="null3"/>
              <w:ind w:firstLine="400"/>
              <w:jc w:val="both"/>
            </w:pPr>
            <w:r>
              <w:rPr>
                <w:rFonts w:ascii="仿宋_GB2312" w:hAnsi="仿宋_GB2312" w:cs="仿宋_GB2312" w:eastAsia="仿宋_GB2312"/>
              </w:rPr>
              <w:t>2.车辆驾驶运输配套服务</w:t>
            </w:r>
          </w:p>
          <w:p>
            <w:pPr>
              <w:pStyle w:val="null3"/>
            </w:pPr>
            <w:r>
              <w:rPr>
                <w:rFonts w:ascii="仿宋_GB2312" w:hAnsi="仿宋_GB2312" w:cs="仿宋_GB2312" w:eastAsia="仿宋_GB2312"/>
              </w:rPr>
              <w:t xml:space="preserve">         专职承担公私旱厕、化粪池粪便清运保障；出车前后检查清运车辆制动、轮胎、油水、罐体密封设备，规范登记行车、清运点位台账；全程密闭运输粪便，杜绝沿途滴漏遗撒，为清运作业提供运输支撑。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jc w:val="both"/>
            </w:pPr>
            <w:r>
              <w:rPr>
                <w:rFonts w:ascii="仿宋_GB2312" w:hAnsi="仿宋_GB2312" w:cs="仿宋_GB2312" w:eastAsia="仿宋_GB2312"/>
              </w:rPr>
              <w:t>（一）人员总体要求</w:t>
            </w:r>
          </w:p>
          <w:p>
            <w:pPr>
              <w:pStyle w:val="null3"/>
              <w:jc w:val="both"/>
            </w:pPr>
            <w:r>
              <w:rPr>
                <w:rFonts w:ascii="仿宋_GB2312" w:hAnsi="仿宋_GB2312" w:cs="仿宋_GB2312" w:eastAsia="仿宋_GB2312"/>
              </w:rPr>
              <w:t xml:space="preserve">         1.本项目配置作业人员总人数</w:t>
            </w:r>
            <w:r>
              <w:rPr>
                <w:rFonts w:ascii="仿宋_GB2312" w:hAnsi="仿宋_GB2312" w:cs="仿宋_GB2312" w:eastAsia="仿宋_GB2312"/>
              </w:rPr>
              <w:t>约</w:t>
            </w:r>
            <w:r>
              <w:rPr>
                <w:rFonts w:ascii="仿宋_GB2312" w:hAnsi="仿宋_GB2312" w:cs="仿宋_GB2312" w:eastAsia="仿宋_GB2312"/>
              </w:rPr>
              <w:t>148人，岗位工种分为</w:t>
            </w:r>
            <w:r>
              <w:rPr>
                <w:rFonts w:ascii="仿宋_GB2312" w:hAnsi="仿宋_GB2312" w:cs="仿宋_GB2312" w:eastAsia="仿宋_GB2312"/>
              </w:rPr>
              <w:t>担粪</w:t>
            </w:r>
            <w:r>
              <w:rPr>
                <w:rFonts w:ascii="仿宋_GB2312" w:hAnsi="仿宋_GB2312" w:cs="仿宋_GB2312" w:eastAsia="仿宋_GB2312"/>
              </w:rPr>
              <w:t>人员、车辆驾驶人员两类。全部作业人员年龄须在</w:t>
            </w:r>
            <w:r>
              <w:rPr>
                <w:rFonts w:ascii="仿宋_GB2312" w:hAnsi="仿宋_GB2312" w:cs="仿宋_GB2312" w:eastAsia="仿宋_GB2312"/>
              </w:rPr>
              <w:t>18周岁至</w:t>
            </w:r>
            <w:r>
              <w:rPr>
                <w:rFonts w:ascii="仿宋_GB2312" w:hAnsi="仿宋_GB2312" w:cs="仿宋_GB2312" w:eastAsia="仿宋_GB2312"/>
              </w:rPr>
              <w:t>5</w:t>
            </w:r>
            <w:r>
              <w:rPr>
                <w:rFonts w:ascii="仿宋_GB2312" w:hAnsi="仿宋_GB2312" w:cs="仿宋_GB2312" w:eastAsia="仿宋_GB2312"/>
              </w:rPr>
              <w:t>5周岁区间，身心健康、吃苦耐劳，能够长期胜任户外重体力环卫作业，可适配夜间作业、节假日应急加班工作；无传染性疾病及影响一线作业的身体缺陷，无违法犯罪记录、无重大失信记录，服务意识良好，服从</w:t>
            </w:r>
            <w:r>
              <w:rPr>
                <w:rFonts w:ascii="仿宋_GB2312" w:hAnsi="仿宋_GB2312" w:cs="仿宋_GB2312" w:eastAsia="仿宋_GB2312"/>
              </w:rPr>
              <w:t>采购人</w:t>
            </w:r>
            <w:r>
              <w:rPr>
                <w:rFonts w:ascii="仿宋_GB2312" w:hAnsi="仿宋_GB2312" w:cs="仿宋_GB2312" w:eastAsia="仿宋_GB2312"/>
              </w:rPr>
              <w:t>及现场调度管理。</w:t>
            </w:r>
          </w:p>
          <w:p>
            <w:pPr>
              <w:pStyle w:val="null3"/>
              <w:jc w:val="both"/>
            </w:pPr>
            <w:r>
              <w:rPr>
                <w:rFonts w:ascii="仿宋_GB2312" w:hAnsi="仿宋_GB2312" w:cs="仿宋_GB2312" w:eastAsia="仿宋_GB2312"/>
              </w:rPr>
              <w:t xml:space="preserve">         2.车辆驾驶人员须持有对应准驾车型有效驾驶证，驾龄3年及以上，无重大交通事故、无多次严重违章记录，具备环卫清运车辆驾驶经验者优先录用。</w:t>
            </w:r>
          </w:p>
          <w:p>
            <w:pPr>
              <w:pStyle w:val="null3"/>
              <w:jc w:val="both"/>
            </w:pPr>
            <w:r>
              <w:rPr>
                <w:rFonts w:ascii="仿宋_GB2312" w:hAnsi="仿宋_GB2312" w:cs="仿宋_GB2312" w:eastAsia="仿宋_GB2312"/>
              </w:rPr>
              <w:t xml:space="preserve">         3.服务商须组织全体新聘人员开展岗前专项培训，培训内容涵盖安全操作规范、文明清运作业、群众沟通服务、岗位纪律等内容，所有人员考核合格后方可上岗作业。</w:t>
            </w:r>
          </w:p>
          <w:p>
            <w:pPr>
              <w:pStyle w:val="null3"/>
              <w:jc w:val="both"/>
            </w:pPr>
            <w:r>
              <w:rPr>
                <w:rFonts w:ascii="仿宋_GB2312" w:hAnsi="仿宋_GB2312" w:cs="仿宋_GB2312" w:eastAsia="仿宋_GB2312"/>
              </w:rPr>
              <w:t>（二）作业服务管理要求</w:t>
            </w:r>
          </w:p>
          <w:p>
            <w:pPr>
              <w:pStyle w:val="null3"/>
              <w:ind w:firstLine="400"/>
              <w:jc w:val="both"/>
            </w:pPr>
            <w:r>
              <w:rPr>
                <w:rFonts w:ascii="仿宋_GB2312" w:hAnsi="仿宋_GB2312" w:cs="仿宋_GB2312" w:eastAsia="仿宋_GB2312"/>
              </w:rPr>
              <w:t>1.服务商全权负责本项目人员劳动合同签订、入职离职增减异动、社保全流程经办、意外险投保及出险理赔全部人事保险业务；履约期间产生的劳动纠纷、法律诉讼等用工风险由甲乙双方共同处理，服务商需及时处理员工与采购人的劳动争议，包括出庭劳动仲裁，提供法律咨询等，不给采购方造成负面影响。服务商须建立用工风险预警机制，严禁因各类用工问题造成清运处理作业停滞中断。</w:t>
            </w:r>
          </w:p>
          <w:p>
            <w:pPr>
              <w:pStyle w:val="null3"/>
              <w:ind w:firstLine="400"/>
              <w:jc w:val="both"/>
            </w:pPr>
            <w:r>
              <w:rPr>
                <w:rFonts w:ascii="仿宋_GB2312" w:hAnsi="仿宋_GB2312" w:cs="仿宋_GB2312" w:eastAsia="仿宋_GB2312"/>
              </w:rPr>
              <w:t>2.接受</w:t>
            </w:r>
            <w:r>
              <w:rPr>
                <w:rFonts w:ascii="仿宋_GB2312" w:hAnsi="仿宋_GB2312" w:cs="仿宋_GB2312" w:eastAsia="仿宋_GB2312"/>
              </w:rPr>
              <w:t>采购人</w:t>
            </w:r>
            <w:r>
              <w:rPr>
                <w:rFonts w:ascii="仿宋_GB2312" w:hAnsi="仿宋_GB2312" w:cs="仿宋_GB2312" w:eastAsia="仿宋_GB2312"/>
              </w:rPr>
              <w:t>日常现场管理、月度综合服务考核；对作业不规范、服务态度差、与居民产生矛盾的工作人员，服务商须</w:t>
            </w:r>
            <w:r>
              <w:rPr>
                <w:rFonts w:ascii="仿宋_GB2312" w:hAnsi="仿宋_GB2312" w:cs="仿宋_GB2312" w:eastAsia="仿宋_GB2312"/>
              </w:rPr>
              <w:t>3个工作日内完成人员更换。</w:t>
            </w:r>
          </w:p>
          <w:p>
            <w:pPr>
              <w:pStyle w:val="null3"/>
              <w:ind w:firstLine="400"/>
              <w:jc w:val="both"/>
            </w:pPr>
            <w:r>
              <w:rPr>
                <w:rFonts w:ascii="仿宋_GB2312" w:hAnsi="仿宋_GB2312" w:cs="仿宋_GB2312" w:eastAsia="仿宋_GB2312"/>
              </w:rPr>
              <w:t>3.建立常态化对接机制，</w:t>
            </w:r>
            <w:r>
              <w:rPr>
                <w:rFonts w:ascii="仿宋_GB2312" w:hAnsi="仿宋_GB2312" w:cs="仿宋_GB2312" w:eastAsia="仿宋_GB2312"/>
              </w:rPr>
              <w:t>服务商须</w:t>
            </w:r>
            <w:r>
              <w:rPr>
                <w:rFonts w:ascii="仿宋_GB2312" w:hAnsi="仿宋_GB2312" w:cs="仿宋_GB2312" w:eastAsia="仿宋_GB2312"/>
              </w:rPr>
              <w:t>设置专属对接专员，每月与</w:t>
            </w:r>
            <w:r>
              <w:rPr>
                <w:rFonts w:ascii="仿宋_GB2312" w:hAnsi="仿宋_GB2312" w:cs="仿宋_GB2312" w:eastAsia="仿宋_GB2312"/>
              </w:rPr>
              <w:t>采购人</w:t>
            </w:r>
            <w:r>
              <w:rPr>
                <w:rFonts w:ascii="仿宋_GB2312" w:hAnsi="仿宋_GB2312" w:cs="仿宋_GB2312" w:eastAsia="仿宋_GB2312"/>
              </w:rPr>
              <w:t>核对在岗人员、考勤、作业台账资料。</w:t>
            </w:r>
          </w:p>
          <w:p>
            <w:pPr>
              <w:pStyle w:val="null3"/>
              <w:ind w:firstLine="400"/>
              <w:jc w:val="both"/>
            </w:pPr>
            <w:r>
              <w:rPr>
                <w:rFonts w:ascii="仿宋_GB2312" w:hAnsi="仿宋_GB2312" w:cs="仿宋_GB2312" w:eastAsia="仿宋_GB2312"/>
              </w:rPr>
              <w:t>4.服务商须单独开立本项目环卫专用资金账户，采购人分两类资金拨付至该专户：一类为项目预算515万元内包含的工资、社保、取暖费、意外险等常规人工经费，可依规用于人员薪酬发放、社保缴纳、意外险投保、取暖补贴发放；另一类为2025年度环卫工人参加社会保险省级补助资金，约10万元，该笔补助资金单列核算，不计入前述515万元项目预算总额，资金仅限专项用于本项目作业人员社会保险缴纳支出，不得挪用于工资、取暖补贴、意外险等其他任何开支。两类资金均纳入环卫专户实行专款专用，常规经费、省级社保补助资金分别建账、分项列支，严禁截留、挤占、挪用专户资金用于其他无关用途；服务商须将环卫专户开户全套资料报送采购人备案留存，采购人有权随时核查专户资金流水及分类使用台账。</w:t>
            </w:r>
          </w:p>
          <w:p>
            <w:pPr>
              <w:pStyle w:val="null3"/>
              <w:ind w:firstLine="400"/>
              <w:jc w:val="both"/>
            </w:pPr>
            <w:r>
              <w:rPr>
                <w:rFonts w:ascii="仿宋_GB2312" w:hAnsi="仿宋_GB2312" w:cs="仿宋_GB2312" w:eastAsia="仿宋_GB2312"/>
              </w:rPr>
              <w:t>5. 服务商须于每月10日前足额发放上月全体作业人员薪酬，薪酬标准构成为：基本工资2376元、岗位津贴525元、绩效工资500元、特岗津贴180元；除依据真实考勤结果依规做缺勤、事假、旷工等正常扣款外，服务商不得随意克扣、减发各项薪酬。薪资统一采取银行代发形式，足额划转至从业人员本人银行卡，严禁现金发放、无故拖欠薪资。月度结算资料报送时，服务商须一并提交银行代发凭证、工资明细、月度考勤台账，交由甲方核查留存。</w:t>
            </w:r>
          </w:p>
          <w:p>
            <w:pPr>
              <w:pStyle w:val="null3"/>
              <w:ind w:firstLine="400"/>
              <w:jc w:val="both"/>
            </w:pPr>
            <w:r>
              <w:rPr>
                <w:rFonts w:ascii="仿宋_GB2312" w:hAnsi="仿宋_GB2312" w:cs="仿宋_GB2312" w:eastAsia="仿宋_GB2312"/>
              </w:rPr>
              <w:t>6.服务商须于每月月底前完成全部在岗人员当月养老、医疗、失业、工伤等各项社会保险申报、足额缴费，严格把控缴费时限，杜绝因逾期缴费产生社保滞纳金。每月同步向采购人报送完整社保缴费明细、官方缴费单据，配合采购人对账、审计核查。</w:t>
            </w:r>
          </w:p>
          <w:p>
            <w:pPr>
              <w:pStyle w:val="null3"/>
              <w:ind w:firstLine="400"/>
              <w:jc w:val="both"/>
            </w:pPr>
            <w:r>
              <w:rPr>
                <w:rFonts w:ascii="仿宋_GB2312" w:hAnsi="仿宋_GB2312" w:cs="仿宋_GB2312" w:eastAsia="仿宋_GB2312"/>
              </w:rPr>
              <w:t>7.服务商须为全部作业人员统一购买人身意外伤害保险，本项目六个半月（7个月）服务周期单人意外险保费标准为41元/人，保险周期须完整覆盖项目全部服务履约期限，相关保费从项目人员专项费用中据实列支。</w:t>
            </w:r>
          </w:p>
          <w:p>
            <w:pPr>
              <w:pStyle w:val="null3"/>
            </w:pPr>
            <w:r>
              <w:rPr>
                <w:rFonts w:ascii="仿宋_GB2312" w:hAnsi="仿宋_GB2312" w:cs="仿宋_GB2312" w:eastAsia="仿宋_GB2312"/>
              </w:rPr>
              <w:t xml:space="preserve">          8.作业人员取暖补贴标准为每人每完整采暖季2300元，采暖周期共计4个月，月度折算标准为575元/月；人员跨采暖季入职、离职，按照实际在岗时间据实结算。服务商须足额发放至从业人员本人账户，不得截留、克扣、随意调整发放金额，该项费用在本项目人员专项经费中据实列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四、商务要求</w:t>
            </w:r>
          </w:p>
          <w:p>
            <w:pPr>
              <w:pStyle w:val="null3"/>
              <w:jc w:val="both"/>
            </w:pPr>
            <w:r>
              <w:rPr>
                <w:rFonts w:ascii="仿宋_GB2312" w:hAnsi="仿宋_GB2312" w:cs="仿宋_GB2312" w:eastAsia="仿宋_GB2312"/>
              </w:rPr>
              <w:t>（一）服务期限</w:t>
            </w:r>
          </w:p>
          <w:p>
            <w:pPr>
              <w:pStyle w:val="null3"/>
              <w:ind w:firstLine="400"/>
              <w:jc w:val="both"/>
            </w:pPr>
            <w:r>
              <w:rPr>
                <w:rFonts w:ascii="仿宋_GB2312" w:hAnsi="仿宋_GB2312" w:cs="仿宋_GB2312" w:eastAsia="仿宋_GB2312"/>
              </w:rPr>
              <w:t>本项目服务周期为六个半月，自合同签订、全部作业人员足额到岗之日起计算；服务期满后，结合服务商履约考核结果、环卫工作实际需求，按照政府采购相关政策另行确定后续采购安排。</w:t>
            </w:r>
          </w:p>
          <w:p>
            <w:pPr>
              <w:pStyle w:val="null3"/>
              <w:jc w:val="both"/>
            </w:pPr>
            <w:r>
              <w:rPr>
                <w:rFonts w:ascii="仿宋_GB2312" w:hAnsi="仿宋_GB2312" w:cs="仿宋_GB2312" w:eastAsia="仿宋_GB2312"/>
              </w:rPr>
              <w:t>（二）付款方式</w:t>
            </w:r>
          </w:p>
          <w:p>
            <w:pPr>
              <w:pStyle w:val="null3"/>
              <w:ind w:firstLine="400"/>
              <w:jc w:val="both"/>
            </w:pPr>
            <w:r>
              <w:rPr>
                <w:rFonts w:ascii="仿宋_GB2312" w:hAnsi="仿宋_GB2312" w:cs="仿宋_GB2312" w:eastAsia="仿宋_GB2312"/>
              </w:rPr>
              <w:t>签订合同后按合同金额每月末结算一次，结算金额按乙方每月提供实际的增值税发票据实结算，严格执行国库集中支付流程：</w:t>
            </w:r>
          </w:p>
          <w:p>
            <w:pPr>
              <w:pStyle w:val="null3"/>
              <w:ind w:firstLine="400"/>
              <w:jc w:val="both"/>
            </w:pPr>
            <w:r>
              <w:rPr>
                <w:rFonts w:ascii="仿宋_GB2312" w:hAnsi="仿宋_GB2312" w:cs="仿宋_GB2312" w:eastAsia="仿宋_GB2312"/>
              </w:rPr>
              <w:t>1.服务商足额保障清运、驾驶等岗位人员在岗履职，次月5日前提交当月考勤台账、工资发放凭证、社保缴纳明细等全套资料。</w:t>
            </w:r>
          </w:p>
          <w:p>
            <w:pPr>
              <w:pStyle w:val="null3"/>
              <w:ind w:firstLine="400"/>
              <w:jc w:val="both"/>
            </w:pPr>
            <w:r>
              <w:rPr>
                <w:rFonts w:ascii="仿宋_GB2312" w:hAnsi="仿宋_GB2312" w:cs="仿宋_GB2312" w:eastAsia="仿宋_GB2312"/>
              </w:rPr>
              <w:t>2.我方完成人员在岗核查、作业服务质量验收，验收合格后，服务商须开具增值税普通发票办理结算。</w:t>
            </w:r>
          </w:p>
          <w:p>
            <w:pPr>
              <w:pStyle w:val="null3"/>
              <w:ind w:firstLine="400"/>
              <w:jc w:val="both"/>
            </w:pPr>
            <w:r>
              <w:rPr>
                <w:rFonts w:ascii="仿宋_GB2312" w:hAnsi="仿宋_GB2312" w:cs="仿宋_GB2312" w:eastAsia="仿宋_GB2312"/>
              </w:rPr>
              <w:t>3.结算方式：银行转账</w:t>
            </w:r>
          </w:p>
          <w:p>
            <w:pPr>
              <w:pStyle w:val="null3"/>
              <w:ind w:firstLine="200"/>
              <w:jc w:val="both"/>
            </w:pPr>
            <w:r>
              <w:rPr>
                <w:rFonts w:ascii="仿宋_GB2312" w:hAnsi="仿宋_GB2312" w:cs="仿宋_GB2312" w:eastAsia="仿宋_GB2312"/>
              </w:rPr>
              <w:t>（三）报价要求及价格组成</w:t>
            </w:r>
          </w:p>
          <w:p>
            <w:pPr>
              <w:pStyle w:val="null3"/>
              <w:ind w:firstLine="400"/>
              <w:jc w:val="both"/>
            </w:pPr>
            <w:r>
              <w:rPr>
                <w:rFonts w:ascii="仿宋_GB2312" w:hAnsi="仿宋_GB2312" w:cs="仿宋_GB2312" w:eastAsia="仿宋_GB2312"/>
              </w:rPr>
              <w:t>1.服务商报价须包含人员工资、社保、管理、税费等完成本项目全部服务内容的所有费用，合同履行期间不再产生其他追加费用。</w:t>
            </w:r>
          </w:p>
          <w:p>
            <w:pPr>
              <w:pStyle w:val="null3"/>
              <w:ind w:firstLine="400"/>
              <w:jc w:val="both"/>
            </w:pPr>
            <w:r>
              <w:rPr>
                <w:rFonts w:ascii="仿宋_GB2312" w:hAnsi="仿宋_GB2312" w:cs="仿宋_GB2312" w:eastAsia="仿宋_GB2312"/>
              </w:rPr>
              <w:t>2.报价要求：人员薪酬、取暖费及社保、意外险</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5070000      </w:t>
            </w:r>
            <w:r>
              <w:rPr>
                <w:rFonts w:ascii="仿宋_GB2312" w:hAnsi="仿宋_GB2312" w:cs="仿宋_GB2312" w:eastAsia="仿宋_GB2312"/>
              </w:rPr>
              <w:t>元为投标报价的不可变动部分；管理服务费（含税价）为可变动部分，要求报价不得高于</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80000   </w:t>
            </w:r>
            <w:r>
              <w:rPr>
                <w:rFonts w:ascii="仿宋_GB2312" w:hAnsi="仿宋_GB2312" w:cs="仿宋_GB2312" w:eastAsia="仿宋_GB2312"/>
              </w:rPr>
              <w:t>元，否则按无效报价处理。</w:t>
            </w:r>
          </w:p>
          <w:p>
            <w:pPr>
              <w:pStyle w:val="null3"/>
              <w:ind w:firstLine="400"/>
              <w:jc w:val="both"/>
            </w:pPr>
            <w:r>
              <w:rPr>
                <w:rFonts w:ascii="仿宋_GB2312" w:hAnsi="仿宋_GB2312" w:cs="仿宋_GB2312" w:eastAsia="仿宋_GB2312"/>
              </w:rPr>
              <w:t>3.价格组成：人员薪酬、取暖费及社保、意外险与管理服务费（含税价）的合计。</w:t>
            </w:r>
          </w:p>
          <w:p>
            <w:pPr>
              <w:pStyle w:val="null3"/>
              <w:ind w:firstLine="400"/>
              <w:jc w:val="both"/>
            </w:pPr>
            <w:r>
              <w:rPr>
                <w:rFonts w:ascii="仿宋_GB2312" w:hAnsi="仿宋_GB2312" w:cs="仿宋_GB2312" w:eastAsia="仿宋_GB2312"/>
              </w:rPr>
              <w:t>投标人的投标报价为合计报价。</w:t>
            </w:r>
          </w:p>
          <w:p>
            <w:pPr>
              <w:pStyle w:val="null3"/>
              <w:ind w:firstLine="200"/>
              <w:jc w:val="both"/>
            </w:pPr>
            <w:r>
              <w:rPr>
                <w:rFonts w:ascii="仿宋_GB2312" w:hAnsi="仿宋_GB2312" w:cs="仿宋_GB2312" w:eastAsia="仿宋_GB2312"/>
              </w:rPr>
              <w:t>（四）售后服务及履约保障</w:t>
            </w:r>
          </w:p>
          <w:p>
            <w:pPr>
              <w:pStyle w:val="null3"/>
              <w:ind w:firstLine="400"/>
              <w:jc w:val="both"/>
            </w:pPr>
            <w:r>
              <w:rPr>
                <w:rFonts w:ascii="仿宋_GB2312" w:hAnsi="仿宋_GB2312" w:cs="仿宋_GB2312" w:eastAsia="仿宋_GB2312"/>
              </w:rPr>
              <w:t>1.人员配备保障。服务商须足额配备粪便清运处理、车辆驾驶等作业人员，保证每日在岗人员数量满足辖区公私旱厕清运处置需求；人员离职、调岗需提前15个工作日报备，并同步补齐合格替补人员，不得出现岗位空缺。</w:t>
            </w:r>
          </w:p>
          <w:p>
            <w:pPr>
              <w:pStyle w:val="null3"/>
              <w:ind w:firstLine="400"/>
              <w:jc w:val="both"/>
            </w:pPr>
            <w:r>
              <w:rPr>
                <w:rFonts w:ascii="仿宋_GB2312" w:hAnsi="仿宋_GB2312" w:cs="仿宋_GB2312" w:eastAsia="仿宋_GB2312"/>
              </w:rPr>
              <w:t>2.薪酬社保保障。服务商须按月足额、按时为所有在岗作业人员发放工资，依法完整缴纳养老保险、医疗保险等各项社会保险，不得拖欠、克扣人员薪资，不得中断社保缴纳。</w:t>
            </w:r>
          </w:p>
          <w:p>
            <w:pPr>
              <w:pStyle w:val="null3"/>
              <w:ind w:firstLine="400"/>
              <w:jc w:val="both"/>
            </w:pPr>
            <w:r>
              <w:rPr>
                <w:rFonts w:ascii="仿宋_GB2312" w:hAnsi="仿宋_GB2312" w:cs="仿宋_GB2312" w:eastAsia="仿宋_GB2312"/>
              </w:rPr>
              <w:t>3.保险保障。服务商须为全部作业人员购买足额人身意外伤害保险，保险有效期覆盖完整服务周期，切实保障作业人员人身安全。</w:t>
            </w:r>
          </w:p>
          <w:p>
            <w:pPr>
              <w:pStyle w:val="null3"/>
            </w:pPr>
            <w:r>
              <w:rPr>
                <w:rFonts w:ascii="仿宋_GB2312" w:hAnsi="仿宋_GB2312" w:cs="仿宋_GB2312" w:eastAsia="仿宋_GB2312"/>
              </w:rPr>
              <w:t xml:space="preserve">         4.资料报送。每月随结算资料同步报送工资发放记录、社保缴费单据、意外险投保凭证等资料，便于甲方核查。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本项目服务周期为六个半月，自合同签订、全部作业人员足额到岗之日起计算；服务期满后，结合服务商履约考核结果、环卫工作实际需求，按照政府采购相关政策另行确定后续采购安排。</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其他，签订合同后按合同金额每月末结算一次，结算金额按乙方每月提供实际的增值税发票据实结算，达到付款条件起30个工作日内，支付合同总金额的15.4%</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其他，签订合同后按合同金额每月末结算一次，结算金额按乙方每月提供实际的增值税发票据实结算，达到付款条件起15个工作日内，支付合同总金额的7.6%</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1、本项目付款方式要求：签订合同后按合同金额每月末结算一次，结算金额按乙方每月提供实际的增值税发票据实结算。另因财政资金年结不予结转，故2026年12月及2027年1月工资需于2026年12月15日前转于服务商。 2、本项目所属行业为：其他未列明行业。（按照《工信部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3、报价异常低价处理：（一）政府采购评审中出现下列情形之一的，评审委员会应当启动异常低价投标（响应）审查程序：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相关供应商在评审现场合理的时间内对投标（响应）价格作出解释，提供项目具体成本测算等与报价合理性相关的书面说明及必要的证明材料，包括但不限于人工成本、管理成本、税费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4、成交供应商在领取成交通知书时须提供跟开标时上传的电子响应文件一致的纸质版响应文件一正二副用于备案。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法定代表人证明及授权书</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有效的养老保险缴纳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投标人须提供2024或2025年度经会计师事务所审计的审计报告（新成立企业可从成立当年开始提供相对应的财务报表）或其基本存款账户开户银行出具的资信证明（资信证明开具日期为采购公告发布之日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投标截止时间前半年内任意一个月的税收缴纳凭证（注：依法免税或零申报的供应商须提供相关文件证明，若为新成立企业可提供相应月度的缴税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投标截止时间前半年内任意一个月的社会保险缴纳凭证（注：依法不需要缴纳社会保障资金的供应商应提供相关文件证明，若为新成立企业可提供相应月度的社会保险缴纳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投标人须提供行政主管部门颁发的有效期内的《劳务派遣经营许可证》及《人力资源服务许可证》，投标人需在项目电子化交易系统中按要求上传相应证明文件并进行电子签章；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投标人应具备良好的商业信誉，提供参加政府采购活动前3年内在经营活动中没有重大违法记录的书面声明，投标人需在项目电子化交易系统中按要求上传相应证明文件并进行电子签章；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投标人须提供具有履行合同所必需的设备和专业技术能力的承诺函，投标人需在项目电子化交易系统中按要求上传相应证明文件并进行电子签章；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投标人提供查询截图，以开标当日网上查询结果为评审依据）；</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微型企业参与，投标人应填写中小企业声明函并对真实性负责（残疾人福利性单位及监狱企业视同为小型、微型企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报价表及报价明细表.docx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投标文件中项目名称、项目编号与本项目一致，无遗漏。</w:t>
            </w:r>
          </w:p>
        </w:tc>
        <w:tc>
          <w:tcPr>
            <w:tcW w:type="dxa" w:w="1661"/>
          </w:tcPr>
          <w:p>
            <w:pPr>
              <w:pStyle w:val="null3"/>
            </w:pPr>
            <w:r>
              <w:rPr>
                <w:rFonts w:ascii="仿宋_GB2312" w:hAnsi="仿宋_GB2312" w:cs="仿宋_GB2312" w:eastAsia="仿宋_GB2312"/>
              </w:rPr>
              <w:t>开标一览表 报价表及报价明细表.docx 投标方案--售后服务方案.docx 投标方案--人员配备.docx 中小企业声明函 商务响应表.docx 投标方案--培训方案.docx 投标方案--应急预案.docx 投标方案--管理制度.docx 投标人应提交的相关资格证明材料.docx 投标函 残疾人福利性单位声明函 投标方案--安全保障及保密方案.docx 投标方案--服务方案.docx 标的清单 投标文件封面 投标人需要说明的其他内容.docx 服务响应偏差表.docx 投标人承诺书.docx 监狱企业的证明文件 投标人业绩.docx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投标文件签署、盖章及投标有效期符合招标文件要求。</w:t>
            </w:r>
          </w:p>
        </w:tc>
        <w:tc>
          <w:tcPr>
            <w:tcW w:type="dxa" w:w="1661"/>
          </w:tcPr>
          <w:p>
            <w:pPr>
              <w:pStyle w:val="null3"/>
            </w:pPr>
            <w:r>
              <w:rPr>
                <w:rFonts w:ascii="仿宋_GB2312" w:hAnsi="仿宋_GB2312" w:cs="仿宋_GB2312" w:eastAsia="仿宋_GB2312"/>
              </w:rPr>
              <w:t>开标一览表 报价表及报价明细表.docx 投标方案--售后服务方案.docx 投标方案--人员配备.docx 中小企业声明函 商务响应表.docx 投标方案--培训方案.docx 投标方案--应急预案.docx 投标方案--管理制度.docx 投标人应提交的相关资格证明材料.docx 投标函 残疾人福利性单位声明函 投标方案--安全保障及保密方案.docx 投标方案--服务方案.docx 标的清单 投标文件封面 投标人需要说明的其他内容.docx 服务响应偏差表.docx 投标人承诺书.docx 监狱企业的证明文件 投标人业绩.docx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投标报价符合唯一性要求；投标报价未超出采购预算或采购最高限价。</w:t>
            </w:r>
          </w:p>
        </w:tc>
        <w:tc>
          <w:tcPr>
            <w:tcW w:type="dxa" w:w="1661"/>
          </w:tcPr>
          <w:p>
            <w:pPr>
              <w:pStyle w:val="null3"/>
            </w:pPr>
            <w:r>
              <w:rPr>
                <w:rFonts w:ascii="仿宋_GB2312" w:hAnsi="仿宋_GB2312" w:cs="仿宋_GB2312" w:eastAsia="仿宋_GB2312"/>
              </w:rPr>
              <w:t>开标一览表 报价表及报价明细表.docx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招标内容与要求</w:t>
            </w:r>
          </w:p>
        </w:tc>
        <w:tc>
          <w:tcPr>
            <w:tcW w:type="dxa" w:w="3322"/>
          </w:tcPr>
          <w:p>
            <w:pPr>
              <w:pStyle w:val="null3"/>
            </w:pPr>
            <w:r>
              <w:rPr>
                <w:rFonts w:ascii="仿宋_GB2312" w:hAnsi="仿宋_GB2312" w:cs="仿宋_GB2312" w:eastAsia="仿宋_GB2312"/>
              </w:rPr>
              <w:t>招标内容未出现漏项；数量与要求相符。</w:t>
            </w:r>
          </w:p>
        </w:tc>
        <w:tc>
          <w:tcPr>
            <w:tcW w:type="dxa" w:w="1661"/>
          </w:tcPr>
          <w:p>
            <w:pPr>
              <w:pStyle w:val="null3"/>
            </w:pPr>
            <w:r>
              <w:rPr>
                <w:rFonts w:ascii="仿宋_GB2312" w:hAnsi="仿宋_GB2312" w:cs="仿宋_GB2312" w:eastAsia="仿宋_GB2312"/>
              </w:rPr>
              <w:t>投标文件封面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投标文件封面 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投标文件封面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投标人针对招标文件内容及要求做出具体响应内容，对服务方案包括但不限于（服务目标、实施计划、组织实施方案等）的可行性、可操作性、贴近需求情况进行评审。 1.服务方案详细完整、流程清晰、可操作性强的得（10-15]分； 2.服务方案基本完整、流程基本清晰、可操作性一般的得（5-10]分； 3.服务方案内容空洞，目标模糊，计划混乱的得[0-5]分； 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投标方案--服务方案.docx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1.根据项目经理的职业资格、项目经验等进行综合评审，按其响应程度的得[0-5]分。未提供不得分。 2.根据项目团队人员配置、职责分工、项目经验等情况等进行综合评审。 （1）人员组成科学，配置合理、职责分工明确、经验丰富，人员资料齐全的得（5-10]分。 （2）人员组成较科学，配置一般、分工混乱，人员资料不齐全的得[0-5]分。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投标方案--人员配备.docx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投标人根据本项目提供“应急预案”，包括但不限于（人员工伤、死亡的应急预案、人员产生劳务纠纷的应急预案、人员更替及应急安排、定期巡查计划及特殊时段运行保障）等情况等进行综合评审。 1.应急预案详细完整、清晰合理、可操作性强的得（5-10]分； 2.应急预案内容空洞，目标模糊，人员安排计划混乱的得[0-5]分；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投标方案--应急预案.docx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根据投标人提供的管理制度，包括但不限于①组织架构；②服务管理流程；③运行流程图；④激励机制；⑤监督机制；⑥信息反馈渠道及处理机制；⑦档案资料管理和移交工作制度等内容进行综合评审。 每提供⼀个得2分，未提供不计分。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投标方案--管理制度.docx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根据投标人提供的培训方案，包括但不限于①培训目标；②培训内容及方式；③培训计划及人员安排；④培训考核方式等内容进行综合评审。 每提供⼀个得2分，未提供不计分。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投标方案--培训方案.docx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安全保障及保密方案</w:t>
            </w:r>
          </w:p>
        </w:tc>
        <w:tc>
          <w:tcPr>
            <w:tcW w:type="dxa" w:w="2492"/>
          </w:tcPr>
          <w:p>
            <w:pPr>
              <w:pStyle w:val="null3"/>
            </w:pPr>
            <w:r>
              <w:rPr>
                <w:rFonts w:ascii="仿宋_GB2312" w:hAnsi="仿宋_GB2312" w:cs="仿宋_GB2312" w:eastAsia="仿宋_GB2312"/>
              </w:rPr>
              <w:t>根据投标人提供的安全保障及保密方案，包括但不限于①安全保障制度；②保密方案；③保密制度；④保密承诺等内容进行综合评审。 每提供⼀个得2分，未提供不计分。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投标方案--安全保障及保密方案.docx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投标人针对本项目提供售后服务方案，包括但不限于①服务考核措施；②服务质量保障措施；③质量保障体系；④服务响应时间及计划安排；⑤服务保障承诺等内容进行综合评审。 每提供⼀个得2分，未提供不计分。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投标方案--售后服务方案.docx</w:t>
            </w:r>
          </w:p>
          <w:p>
            <w:pPr>
              <w:pStyle w:val="null3"/>
            </w:pPr>
            <w:r>
              <w:rPr>
                <w:rFonts w:ascii="仿宋_GB2312" w:hAnsi="仿宋_GB2312" w:cs="仿宋_GB2312" w:eastAsia="仿宋_GB2312"/>
              </w:rPr>
              <w:t>投标人需要说明的其他内容.docx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投标人提供2023年1月1日至今类似项目业绩，须提供完整合同复印件并加盖供应商公章，每提供1份得1分，最高得10分，未提供或证明材料不完整不计分。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投标人业绩.docx</w:t>
            </w:r>
          </w:p>
          <w:p>
            <w:pPr>
              <w:pStyle w:val="null3"/>
            </w:pPr>
            <w:r>
              <w:rPr>
                <w:rFonts w:ascii="仿宋_GB2312" w:hAnsi="仿宋_GB2312" w:cs="仿宋_GB2312" w:eastAsia="仿宋_GB2312"/>
              </w:rPr>
              <w:t>投标人需要说明的其他内容.docx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详见附件：报价表及报价明细表.docx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详见附件：投标方案--服务方案.docx</w:t>
      </w:r>
    </w:p>
    <w:p>
      <w:pPr>
        <w:pStyle w:val="null3"/>
        <w:ind w:firstLine="960"/>
      </w:pPr>
      <w:r>
        <w:rPr>
          <w:rFonts w:ascii="仿宋_GB2312" w:hAnsi="仿宋_GB2312" w:cs="仿宋_GB2312" w:eastAsia="仿宋_GB2312"/>
        </w:rPr>
        <w:t>详见附件：投标方案--人员配备.docx</w:t>
      </w:r>
    </w:p>
    <w:p>
      <w:pPr>
        <w:pStyle w:val="null3"/>
        <w:ind w:firstLine="960"/>
      </w:pPr>
      <w:r>
        <w:rPr>
          <w:rFonts w:ascii="仿宋_GB2312" w:hAnsi="仿宋_GB2312" w:cs="仿宋_GB2312" w:eastAsia="仿宋_GB2312"/>
        </w:rPr>
        <w:t>详见附件：投标方案--应急预案.docx</w:t>
      </w:r>
    </w:p>
    <w:p>
      <w:pPr>
        <w:pStyle w:val="null3"/>
        <w:ind w:firstLine="960"/>
      </w:pPr>
      <w:r>
        <w:rPr>
          <w:rFonts w:ascii="仿宋_GB2312" w:hAnsi="仿宋_GB2312" w:cs="仿宋_GB2312" w:eastAsia="仿宋_GB2312"/>
        </w:rPr>
        <w:t>详见附件：投标方案--管理制度.docx</w:t>
      </w:r>
    </w:p>
    <w:p>
      <w:pPr>
        <w:pStyle w:val="null3"/>
        <w:ind w:firstLine="960"/>
      </w:pPr>
      <w:r>
        <w:rPr>
          <w:rFonts w:ascii="仿宋_GB2312" w:hAnsi="仿宋_GB2312" w:cs="仿宋_GB2312" w:eastAsia="仿宋_GB2312"/>
        </w:rPr>
        <w:t>详见附件：投标方案--培训方案.docx</w:t>
      </w:r>
    </w:p>
    <w:p>
      <w:pPr>
        <w:pStyle w:val="null3"/>
        <w:ind w:firstLine="960"/>
      </w:pPr>
      <w:r>
        <w:rPr>
          <w:rFonts w:ascii="仿宋_GB2312" w:hAnsi="仿宋_GB2312" w:cs="仿宋_GB2312" w:eastAsia="仿宋_GB2312"/>
        </w:rPr>
        <w:t>详见附件：投标方案--安全保障及保密方案.docx</w:t>
      </w:r>
    </w:p>
    <w:p>
      <w:pPr>
        <w:pStyle w:val="null3"/>
        <w:ind w:firstLine="960"/>
      </w:pPr>
      <w:r>
        <w:rPr>
          <w:rFonts w:ascii="仿宋_GB2312" w:hAnsi="仿宋_GB2312" w:cs="仿宋_GB2312" w:eastAsia="仿宋_GB2312"/>
        </w:rPr>
        <w:t>详见附件：投标方案--售后服务方案.docx</w:t>
      </w:r>
    </w:p>
    <w:p>
      <w:pPr>
        <w:pStyle w:val="null3"/>
        <w:ind w:firstLine="960"/>
      </w:pPr>
      <w:r>
        <w:rPr>
          <w:rFonts w:ascii="仿宋_GB2312" w:hAnsi="仿宋_GB2312" w:cs="仿宋_GB2312" w:eastAsia="仿宋_GB2312"/>
        </w:rPr>
        <w:t>详见附件：投标人业绩.docx</w:t>
      </w:r>
    </w:p>
    <w:p>
      <w:pPr>
        <w:pStyle w:val="null3"/>
        <w:ind w:firstLine="960"/>
      </w:pPr>
      <w:r>
        <w:rPr>
          <w:rFonts w:ascii="仿宋_GB2312" w:hAnsi="仿宋_GB2312" w:cs="仿宋_GB2312" w:eastAsia="仿宋_GB2312"/>
        </w:rPr>
        <w:t>详见附件：投标人需要说明的其他内容.docx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