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187B9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color w:val="auto"/>
          <w:sz w:val="44"/>
          <w:szCs w:val="44"/>
          <w:lang w:val="en-US" w:eastAsia="zh-CN"/>
        </w:rPr>
      </w:pPr>
    </w:p>
    <w:p w14:paraId="39941AA0">
      <w:pPr>
        <w:spacing w:line="360" w:lineRule="auto"/>
        <w:jc w:val="both"/>
        <w:rPr>
          <w:rFonts w:hint="eastAsia" w:ascii="方正仿宋_GB2312" w:hAnsi="方正仿宋_GB2312" w:eastAsia="方正仿宋_GB2312" w:cs="方正仿宋_GB2312"/>
          <w:b/>
          <w:color w:val="auto"/>
          <w:sz w:val="44"/>
          <w:szCs w:val="44"/>
          <w:lang w:val="en-US" w:eastAsia="zh-CN"/>
        </w:rPr>
      </w:pPr>
    </w:p>
    <w:p w14:paraId="5713D52A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color w:val="auto"/>
          <w:sz w:val="52"/>
          <w:szCs w:val="52"/>
          <w:lang w:val="en-US" w:eastAsia="zh-CN"/>
        </w:rPr>
      </w:pPr>
    </w:p>
    <w:p w14:paraId="472F1AF1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color w:val="auto"/>
          <w:sz w:val="52"/>
          <w:szCs w:val="52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color w:val="auto"/>
          <w:sz w:val="52"/>
          <w:szCs w:val="52"/>
          <w:lang w:val="en-US" w:eastAsia="zh-CN"/>
        </w:rPr>
        <w:t>西安市城肥清运处理中心</w:t>
      </w:r>
    </w:p>
    <w:p w14:paraId="6DEDDB87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color w:val="auto"/>
          <w:sz w:val="44"/>
          <w:szCs w:val="44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52"/>
          <w:szCs w:val="52"/>
        </w:rPr>
        <w:t>粪便清运处理作业人员保障项目</w:t>
      </w:r>
    </w:p>
    <w:p w14:paraId="0FDE9BC6">
      <w:pPr>
        <w:jc w:val="center"/>
        <w:rPr>
          <w:rFonts w:hint="eastAsia" w:ascii="方正仿宋_GB2312" w:hAnsi="方正仿宋_GB2312" w:eastAsia="方正仿宋_GB2312" w:cs="方正仿宋_GB2312"/>
          <w:b/>
          <w:sz w:val="72"/>
          <w:szCs w:val="72"/>
        </w:rPr>
      </w:pPr>
    </w:p>
    <w:p w14:paraId="3EA544C5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b/>
          <w:sz w:val="72"/>
          <w:szCs w:val="72"/>
          <w:lang w:val="en-US" w:eastAsia="zh-CN"/>
        </w:rPr>
        <w:t>服</w:t>
      </w:r>
      <w:r>
        <w:rPr>
          <w:rFonts w:hint="eastAsia" w:ascii="方正仿宋_GB2312" w:hAnsi="方正仿宋_GB2312" w:eastAsia="方正仿宋_GB2312" w:cs="方正仿宋_GB2312"/>
          <w:b/>
          <w:sz w:val="72"/>
          <w:szCs w:val="72"/>
          <w:lang w:val="en-US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sz w:val="72"/>
          <w:szCs w:val="72"/>
          <w:lang w:val="en-US" w:eastAsia="zh-CN"/>
        </w:rPr>
        <w:t>务</w:t>
      </w:r>
      <w:r>
        <w:rPr>
          <w:rFonts w:hint="eastAsia" w:ascii="方正仿宋_GB2312" w:hAnsi="方正仿宋_GB2312" w:eastAsia="方正仿宋_GB2312" w:cs="方正仿宋_GB2312"/>
          <w:b/>
          <w:sz w:val="72"/>
          <w:szCs w:val="72"/>
        </w:rPr>
        <w:t xml:space="preserve"> 合 同</w:t>
      </w:r>
      <w:r>
        <w:rPr>
          <w:rFonts w:hint="eastAsia" w:ascii="方正仿宋_GB2312" w:hAnsi="方正仿宋_GB2312" w:eastAsia="方正仿宋_GB2312" w:cs="方正仿宋_GB2312"/>
          <w:b/>
          <w:sz w:val="72"/>
          <w:szCs w:val="72"/>
        </w:rPr>
        <w:br w:type="textWrapping"/>
      </w:r>
    </w:p>
    <w:p w14:paraId="0B6C360B">
      <w:pPr>
        <w:pStyle w:val="2"/>
        <w:rPr>
          <w:rFonts w:hint="eastAsia" w:ascii="方正仿宋_GB2312" w:hAnsi="方正仿宋_GB2312" w:eastAsia="方正仿宋_GB2312" w:cs="方正仿宋_GB2312"/>
          <w:lang w:eastAsia="zh-CN"/>
        </w:rPr>
      </w:pPr>
    </w:p>
    <w:p w14:paraId="5BE304A8">
      <w:pPr>
        <w:rPr>
          <w:rFonts w:hint="eastAsia" w:ascii="方正仿宋_GB2312" w:hAnsi="方正仿宋_GB2312" w:eastAsia="方正仿宋_GB2312" w:cs="方正仿宋_GB2312"/>
        </w:rPr>
      </w:pPr>
    </w:p>
    <w:p w14:paraId="7C22F522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6A1B060B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甲  方：西安市城肥清运处理中心</w:t>
      </w:r>
    </w:p>
    <w:p w14:paraId="685A5F4F">
      <w:pPr>
        <w:tabs>
          <w:tab w:val="left" w:pos="480"/>
        </w:tabs>
        <w:spacing w:line="360" w:lineRule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4C627B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60" w:firstLineChars="55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乙  方：          </w:t>
      </w:r>
    </w:p>
    <w:p w14:paraId="0DBAF1A0">
      <w:pPr>
        <w:spacing w:line="360" w:lineRule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</w:t>
      </w:r>
    </w:p>
    <w:p w14:paraId="7E6BA774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5BE76668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sz w:val="32"/>
          <w:szCs w:val="32"/>
          <w:lang w:val="en-US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  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/>
        </w:rPr>
        <w:t xml:space="preserve">  日</w:t>
      </w:r>
    </w:p>
    <w:p w14:paraId="6230ADA1">
      <w:pPr>
        <w:pStyle w:val="6"/>
        <w:jc w:val="center"/>
        <w:rPr>
          <w:rFonts w:ascii="仿宋_GB2312" w:hAnsi="仿宋_GB2312" w:eastAsia="仿宋_GB2312" w:cs="仿宋_GB231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中国  西安</w:t>
      </w:r>
    </w:p>
    <w:p w14:paraId="0D69A805">
      <w:pPr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br w:type="page"/>
      </w:r>
    </w:p>
    <w:p w14:paraId="53843E8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 xml:space="preserve">甲方（采购人）： </w:t>
      </w:r>
    </w:p>
    <w:p w14:paraId="2A34536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</w:rPr>
      </w:pPr>
    </w:p>
    <w:p w14:paraId="7630EF8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 xml:space="preserve">乙方（成交供应商）： </w:t>
      </w:r>
    </w:p>
    <w:p w14:paraId="76D557B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color w:val="FF0000"/>
          <w:sz w:val="24"/>
          <w:szCs w:val="24"/>
          <w:u w:val="single"/>
        </w:rPr>
      </w:pPr>
    </w:p>
    <w:p w14:paraId="360A3D7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single"/>
        </w:rPr>
        <w:t>西安市城肥清运处理中心粪便清运处理作业人员保障项目</w:t>
      </w:r>
      <w:r>
        <w:rPr>
          <w:rFonts w:hint="eastAsia" w:ascii="仿宋_GB2312" w:hAnsi="仿宋_GB2312" w:eastAsia="仿宋_GB2312" w:cs="仿宋_GB2312"/>
          <w:bCs/>
          <w:sz w:val="24"/>
          <w:szCs w:val="24"/>
          <w:u w:val="single"/>
        </w:rPr>
        <w:t>(项目编号：THXZB2026-1032-H)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，由陕西天鸿信项目管理有限公司组织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公开招标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(以下简称“甲方”)确定</w:t>
      </w:r>
      <w:r>
        <w:rPr>
          <w:rFonts w:hint="eastAsia" w:ascii="仿宋_GB2312" w:hAnsi="仿宋_GB2312" w:eastAsia="仿宋_GB2312" w:cs="仿宋_GB2312"/>
          <w:bCs/>
          <w:sz w:val="24"/>
          <w:szCs w:val="24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（以下简称“乙方”）为该项目的成交供应商。</w:t>
      </w:r>
    </w:p>
    <w:p w14:paraId="11271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_GB2312" w:hAnsi="仿宋" w:eastAsia="仿宋_GB2312"/>
          <w:bCs/>
          <w:sz w:val="24"/>
          <w:szCs w:val="24"/>
          <w:highlight w:val="none"/>
        </w:rPr>
      </w:pPr>
      <w:r>
        <w:rPr>
          <w:rFonts w:hint="eastAsia" w:ascii="仿宋_GB2312" w:hAnsi="仿宋" w:eastAsia="仿宋_GB2312"/>
          <w:bCs/>
          <w:sz w:val="24"/>
          <w:szCs w:val="24"/>
          <w:highlight w:val="none"/>
        </w:rPr>
        <w:t>依据《中华人民共和国民法典》和《中华人民共和国政府采购法》之规定，经双方在平等、自愿、互利的基础上，签订本合同，共同信守。</w:t>
      </w:r>
    </w:p>
    <w:p w14:paraId="66B6929F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_GB2312" w:hAnsi="仿宋" w:eastAsia="仿宋_GB2312"/>
          <w:b/>
          <w:bCs/>
          <w:sz w:val="24"/>
          <w:szCs w:val="24"/>
        </w:rPr>
      </w:pPr>
      <w:r>
        <w:rPr>
          <w:rFonts w:hint="eastAsia" w:ascii="仿宋_GB2312" w:hAnsi="仿宋" w:eastAsia="仿宋_GB2312"/>
          <w:b/>
          <w:bCs/>
          <w:sz w:val="24"/>
          <w:szCs w:val="24"/>
        </w:rPr>
        <w:t>一、合同价款</w:t>
      </w:r>
    </w:p>
    <w:p w14:paraId="08F0D9E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color w:val="auto"/>
          <w:sz w:val="24"/>
          <w:szCs w:val="24"/>
        </w:rPr>
      </w:pPr>
      <w:r>
        <w:rPr>
          <w:rFonts w:hint="eastAsia" w:ascii="仿宋_GB2312" w:hAnsi="仿宋" w:eastAsia="仿宋_GB2312"/>
          <w:bCs/>
          <w:color w:val="auto"/>
          <w:sz w:val="24"/>
          <w:szCs w:val="24"/>
        </w:rPr>
        <w:t>（一）</w:t>
      </w:r>
      <w:r>
        <w:rPr>
          <w:rFonts w:hint="eastAsia" w:ascii="仿宋_GB2312" w:hAnsi="仿宋" w:eastAsia="仿宋_GB2312"/>
          <w:bCs/>
          <w:color w:val="auto"/>
          <w:sz w:val="24"/>
          <w:szCs w:val="24"/>
          <w:lang w:val="en-US" w:eastAsia="zh-CN"/>
        </w:rPr>
        <w:t>合同暂定总价款</w:t>
      </w:r>
      <w:r>
        <w:rPr>
          <w:rFonts w:hint="eastAsia" w:ascii="仿宋_GB2312" w:hAnsi="仿宋" w:eastAsia="仿宋_GB2312"/>
          <w:bCs/>
          <w:color w:val="auto"/>
          <w:sz w:val="24"/>
          <w:szCs w:val="24"/>
        </w:rPr>
        <w:t>为人民币（大写）</w:t>
      </w:r>
      <w:r>
        <w:rPr>
          <w:rFonts w:hint="eastAsia" w:ascii="仿宋_GB2312" w:hAnsi="仿宋" w:eastAsia="仿宋_GB2312"/>
          <w:bCs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仿宋_GB2312" w:hAnsi="仿宋" w:eastAsia="仿宋_GB2312"/>
          <w:bCs/>
          <w:color w:val="auto"/>
          <w:sz w:val="24"/>
          <w:szCs w:val="24"/>
        </w:rPr>
        <w:t>（</w:t>
      </w:r>
      <w:r>
        <w:rPr>
          <w:rFonts w:hint="eastAsia" w:ascii="仿宋_GB2312" w:hAnsi="仿宋" w:eastAsia="仿宋_GB2312"/>
          <w:bCs/>
          <w:color w:val="auto"/>
          <w:sz w:val="24"/>
          <w:szCs w:val="24"/>
          <w:lang w:val="en-US" w:eastAsia="zh-CN"/>
        </w:rPr>
        <w:t>¥</w:t>
      </w:r>
      <w:r>
        <w:rPr>
          <w:rFonts w:hint="eastAsia" w:ascii="仿宋_GB2312" w:hAnsi="仿宋" w:eastAsia="仿宋_GB2312"/>
          <w:bCs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仿宋_GB2312" w:hAnsi="仿宋" w:eastAsia="仿宋_GB2312"/>
          <w:bCs/>
          <w:color w:val="auto"/>
          <w:sz w:val="24"/>
          <w:szCs w:val="24"/>
        </w:rPr>
        <w:t>）。</w:t>
      </w:r>
    </w:p>
    <w:p w14:paraId="6ECF60F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 w:cs="Times New Roman"/>
          <w:bCs/>
          <w:color w:val="FF0000"/>
          <w:sz w:val="24"/>
          <w:szCs w:val="24"/>
        </w:rPr>
      </w:pP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</w:rPr>
        <w:t>本合同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lang w:val="en-US" w:eastAsia="zh-CN"/>
        </w:rPr>
        <w:t>暂定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</w:rPr>
        <w:t>总价款包含两部分，即人员薪酬及及社保为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u w:val="single"/>
        </w:rPr>
        <w:t xml:space="preserve">         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</w:rPr>
        <w:t>元（固定价格），基础服务费（含税价）为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</w:rPr>
        <w:t>元。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lang w:val="en-US" w:eastAsia="zh-CN"/>
        </w:rPr>
        <w:t>其中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</w:rPr>
        <w:t>增值税综合税负为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</w:rPr>
        <w:t>% (根据实际政策调整收取)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lang w:eastAsia="zh-CN"/>
        </w:rPr>
        <w:t>；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</w:rPr>
        <w:t>涉及增值延伸服务项目及服务费双方以合同另行约定。</w:t>
      </w:r>
    </w:p>
    <w:p w14:paraId="69E050A7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default" w:eastAsia="仿宋_GB2312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仿宋" w:eastAsia="仿宋_GB2312"/>
          <w:b/>
          <w:bCs/>
          <w:color w:val="auto"/>
          <w:sz w:val="24"/>
          <w:szCs w:val="24"/>
        </w:rPr>
        <w:t>二、委托工作内容：</w:t>
      </w:r>
      <w:r>
        <w:rPr>
          <w:rFonts w:hint="eastAsia" w:ascii="仿宋_GB2312" w:hAnsi="仿宋" w:eastAsia="仿宋_GB2312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" w:eastAsia="仿宋_GB2312"/>
          <w:b/>
          <w:bCs/>
          <w:color w:val="auto"/>
          <w:sz w:val="24"/>
          <w:szCs w:val="24"/>
          <w:u w:val="none"/>
          <w:lang w:val="en-US" w:eastAsia="zh-CN"/>
        </w:rPr>
        <w:t>。</w:t>
      </w:r>
    </w:p>
    <w:p w14:paraId="4430EFA7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_GB2312" w:hAnsi="仿宋" w:eastAsia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" w:eastAsia="仿宋_GB2312"/>
          <w:b/>
          <w:bCs/>
          <w:color w:val="auto"/>
          <w:sz w:val="24"/>
          <w:szCs w:val="24"/>
        </w:rPr>
        <w:t>三、款项结算</w:t>
      </w:r>
    </w:p>
    <w:p w14:paraId="60EB09A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</w:rPr>
        <w:t>（一）付款</w:t>
      </w:r>
      <w:r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  <w:lang w:val="en-US" w:eastAsia="zh-CN"/>
        </w:rPr>
        <w:t>方式：签订合同后按合同金额每月末结算一次，结算金额按乙方每月提供实际的增值税发票据实结算。另因财政资金年结不予结转，故2026年12月及2027年1月工资需于2026年12月15日前转于服务商。</w:t>
      </w:r>
    </w:p>
    <w:p w14:paraId="5F080BF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lang w:eastAsia="zh-CN"/>
        </w:rPr>
        <w:t>（二）结算方式：银行转账。</w:t>
      </w:r>
    </w:p>
    <w:p w14:paraId="2E69555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lang w:eastAsia="zh-CN"/>
        </w:rPr>
        <w:t>（三）结算单位：由甲方负责结算，乙方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  <w:t>为甲方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lang w:eastAsia="zh-CN"/>
        </w:rPr>
        <w:t>开具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</w:rPr>
        <w:t>正规足额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</w:rPr>
        <w:t>增值税发票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lang w:eastAsia="zh-CN"/>
        </w:rPr>
        <w:t>。</w:t>
      </w:r>
    </w:p>
    <w:p w14:paraId="05644537">
      <w:pPr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u w:val="none"/>
          <w:lang w:val="en-US" w:eastAsia="zh-CN"/>
        </w:rPr>
        <w:t>开票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u w:val="none"/>
        </w:rPr>
        <w:t>信息如下：</w:t>
      </w:r>
    </w:p>
    <w:p w14:paraId="52DD7B2B">
      <w:pPr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</w:rPr>
      </w:pP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</w:rPr>
        <w:t>名称：</w:t>
      </w:r>
    </w:p>
    <w:p w14:paraId="2BAB8D31">
      <w:pPr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</w:rPr>
      </w:pP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</w:rPr>
        <w:t>纳税人识别号：</w:t>
      </w:r>
    </w:p>
    <w:p w14:paraId="0DDB3F05">
      <w:pPr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</w:rPr>
      </w:pP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</w:rPr>
        <w:t>地址、电话：</w:t>
      </w:r>
    </w:p>
    <w:p w14:paraId="635937D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Times New Roman"/>
          <w:bCs/>
          <w:color w:val="auto"/>
          <w:sz w:val="24"/>
          <w:szCs w:val="24"/>
          <w:highlight w:val="none"/>
        </w:rPr>
        <w:t>开户行及账号：</w:t>
      </w:r>
    </w:p>
    <w:p w14:paraId="2DDC18AA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_GB2312" w:hAnsi="仿宋" w:eastAsia="仿宋_GB2312"/>
          <w:b/>
          <w:bCs/>
          <w:sz w:val="24"/>
          <w:szCs w:val="24"/>
        </w:rPr>
      </w:pPr>
      <w:r>
        <w:rPr>
          <w:rFonts w:hint="eastAsia" w:ascii="仿宋_GB2312" w:hAnsi="仿宋" w:eastAsia="仿宋_GB2312"/>
          <w:b/>
          <w:bCs/>
          <w:sz w:val="24"/>
          <w:szCs w:val="24"/>
        </w:rPr>
        <w:t>四、服务地点及服务期</w:t>
      </w:r>
    </w:p>
    <w:p w14:paraId="7F0D88B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</w:rPr>
      </w:pPr>
      <w:r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</w:rPr>
        <w:t>（一）服务地点：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  <w:t>西安市范围内，具体以采购人指定地点为准</w:t>
      </w:r>
      <w:r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</w:rPr>
        <w:t>。</w:t>
      </w:r>
    </w:p>
    <w:p w14:paraId="25F940A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yellow"/>
        </w:rPr>
      </w:pPr>
      <w:r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</w:rPr>
        <w:t>（二）服务期：本项目服务周期为六个半月，自合同签订</w:t>
      </w:r>
      <w:r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  <w:lang w:eastAsia="zh-CN"/>
        </w:rPr>
        <w:t>且</w:t>
      </w:r>
      <w:r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</w:rPr>
        <w:t>全部作业人员足额到岗之日起计算；服务期满后，结合</w:t>
      </w:r>
      <w:r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="仿宋_GB2312" w:hAnsi="仿宋" w:eastAsia="仿宋_GB2312"/>
          <w:bCs/>
          <w:color w:val="auto"/>
          <w:sz w:val="24"/>
          <w:szCs w:val="24"/>
          <w:highlight w:val="none"/>
        </w:rPr>
        <w:t>履约考核结果、环卫工作实际需求，按照政府采购相关政策另行确定后续采购安排。</w:t>
      </w:r>
    </w:p>
    <w:p w14:paraId="6B12756B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_GB2312" w:hAnsi="仿宋" w:eastAsia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" w:eastAsia="仿宋_GB2312"/>
          <w:b/>
          <w:bCs/>
          <w:color w:val="auto"/>
          <w:sz w:val="24"/>
          <w:szCs w:val="24"/>
        </w:rPr>
        <w:t>五、双方的权利和义务</w:t>
      </w:r>
    </w:p>
    <w:p w14:paraId="156CD15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（一）甲方的权利与义务</w:t>
      </w:r>
    </w:p>
    <w:p w14:paraId="6DF41CD9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1、甲方应为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人员提供与岗位相关的办公场地、设施设备等工作保障。</w:t>
      </w:r>
    </w:p>
    <w:p w14:paraId="6ED32F60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2、甲方应向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提供岗位工作职责说明书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并对其工作职责履行情况进行考核。</w:t>
      </w:r>
    </w:p>
    <w:p w14:paraId="44DB6AAE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3、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违反甲方岗位要求及工作纪律，受到群众投诉、媒体曝光并造成不良影响的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甲方可提请乙方无条件更换人员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乙方应在8小时内作出响应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在不影响工作的前提下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个工作日内补充人员到位；如经甲方研究认定造成严重影响的，除要求乙方无条件更换人员外，乙方以本季度应付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管理费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款项为基数，按每天3‰计算向甲方支付违约金。</w:t>
      </w:r>
    </w:p>
    <w:p w14:paraId="5D162A0E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4、乙方在服务期间出现重大失误的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甲方有权终止协议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并向乙方追索因失误造成的相关损失。</w:t>
      </w:r>
    </w:p>
    <w:p w14:paraId="130EF77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5、甲方若因特殊情况需要减少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服务保障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岗位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须提前30日以书面形式通知乙方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并依法支付补偿金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。</w:t>
      </w:r>
    </w:p>
    <w:p w14:paraId="1D0A09B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24"/>
          <w:szCs w:val="24"/>
        </w:rPr>
        <w:t>、甲方有权对乙方的工作进行监督和考核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并根据甲方考核结果核算应付款项</w:t>
      </w:r>
      <w:r>
        <w:rPr>
          <w:rFonts w:hint="eastAsia" w:ascii="仿宋_GB2312" w:hAnsi="仿宋" w:eastAsia="仿宋_GB2312"/>
          <w:bCs/>
          <w:sz w:val="24"/>
          <w:szCs w:val="24"/>
        </w:rPr>
        <w:t>。</w:t>
      </w:r>
    </w:p>
    <w:p w14:paraId="621A61F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（二）乙方的权利与义务</w:t>
      </w:r>
    </w:p>
    <w:p w14:paraId="3D796445">
      <w:pPr>
        <w:keepNext w:val="0"/>
        <w:keepLines w:val="0"/>
        <w:pageBreakBefore w:val="0"/>
        <w:widowControl w:val="0"/>
        <w:tabs>
          <w:tab w:val="left" w:pos="735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9"/>
        <w:textAlignment w:val="baseline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1、根据本合同约定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乙方应按甲方需求岗位安排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并保持人员的相对稳定；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应按照甲方要求的工作时间、工作内容、工作规范开展工作。</w:t>
      </w:r>
    </w:p>
    <w:p w14:paraId="701281D6">
      <w:pPr>
        <w:keepNext w:val="0"/>
        <w:keepLines w:val="0"/>
        <w:pageBreakBefore w:val="0"/>
        <w:widowControl w:val="0"/>
        <w:tabs>
          <w:tab w:val="left" w:pos="735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9"/>
        <w:textAlignment w:val="baseline"/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2、乙方根据国家《</w:t>
      </w:r>
      <w:r>
        <w:rPr>
          <w:rFonts w:hint="eastAsia" w:ascii="仿宋_GB2312" w:hAnsi="仿宋_GB2312" w:eastAsia="仿宋_GB2312" w:cs="仿宋_GB2312"/>
          <w:sz w:val="24"/>
          <w:szCs w:val="24"/>
        </w:rPr>
        <w:t>中华人民共和国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劳动合同法》等规定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与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建立劳动关系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及进行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用工管理。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履约期间产生的劳动纠纷、法律诉讼等用工风险由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甲乙双方共同处理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乙方需提供出庭劳动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仲裁，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法律咨询等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不给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造成负面影响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。建立风险预警机制，不得因用工问题中断清运处理服务。</w:t>
      </w:r>
    </w:p>
    <w:p w14:paraId="499AC044">
      <w:pPr>
        <w:keepNext w:val="0"/>
        <w:keepLines w:val="0"/>
        <w:pageBreakBefore w:val="0"/>
        <w:widowControl w:val="0"/>
        <w:tabs>
          <w:tab w:val="left" w:pos="735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9"/>
        <w:textAlignment w:val="baseline"/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  <w:highlight w:val="none"/>
          <w:lang w:val="en-US" w:eastAsia="zh-CN"/>
        </w:rPr>
        <w:t>3、经报甲方同意后，乙方方能与作业人员解除劳动合同或终止劳动合同，根据《劳动合同法》规定，如发生应向员工支付经济补偿金或经济赔偿金的情况，在该费用发生时或发生后由甲方承担并通过乙方向员工支付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。</w:t>
      </w:r>
    </w:p>
    <w:p w14:paraId="6710D64F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、乙方根据甲方委托事项及要求进行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招聘、岗位培训、服务标准、目标管理、廉政教育、安全生产教育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同时做好心理辅导、团队建设、档案管理等工作。</w:t>
      </w:r>
    </w:p>
    <w:p w14:paraId="01BC7F86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5、乙方须足额配备粪便清运处理、车辆驾驶等作业人员，保证每日在岗人员数量满足辖区公私旱厕清运处置需求；人员离职、调岗需提前15个工作日报备，并同步补齐合格替补人员，不得出现岗位长期空缺。</w:t>
      </w:r>
    </w:p>
    <w:p w14:paraId="18AC9D48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6、乙方须按月足额、按时为所有在岗作业人员发放工资，依法完整缴纳养老保险、医疗保险等各项社会保险，不得拖欠、克扣人员薪资，不得中断社保缴纳。</w:t>
      </w:r>
    </w:p>
    <w:p w14:paraId="52103ECE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default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7、乙方须为全部一线作业人员购买足额人身意外伤害保险，保险有效期覆盖完整服务周期，切实保障作业人员人身安全。</w:t>
      </w:r>
    </w:p>
    <w:p w14:paraId="32B3824F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8、乙方建立常态化对接机制，设置专属对接专员，每月与甲方核对在岗人员、考勤、作业台账资料。</w:t>
      </w:r>
    </w:p>
    <w:p w14:paraId="69963191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、乙方应根据甲方的要求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建立并完善内部考核管理制度，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综合服务群众满意度测评须达到95%以上。</w:t>
      </w:r>
    </w:p>
    <w:p w14:paraId="31B9D00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、乙方定期对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服务保障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岗位服务工作进行情况分析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向甲方提出意见和建议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不断改进完善服务工作。</w:t>
      </w:r>
    </w:p>
    <w:p w14:paraId="3423CA48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若被发现有任何影响甲方正常岗位工作的行为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乙方管理人员应及时处置解决。</w:t>
      </w:r>
    </w:p>
    <w:p w14:paraId="070A6083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患病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或非因工受伤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或死亡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或发生工伤事故的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由乙方按照国家《</w:t>
      </w:r>
      <w:r>
        <w:rPr>
          <w:rFonts w:hint="eastAsia" w:ascii="仿宋_GB2312" w:hAnsi="仿宋_GB2312" w:eastAsia="仿宋_GB2312" w:cs="仿宋_GB2312"/>
          <w:sz w:val="24"/>
          <w:szCs w:val="24"/>
        </w:rPr>
        <w:t>中华人民共和国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劳动合同法》及相关法律法规全权处理。</w:t>
      </w:r>
    </w:p>
    <w:p w14:paraId="33214681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、在服务期间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需保证所使用设施设备的完好、完整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若由于操作或使用不当造成设备损坏或丢失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须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协助甲方向员工追偿损失。</w:t>
      </w:r>
    </w:p>
    <w:p w14:paraId="67FFB1E0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default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14、乙方及其作业人员必须严格遵守甲方的安全生产管理制度，对于违反甲方安全生产管理制度的，甲方有权按照制度做出相应处罚。</w:t>
      </w:r>
    </w:p>
    <w:p w14:paraId="0ECB8E30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_GB2312" w:hAnsi="仿宋" w:eastAsia="仿宋_GB2312"/>
          <w:b/>
          <w:bCs/>
          <w:sz w:val="24"/>
          <w:szCs w:val="24"/>
        </w:rPr>
      </w:pPr>
      <w:r>
        <w:rPr>
          <w:rFonts w:hint="eastAsia" w:ascii="仿宋_GB2312" w:hAnsi="仿宋" w:eastAsia="仿宋_GB2312"/>
          <w:b/>
          <w:bCs/>
          <w:sz w:val="24"/>
          <w:szCs w:val="24"/>
        </w:rPr>
        <w:t>六、服务质量保证</w:t>
      </w:r>
    </w:p>
    <w:p w14:paraId="0345AB5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（一）乙方需建立高效的管理团队，项目团队组成合理。</w:t>
      </w:r>
    </w:p>
    <w:p w14:paraId="36EC674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（二）乙方需派一名项目经理，直接与甲方沟通，项目经理接收甲方提出的问题与要求，并及时反馈给工作组，解决在项目实施过程中遇到的问题。</w:t>
      </w:r>
    </w:p>
    <w:p w14:paraId="00D1BF9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（三）项目在实施过程中会出现不可预料的需求变更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、</w:t>
      </w: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需求细化</w:t>
      </w:r>
      <w:r>
        <w:rPr>
          <w:rFonts w:hint="eastAsia" w:ascii="仿宋_GB2312" w:hAnsi="仿宋" w:eastAsia="仿宋_GB2312"/>
          <w:bCs/>
          <w:sz w:val="24"/>
          <w:szCs w:val="24"/>
        </w:rPr>
        <w:t>，乙方需积极配合甲方的需求变更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、</w:t>
      </w: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需求细化</w:t>
      </w:r>
      <w:r>
        <w:rPr>
          <w:rFonts w:hint="eastAsia" w:ascii="仿宋_GB2312" w:hAnsi="仿宋" w:eastAsia="仿宋_GB2312"/>
          <w:bCs/>
          <w:sz w:val="24"/>
          <w:szCs w:val="24"/>
        </w:rPr>
        <w:t>，并按照变更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、</w:t>
      </w: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细化</w:t>
      </w:r>
      <w:r>
        <w:rPr>
          <w:rFonts w:hint="eastAsia" w:ascii="仿宋_GB2312" w:hAnsi="仿宋" w:eastAsia="仿宋_GB2312"/>
          <w:bCs/>
          <w:sz w:val="24"/>
          <w:szCs w:val="24"/>
        </w:rPr>
        <w:t>后的需求继续实施。</w:t>
      </w:r>
    </w:p>
    <w:p w14:paraId="2FBE490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  <w:lang w:eastAsia="zh-CN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（四）乙方需设有详细的技术资料档案和服务档案以便于更好地提供服务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。</w:t>
      </w:r>
    </w:p>
    <w:p w14:paraId="24ED7113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_GB2312" w:hAnsi="仿宋" w:eastAsia="仿宋_GB2312"/>
          <w:b/>
          <w:sz w:val="24"/>
          <w:szCs w:val="24"/>
          <w:lang w:eastAsia="zh-CN"/>
        </w:rPr>
      </w:pPr>
      <w:r>
        <w:rPr>
          <w:rFonts w:hint="eastAsia" w:ascii="仿宋_GB2312" w:hAnsi="仿宋" w:eastAsia="仿宋_GB2312" w:cs="Times New Roman"/>
          <w:b/>
          <w:bCs/>
          <w:sz w:val="24"/>
          <w:szCs w:val="24"/>
          <w:lang w:val="en-US" w:eastAsia="zh-CN"/>
        </w:rPr>
        <w:t>七</w:t>
      </w:r>
      <w:r>
        <w:rPr>
          <w:rFonts w:hint="eastAsia" w:ascii="仿宋_GB2312" w:hAnsi="仿宋" w:eastAsia="仿宋_GB2312" w:cs="Times New Roman"/>
          <w:b/>
          <w:bCs/>
          <w:sz w:val="24"/>
          <w:szCs w:val="24"/>
        </w:rPr>
        <w:t>、保密</w:t>
      </w:r>
      <w:r>
        <w:rPr>
          <w:rFonts w:hint="eastAsia" w:ascii="仿宋_GB2312" w:hAnsi="仿宋" w:eastAsia="仿宋_GB2312" w:cs="Times New Roman"/>
          <w:b/>
          <w:bCs/>
          <w:sz w:val="24"/>
          <w:szCs w:val="24"/>
          <w:lang w:val="en-US" w:eastAsia="zh-CN"/>
        </w:rPr>
        <w:t>规定</w:t>
      </w:r>
    </w:p>
    <w:p w14:paraId="4CD9CAC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（一）合同任何一方以书面、或者电子邮件等形式提供给另一方的信息或者数据,包括：客户信息、财务数据、双方订立的合同等为保密信息。一方未经对方事先书面同意,不得以任何形式将保密信息的部分或者全部披露、许可给任何第三方。</w:t>
      </w:r>
    </w:p>
    <w:p w14:paraId="3D6CD21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（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）乙方应对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进行保密教育，乙方及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应遵守甲方的保密制度。对其他单位查询的资料、档案需按照甲方规定流程和程序予以公开；对其他单位查询的甲方非公开文件、资料、档案及第三方隐私、商业秘密等资料、档案、文件，未经甲方同意不得随意公开。因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作业人员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或乙方有关人员违反本协议保密义务的，由乙方承担赔偿责任。</w:t>
      </w:r>
    </w:p>
    <w:p w14:paraId="7565F4B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（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）保密义务不因本合同的终止而终止</w:t>
      </w:r>
      <w:r>
        <w:rPr>
          <w:rFonts w:hint="eastAsia" w:ascii="仿宋_GB2312" w:eastAsia="仿宋_GB2312"/>
          <w:sz w:val="24"/>
          <w:szCs w:val="24"/>
        </w:rPr>
        <w:t>。</w:t>
      </w:r>
    </w:p>
    <w:p w14:paraId="568998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仿宋_GB2312" w:hAnsi="仿宋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仿宋_GB2312" w:hAnsi="仿宋" w:eastAsia="仿宋_GB2312"/>
          <w:b/>
          <w:sz w:val="24"/>
          <w:szCs w:val="24"/>
        </w:rPr>
        <w:t>、其他事项</w:t>
      </w:r>
    </w:p>
    <w:p w14:paraId="1A375016">
      <w:pPr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（一）乙方不得转让给其它单位或个人。</w:t>
      </w:r>
    </w:p>
    <w:p w14:paraId="0082AFF5">
      <w:pPr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（二）乙方的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投标</w:t>
      </w:r>
      <w:r>
        <w:rPr>
          <w:rFonts w:hint="eastAsia" w:ascii="仿宋_GB2312" w:hAnsi="仿宋" w:eastAsia="仿宋_GB2312"/>
          <w:bCs/>
          <w:sz w:val="24"/>
          <w:szCs w:val="24"/>
        </w:rPr>
        <w:t>文件和承诺等内容将列入合同。</w:t>
      </w:r>
    </w:p>
    <w:p w14:paraId="08C1432D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_GB2312" w:hAnsi="仿宋" w:eastAsia="仿宋_GB2312"/>
          <w:b/>
          <w:sz w:val="24"/>
          <w:szCs w:val="24"/>
        </w:rPr>
      </w:pPr>
      <w:r>
        <w:rPr>
          <w:rFonts w:hint="eastAsia" w:ascii="仿宋_GB2312" w:hAnsi="仿宋" w:eastAsia="仿宋_GB2312"/>
          <w:b/>
          <w:sz w:val="24"/>
          <w:szCs w:val="24"/>
          <w:lang w:val="en-US" w:eastAsia="zh-CN"/>
        </w:rPr>
        <w:t>九</w:t>
      </w:r>
      <w:r>
        <w:rPr>
          <w:rFonts w:hint="eastAsia" w:ascii="仿宋_GB2312" w:hAnsi="仿宋" w:eastAsia="仿宋_GB2312"/>
          <w:b/>
          <w:sz w:val="24"/>
          <w:szCs w:val="24"/>
        </w:rPr>
        <w:t>、违约责任</w:t>
      </w:r>
    </w:p>
    <w:p w14:paraId="2E92312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（一）按《中华人民共和国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民法典</w:t>
      </w:r>
      <w:r>
        <w:rPr>
          <w:rFonts w:hint="eastAsia" w:ascii="仿宋_GB2312" w:hAnsi="仿宋" w:eastAsia="仿宋_GB2312"/>
          <w:bCs/>
          <w:sz w:val="24"/>
          <w:szCs w:val="24"/>
        </w:rPr>
        <w:t>》中的相关条款执行。</w:t>
      </w:r>
    </w:p>
    <w:p w14:paraId="000DD4B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（二）未按合同要求提供服务</w:t>
      </w: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或</w:t>
      </w:r>
      <w:r>
        <w:rPr>
          <w:rFonts w:hint="eastAsia" w:ascii="仿宋_GB2312" w:hAnsi="仿宋" w:eastAsia="仿宋_GB2312"/>
          <w:bCs/>
          <w:sz w:val="24"/>
          <w:szCs w:val="24"/>
        </w:rPr>
        <w:t>服务质量不能满足本次招标要求，甲方会同监督机构、采购代理机构有权终止合同和对乙方违约行为进行追究，同时按政府采购法的有关规定进行相应的处罚。</w:t>
      </w:r>
    </w:p>
    <w:p w14:paraId="2D6C24E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三</w:t>
      </w:r>
      <w:r>
        <w:rPr>
          <w:rFonts w:hint="eastAsia" w:ascii="仿宋_GB2312" w:hAnsi="仿宋" w:eastAsia="仿宋_GB2312"/>
          <w:bCs/>
          <w:sz w:val="24"/>
          <w:szCs w:val="24"/>
        </w:rPr>
        <w:t>）甲方有权解除合同情形:</w:t>
      </w:r>
    </w:p>
    <w:p w14:paraId="78FCD1E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  <w:lang w:eastAsia="zh-CN"/>
        </w:rPr>
      </w:pP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1、</w:t>
      </w:r>
      <w:r>
        <w:rPr>
          <w:rFonts w:hint="eastAsia" w:ascii="仿宋_GB2312" w:hAnsi="仿宋" w:eastAsia="仿宋_GB2312"/>
          <w:bCs/>
          <w:sz w:val="24"/>
          <w:szCs w:val="24"/>
        </w:rPr>
        <w:t>乙方不能满足甲方实际工作需要，不服从甲方日常工作管理，</w:t>
      </w: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甲</w:t>
      </w:r>
      <w:r>
        <w:rPr>
          <w:rFonts w:hint="eastAsia" w:ascii="仿宋_GB2312" w:hAnsi="仿宋" w:eastAsia="仿宋_GB2312"/>
          <w:bCs/>
          <w:sz w:val="24"/>
          <w:szCs w:val="24"/>
        </w:rPr>
        <w:t>方有权解除与乙方的合同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；</w:t>
      </w:r>
    </w:p>
    <w:p w14:paraId="0C940B9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default" w:ascii="仿宋_GB2312" w:hAnsi="仿宋" w:eastAsia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2、乙方未通过甲方各部门相关绩效考核，甲方有权解除合同；</w:t>
      </w:r>
    </w:p>
    <w:p w14:paraId="79D90D9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  <w:lang w:eastAsia="zh-CN"/>
        </w:rPr>
      </w:pP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3、</w:t>
      </w:r>
      <w:r>
        <w:rPr>
          <w:rFonts w:hint="eastAsia" w:ascii="仿宋_GB2312" w:hAnsi="仿宋" w:eastAsia="仿宋_GB2312"/>
          <w:bCs/>
          <w:sz w:val="24"/>
          <w:szCs w:val="24"/>
        </w:rPr>
        <w:t>因乙方管理不到位，造成群发性事件，给甲方声誉带来严重影响的，甲方有权解除合同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；</w:t>
      </w:r>
    </w:p>
    <w:p w14:paraId="7D7E3DE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4、</w:t>
      </w:r>
      <w:r>
        <w:rPr>
          <w:rFonts w:hint="eastAsia" w:ascii="仿宋_GB2312" w:hAnsi="仿宋" w:eastAsia="仿宋_GB2312"/>
          <w:bCs/>
          <w:sz w:val="24"/>
          <w:szCs w:val="24"/>
        </w:rPr>
        <w:t>发生各类突发性应急事件或甲方举行重大活动时，乙方如不服从甲方的统一调配，甲方有权解除合同。</w:t>
      </w:r>
    </w:p>
    <w:p w14:paraId="3C513397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_GB2312" w:hAnsi="仿宋" w:eastAsia="仿宋_GB2312"/>
          <w:b/>
          <w:sz w:val="24"/>
          <w:szCs w:val="24"/>
        </w:rPr>
      </w:pPr>
      <w:r>
        <w:rPr>
          <w:rFonts w:hint="eastAsia" w:ascii="仿宋_GB2312" w:hAnsi="仿宋" w:eastAsia="仿宋_GB2312"/>
          <w:b/>
          <w:sz w:val="24"/>
          <w:szCs w:val="24"/>
        </w:rPr>
        <w:t>十、合同争议解决的方式</w:t>
      </w:r>
    </w:p>
    <w:p w14:paraId="0360BA5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本合同在履行过程中发生的争议，由甲、乙双方当事人协商解决，协商不成的按下列第</w:t>
      </w:r>
      <w:r>
        <w:rPr>
          <w:rFonts w:hint="eastAsia" w:ascii="仿宋_GB2312" w:hAnsi="仿宋" w:eastAsia="仿宋_GB2312"/>
          <w:bCs/>
          <w:sz w:val="24"/>
          <w:szCs w:val="24"/>
          <w:u w:val="single"/>
        </w:rPr>
        <w:t>（二）</w:t>
      </w:r>
      <w:r>
        <w:rPr>
          <w:rFonts w:hint="eastAsia" w:ascii="仿宋_GB2312" w:hAnsi="仿宋" w:eastAsia="仿宋_GB2312"/>
          <w:bCs/>
          <w:sz w:val="24"/>
          <w:szCs w:val="24"/>
        </w:rPr>
        <w:t>种方式解决：</w:t>
      </w:r>
    </w:p>
    <w:p w14:paraId="38147D4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（一）提交西安仲裁委员会仲裁；</w:t>
      </w:r>
    </w:p>
    <w:p w14:paraId="0E4E78E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（二）依法向甲方所在地人民法院起诉。</w:t>
      </w:r>
    </w:p>
    <w:p w14:paraId="010F9867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_GB2312" w:hAnsi="仿宋" w:eastAsia="仿宋_GB2312"/>
          <w:b/>
          <w:sz w:val="24"/>
          <w:szCs w:val="24"/>
        </w:rPr>
      </w:pPr>
      <w:r>
        <w:rPr>
          <w:rFonts w:hint="eastAsia" w:ascii="仿宋_GB2312" w:hAnsi="仿宋" w:eastAsia="仿宋_GB2312"/>
          <w:b/>
          <w:sz w:val="24"/>
          <w:szCs w:val="24"/>
          <w:lang w:val="en-US" w:eastAsia="zh-CN"/>
        </w:rPr>
        <w:t>十一、</w:t>
      </w:r>
      <w:r>
        <w:rPr>
          <w:rFonts w:hint="eastAsia" w:ascii="仿宋_GB2312" w:hAnsi="仿宋" w:eastAsia="仿宋_GB2312"/>
          <w:b/>
          <w:sz w:val="24"/>
          <w:szCs w:val="24"/>
        </w:rPr>
        <w:t>合同生效</w:t>
      </w:r>
    </w:p>
    <w:p w14:paraId="4B0FD5E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（一）本合同须经甲、乙双方的法定代表人（授权代表）在合同书上签字并加盖本单位公章后正式生效。</w:t>
      </w:r>
    </w:p>
    <w:p w14:paraId="20783DD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（二）合同生效后，甲、乙双方须严格执行本合同条款的规定，全面履行合同，违者按《中华人民共和国民法典》的有关规定承担相应责任。</w:t>
      </w:r>
    </w:p>
    <w:p w14:paraId="51E228A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_GB2312" w:hAnsi="仿宋" w:eastAsia="仿宋_GB2312"/>
          <w:bCs/>
          <w:sz w:val="24"/>
          <w:szCs w:val="24"/>
        </w:rPr>
      </w:pPr>
      <w:r>
        <w:rPr>
          <w:rFonts w:hint="eastAsia" w:ascii="仿宋_GB2312" w:hAnsi="仿宋" w:eastAsia="仿宋_GB2312"/>
          <w:bCs/>
          <w:sz w:val="24"/>
          <w:szCs w:val="24"/>
        </w:rPr>
        <w:t>（三）本合同一式</w:t>
      </w:r>
      <w:r>
        <w:rPr>
          <w:rFonts w:hint="eastAsia" w:ascii="仿宋_GB2312" w:hAnsi="仿宋" w:eastAsia="仿宋_GB2312"/>
          <w:bCs/>
          <w:sz w:val="24"/>
          <w:szCs w:val="24"/>
          <w:u w:val="single"/>
        </w:rPr>
        <w:t xml:space="preserve">   </w:t>
      </w:r>
      <w:r>
        <w:rPr>
          <w:rFonts w:hint="eastAsia" w:ascii="仿宋_GB2312" w:hAnsi="仿宋" w:eastAsia="仿宋_GB2312"/>
          <w:bCs/>
          <w:sz w:val="24"/>
          <w:szCs w:val="24"/>
        </w:rPr>
        <w:t>份，甲乙双方各执</w:t>
      </w:r>
      <w:r>
        <w:rPr>
          <w:rFonts w:hint="eastAsia" w:ascii="仿宋_GB2312" w:hAnsi="仿宋" w:eastAsia="仿宋_GB2312"/>
          <w:bCs/>
          <w:sz w:val="24"/>
          <w:szCs w:val="24"/>
          <w:u w:val="single"/>
        </w:rPr>
        <w:t xml:space="preserve">    </w:t>
      </w:r>
      <w:r>
        <w:rPr>
          <w:rFonts w:hint="eastAsia" w:ascii="仿宋_GB2312" w:hAnsi="仿宋" w:eastAsia="仿宋_GB2312"/>
          <w:bCs/>
          <w:sz w:val="24"/>
          <w:szCs w:val="24"/>
        </w:rPr>
        <w:t>份</w:t>
      </w:r>
      <w:r>
        <w:rPr>
          <w:rFonts w:hint="eastAsia" w:ascii="仿宋_GB2312" w:hAnsi="仿宋" w:eastAsia="仿宋_GB2312"/>
          <w:bCs/>
          <w:sz w:val="24"/>
          <w:szCs w:val="24"/>
          <w:lang w:eastAsia="zh-CN"/>
        </w:rPr>
        <w:t>，</w:t>
      </w:r>
      <w:r>
        <w:rPr>
          <w:rFonts w:hint="eastAsia" w:ascii="仿宋_GB2312" w:hAnsi="仿宋" w:eastAsia="仿宋_GB2312"/>
          <w:bCs/>
          <w:sz w:val="24"/>
          <w:szCs w:val="24"/>
          <w:lang w:val="en-US" w:eastAsia="zh-CN"/>
        </w:rPr>
        <w:t>鉴证方</w:t>
      </w:r>
      <w:r>
        <w:rPr>
          <w:rFonts w:hint="eastAsia" w:ascii="仿宋_GB2312" w:hAnsi="仿宋" w:eastAsia="仿宋_GB2312"/>
          <w:bCs/>
          <w:sz w:val="24"/>
          <w:szCs w:val="24"/>
          <w:u w:val="single"/>
          <w:lang w:val="en-US" w:eastAsia="zh-CN"/>
        </w:rPr>
        <w:t xml:space="preserve">  壹  </w:t>
      </w:r>
      <w:r>
        <w:rPr>
          <w:rFonts w:hint="eastAsia" w:ascii="仿宋_GB2312" w:hAnsi="仿宋" w:eastAsia="仿宋_GB2312"/>
          <w:bCs/>
          <w:sz w:val="24"/>
          <w:szCs w:val="24"/>
          <w:u w:val="none"/>
          <w:lang w:val="en-US" w:eastAsia="zh-CN"/>
        </w:rPr>
        <w:t>份</w:t>
      </w:r>
      <w:r>
        <w:rPr>
          <w:rFonts w:hint="eastAsia" w:ascii="仿宋_GB2312" w:hAnsi="仿宋" w:eastAsia="仿宋_GB2312"/>
          <w:bCs/>
          <w:sz w:val="24"/>
          <w:szCs w:val="24"/>
        </w:rPr>
        <w:t>。</w:t>
      </w:r>
    </w:p>
    <w:p w14:paraId="715D4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50" w:line="360" w:lineRule="auto"/>
        <w:ind w:firstLine="480" w:firstLineChars="200"/>
        <w:textAlignment w:val="auto"/>
        <w:rPr>
          <w:rFonts w:hint="eastAsia" w:ascii="仿宋_GB2312" w:hAnsi="仿宋" w:eastAsia="仿宋_GB2312"/>
          <w:bCs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（四）本合同如有未尽事宜，甲、乙双方协商解决</w:t>
      </w:r>
      <w:r>
        <w:rPr>
          <w:rFonts w:hint="eastAsia" w:ascii="仿宋_GB2312" w:hAnsi="仿宋" w:eastAsia="仿宋_GB2312"/>
          <w:bCs/>
          <w:sz w:val="24"/>
          <w:szCs w:val="24"/>
          <w:highlight w:val="none"/>
        </w:rPr>
        <w:t>。</w:t>
      </w:r>
    </w:p>
    <w:p w14:paraId="0DF5B808">
      <w:pPr>
        <w:pStyle w:val="3"/>
        <w:rPr>
          <w:rFonts w:hint="eastAsia" w:ascii="仿宋_GB2312" w:hAnsi="仿宋" w:eastAsia="仿宋_GB2312"/>
          <w:bCs/>
          <w:sz w:val="24"/>
          <w:szCs w:val="24"/>
          <w:highlight w:val="none"/>
        </w:rPr>
      </w:pPr>
    </w:p>
    <w:p w14:paraId="73453322">
      <w:pPr>
        <w:pStyle w:val="3"/>
        <w:rPr>
          <w:rFonts w:hint="eastAsia" w:ascii="仿宋_GB2312" w:hAnsi="仿宋" w:eastAsia="仿宋_GB2312"/>
          <w:bCs/>
          <w:sz w:val="24"/>
          <w:szCs w:val="24"/>
          <w:highlight w:val="none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3F1AD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6D2B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3CE58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乙  方</w:t>
            </w:r>
          </w:p>
        </w:tc>
      </w:tr>
      <w:tr w14:paraId="185DF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5E14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3363D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（盖章）</w:t>
            </w:r>
          </w:p>
        </w:tc>
      </w:tr>
      <w:tr w14:paraId="716C4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9893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33892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地址：</w:t>
            </w:r>
          </w:p>
        </w:tc>
      </w:tr>
      <w:tr w14:paraId="14E82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D9A8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 xml:space="preserve">法定代表人 </w:t>
            </w:r>
          </w:p>
        </w:tc>
        <w:tc>
          <w:tcPr>
            <w:tcW w:w="4202" w:type="dxa"/>
            <w:noWrap w:val="0"/>
            <w:vAlign w:val="center"/>
          </w:tcPr>
          <w:p w14:paraId="51F84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法定代表人</w:t>
            </w:r>
          </w:p>
        </w:tc>
      </w:tr>
      <w:tr w14:paraId="1B86A9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8106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或授权代表：</w:t>
            </w:r>
          </w:p>
        </w:tc>
        <w:tc>
          <w:tcPr>
            <w:tcW w:w="4202" w:type="dxa"/>
            <w:noWrap w:val="0"/>
            <w:vAlign w:val="center"/>
          </w:tcPr>
          <w:p w14:paraId="1A978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或授权代表：</w:t>
            </w:r>
          </w:p>
        </w:tc>
      </w:tr>
      <w:tr w14:paraId="68E5B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8875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57DE4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电话：</w:t>
            </w:r>
          </w:p>
        </w:tc>
      </w:tr>
      <w:tr w14:paraId="535C9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B416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023B0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传真：</w:t>
            </w:r>
          </w:p>
        </w:tc>
      </w:tr>
      <w:tr w14:paraId="21C40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F134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3C9C9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  <w:highlight w:val="none"/>
              </w:rPr>
              <w:t>开户银行：</w:t>
            </w:r>
          </w:p>
        </w:tc>
      </w:tr>
    </w:tbl>
    <w:p w14:paraId="09C9FD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2352E"/>
    <w:rsid w:val="3D82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cs="宋体"/>
      <w:sz w:val="24"/>
    </w:rPr>
  </w:style>
  <w:style w:type="paragraph" w:styleId="3">
    <w:name w:val="footer"/>
    <w:basedOn w:val="1"/>
    <w:qFormat/>
    <w:uiPriority w:val="0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2026-07-23T14:44:00Z</dcterms:created>
  <dc:creator>Джек</dc:creator>
  <cp:lastModifiedBy>Джек</cp:lastModifiedBy>
  <dcterms:modified xsi:type="dcterms:W3CDTF">2026-07-23T14:45:51Z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CE78A86173D64D73985747913E90F59E_11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