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版本号：SXZCX2026-00420260522001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血检科核酸检测试剂A</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SXZCX2026-004</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陕西省中诚信招标有限公司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陕西省中诚信招标有限公司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血检科核酸检测试剂A</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SXZCX2026-004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血检科核酸检测试剂A</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为保证临床输血安全，向临床及时提供安全有效的血液制品，拟通过招标方式采购部分检测试剂及实验耗材。</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p>
      <w:pPr>
        <w:pStyle w:val="null3"/>
      </w:pPr>
      <w:r>
        <w:rPr>
          <w:rFonts w:ascii="仿宋_GB2312" w:hAnsi="仿宋_GB2312" w:cs="仿宋_GB2312" w:eastAsia="仿宋_GB2312"/>
        </w:rPr>
        <w:t>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pPr>
        <w:pStyle w:val="null3"/>
      </w:pPr>
      <w:r>
        <w:rPr>
          <w:rFonts w:ascii="仿宋_GB2312" w:hAnsi="仿宋_GB2312" w:cs="仿宋_GB2312" w:eastAsia="仿宋_GB2312"/>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pPr>
        <w:pStyle w:val="null3"/>
      </w:pPr>
      <w:r>
        <w:rPr>
          <w:rFonts w:ascii="仿宋_GB2312" w:hAnsi="仿宋_GB2312" w:cs="仿宋_GB2312" w:eastAsia="仿宋_GB2312"/>
        </w:rPr>
        <w:t>5、专业技术能力证明：具有履行合同所必需的设备和专业技术能力的书面声明。</w:t>
      </w:r>
    </w:p>
    <w:p>
      <w:pPr>
        <w:pStyle w:val="null3"/>
      </w:pPr>
      <w:r>
        <w:rPr>
          <w:rFonts w:ascii="仿宋_GB2312" w:hAnsi="仿宋_GB2312" w:cs="仿宋_GB2312" w:eastAsia="仿宋_GB2312"/>
        </w:rPr>
        <w:t>6、无重大违法记录声明：近3年内在经营活动中没有重大违法记录的书面声明。</w:t>
      </w:r>
    </w:p>
    <w:p>
      <w:pPr>
        <w:pStyle w:val="null3"/>
      </w:pPr>
      <w:r>
        <w:rPr>
          <w:rFonts w:ascii="仿宋_GB2312" w:hAnsi="仿宋_GB2312" w:cs="仿宋_GB2312" w:eastAsia="仿宋_GB2312"/>
        </w:rPr>
        <w:t>7、信用查询：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8、法定代表人委托授权书：非法定代表人参加投标的，须提供法定代表人委托授权书、授权代表身份证、授权代表提供在投标单位缴纳的社保记录（近3个月内任意一个月）；法定代表人参加投标时,只需提供法定代表人身份证。</w:t>
      </w:r>
    </w:p>
    <w:p>
      <w:pPr>
        <w:pStyle w:val="null3"/>
      </w:pPr>
      <w:r>
        <w:rPr>
          <w:rFonts w:ascii="仿宋_GB2312" w:hAnsi="仿宋_GB2312" w:cs="仿宋_GB2312" w:eastAsia="仿宋_GB2312"/>
        </w:rPr>
        <w:t>9、联合体情况：本项目不接受联合体投标。</w:t>
      </w:r>
    </w:p>
    <w:p>
      <w:pPr>
        <w:pStyle w:val="null3"/>
      </w:pPr>
      <w:r>
        <w:rPr>
          <w:rFonts w:ascii="仿宋_GB2312" w:hAnsi="仿宋_GB2312" w:cs="仿宋_GB2312" w:eastAsia="仿宋_GB2312"/>
        </w:rPr>
        <w:t>10、质量保证承诺书：供应商提供质量保证承诺书。</w:t>
      </w:r>
    </w:p>
    <w:p>
      <w:pPr>
        <w:pStyle w:val="null3"/>
      </w:pPr>
      <w:r>
        <w:rPr>
          <w:rFonts w:ascii="仿宋_GB2312" w:hAnsi="仿宋_GB2312" w:cs="仿宋_GB2312" w:eastAsia="仿宋_GB2312"/>
        </w:rPr>
        <w:t>11、承诺书：供应商提供关联关系与廉洁承诺书。</w:t>
      </w:r>
    </w:p>
    <w:p>
      <w:pPr>
        <w:pStyle w:val="null3"/>
      </w:pPr>
      <w:r>
        <w:rPr>
          <w:rFonts w:ascii="仿宋_GB2312" w:hAnsi="仿宋_GB2312" w:cs="仿宋_GB2312" w:eastAsia="仿宋_GB2312"/>
        </w:rPr>
        <w:t>12、生产许可证等：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西安市中心血站经办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13819191911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陕西省中诚信招标有限公司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西安市南二环西段21号华融国际商务大厦A座11E</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付丹丹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029-85243851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和发展改革委员会办公厅颁发的《关于招标代理服务收费有关问题的通知》（发改办价格[2003]857号）的标准下浮10%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陕西省中诚信招标有限公司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西安市中心血站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陕西省中诚信招标有限公司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陕西省中诚信招标有限公司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陕西省中诚信招标有限公司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陕西省中诚信招标有限公司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陕西省中诚信招标有限公司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联系人：付丹丹</w:t>
      </w:r>
    </w:p>
    <w:p>
      <w:pPr>
        <w:pStyle w:val="null3"/>
      </w:pPr>
      <w:r>
        <w:rPr>
          <w:rFonts w:ascii="仿宋_GB2312" w:hAnsi="仿宋_GB2312" w:cs="仿宋_GB2312" w:eastAsia="仿宋_GB2312"/>
        </w:rPr>
        <w:t>联系电话：029-85243851</w:t>
      </w:r>
    </w:p>
    <w:p>
      <w:pPr>
        <w:pStyle w:val="null3"/>
      </w:pPr>
      <w:r>
        <w:rPr>
          <w:rFonts w:ascii="仿宋_GB2312" w:hAnsi="仿宋_GB2312" w:cs="仿宋_GB2312" w:eastAsia="仿宋_GB2312"/>
        </w:rPr>
        <w:t>地址：西安市碑林区南二环西段华融国际商务大厦A座11E</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为保证临床输血安全，向临床及时提供安全有效的血液制品，拟通过招标方式采购部分检测试剂及实验耗材。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5,400,000.00</w:t>
      </w:r>
    </w:p>
    <w:p>
      <w:pPr>
        <w:pStyle w:val="null3"/>
      </w:pPr>
      <w:r>
        <w:rPr>
          <w:rFonts w:ascii="仿宋_GB2312" w:hAnsi="仿宋_GB2312" w:cs="仿宋_GB2312" w:eastAsia="仿宋_GB2312"/>
        </w:rPr>
        <w:t>采购包最高限价（元）: 5,400,000.00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乙型肝炎病毒丙型肝炎病毒人类免疫缺陷病毒（1+2 型）核酸检测试剂盒（PCR-荧光法）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标的名称：乙型肝炎病毒丙型肝炎病毒人类免疫缺陷病毒（1+2 型）核酸检测试剂盒（PCR-荧光法）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1"/>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为保证临床输血安全，向临床及时提供安全有效的血液制品，拟通过招标方式采购部分检测试剂及实验耗材。</w:t>
            </w:r>
          </w:p>
          <w:p>
            <w:pPr>
              <w:pStyle w:val="null3"/>
              <w:jc w:val="both"/>
              <w:outlineLvl w:val="1"/>
            </w:pPr>
            <w:r>
              <w:rPr>
                <w:rFonts w:ascii="仿宋_GB2312" w:hAnsi="仿宋_GB2312" w:cs="仿宋_GB2312" w:eastAsia="仿宋_GB2312"/>
                <w:sz w:val="24"/>
                <w:b/>
              </w:rPr>
              <w:t>二、招标内容</w:t>
            </w:r>
          </w:p>
          <w:tbl>
            <w:tblPr>
              <w:tblInd w:type="dxa" w:w="135"/>
              <w:tblBorders>
                <w:top w:val="none" w:color="000000" w:sz="4"/>
                <w:left w:val="none" w:color="000000" w:sz="4"/>
                <w:bottom w:val="none" w:color="000000" w:sz="4"/>
                <w:right w:val="none" w:color="000000" w:sz="4"/>
                <w:insideH w:val="none"/>
                <w:insideV w:val="none"/>
              </w:tblBorders>
            </w:tblPr>
            <w:tblGrid>
              <w:gridCol w:w="221"/>
              <w:gridCol w:w="998"/>
              <w:gridCol w:w="357"/>
              <w:gridCol w:w="296"/>
              <w:gridCol w:w="673"/>
            </w:tblGrid>
            <w:tr>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标段</w:t>
                  </w:r>
                </w:p>
              </w:tc>
              <w:tc>
                <w:tcPr>
                  <w:tcW w:type="dxa" w:w="9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物品名称</w:t>
                  </w:r>
                </w:p>
              </w:tc>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6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预算金额（元）</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血检科核酸检测试剂</w:t>
                  </w:r>
                  <w:r>
                    <w:rPr>
                      <w:rFonts w:ascii="仿宋_GB2312" w:hAnsi="仿宋_GB2312" w:cs="仿宋_GB2312" w:eastAsia="仿宋_GB2312"/>
                      <w:sz w:val="24"/>
                    </w:rPr>
                    <w:t>A</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0000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人份</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r>
                    <w:rPr>
                      <w:rFonts w:ascii="仿宋_GB2312" w:hAnsi="仿宋_GB2312" w:cs="仿宋_GB2312" w:eastAsia="仿宋_GB2312"/>
                      <w:sz w:val="24"/>
                    </w:rPr>
                    <w:t>4</w:t>
                  </w:r>
                  <w:r>
                    <w:rPr>
                      <w:rFonts w:ascii="仿宋_GB2312" w:hAnsi="仿宋_GB2312" w:cs="仿宋_GB2312" w:eastAsia="仿宋_GB2312"/>
                      <w:sz w:val="24"/>
                    </w:rPr>
                    <w:t>00000</w:t>
                  </w:r>
                </w:p>
              </w:tc>
            </w:tr>
          </w:tbl>
          <w:p>
            <w:pPr>
              <w:pStyle w:val="null3"/>
              <w:jc w:val="both"/>
              <w:outlineLvl w:val="1"/>
            </w:pPr>
            <w:r>
              <w:rPr>
                <w:rFonts w:ascii="仿宋_GB2312" w:hAnsi="仿宋_GB2312" w:cs="仿宋_GB2312" w:eastAsia="仿宋_GB2312"/>
                <w:sz w:val="24"/>
                <w:b/>
              </w:rPr>
              <w:t>三、技术要求</w:t>
            </w:r>
          </w:p>
          <w:p>
            <w:pPr>
              <w:pStyle w:val="null3"/>
              <w:ind w:firstLine="480"/>
              <w:jc w:val="both"/>
            </w:pPr>
            <w:r>
              <w:rPr>
                <w:rFonts w:ascii="仿宋_GB2312" w:hAnsi="仿宋_GB2312" w:cs="仿宋_GB2312" w:eastAsia="仿宋_GB2312"/>
                <w:sz w:val="24"/>
              </w:rPr>
              <w:t>1.试剂检测项目：乙肝病毒DNA、丙肝病毒RNA，人免疫缺陷病毒RNA。要求是HBV/HCV/HIV联检试剂，采取汇集模式；</w:t>
            </w:r>
          </w:p>
          <w:p>
            <w:pPr>
              <w:pStyle w:val="null3"/>
              <w:ind w:firstLine="480"/>
              <w:jc w:val="both"/>
            </w:pPr>
            <w:r>
              <w:rPr>
                <w:rFonts w:ascii="仿宋_GB2312" w:hAnsi="仿宋_GB2312" w:cs="仿宋_GB2312" w:eastAsia="仿宋_GB2312"/>
                <w:sz w:val="24"/>
              </w:rPr>
              <w:t>2.试剂每一人份价格包含检测所需的所有试剂、试验耗材、对照品、质控品和试剂损耗；</w:t>
            </w:r>
          </w:p>
          <w:p>
            <w:pPr>
              <w:pStyle w:val="null3"/>
              <w:ind w:firstLine="480"/>
              <w:jc w:val="both"/>
            </w:pPr>
            <w:r>
              <w:rPr>
                <w:rFonts w:ascii="仿宋_GB2312" w:hAnsi="仿宋_GB2312" w:cs="仿宋_GB2312" w:eastAsia="仿宋_GB2312"/>
                <w:sz w:val="24"/>
              </w:rPr>
              <w:t>3.试剂原理基于荧光PCR技术。试剂的分析灵敏度（≥95％置信度）要求:HBV≤5 IU/mL、HCV ≤15IU/ml、HIV ≤50 IU/ml；</w:t>
            </w:r>
          </w:p>
          <w:p>
            <w:pPr>
              <w:pStyle w:val="null3"/>
              <w:ind w:firstLine="480"/>
              <w:jc w:val="both"/>
            </w:pPr>
            <w:r>
              <w:rPr>
                <w:rFonts w:ascii="仿宋_GB2312" w:hAnsi="仿宋_GB2312" w:cs="仿宋_GB2312" w:eastAsia="仿宋_GB2312"/>
                <w:sz w:val="24"/>
              </w:rPr>
              <w:t>4.试剂检测项目包括HBV、HCV、HIV-1、HIV-2基本检测项目；</w:t>
            </w:r>
          </w:p>
          <w:p>
            <w:pPr>
              <w:pStyle w:val="null3"/>
              <w:ind w:firstLine="480"/>
              <w:jc w:val="both"/>
            </w:pPr>
            <w:r>
              <w:rPr>
                <w:rFonts w:ascii="仿宋_GB2312" w:hAnsi="仿宋_GB2312" w:cs="仿宋_GB2312" w:eastAsia="仿宋_GB2312"/>
                <w:sz w:val="24"/>
              </w:rPr>
              <w:t>5.试剂组分设计中有防污染技术，采用国际标准的UNG酶技术或其它防污染技术；</w:t>
            </w:r>
          </w:p>
          <w:p>
            <w:pPr>
              <w:pStyle w:val="null3"/>
              <w:ind w:firstLine="480"/>
              <w:jc w:val="both"/>
            </w:pPr>
            <w:r>
              <w:rPr>
                <w:rFonts w:ascii="仿宋_GB2312" w:hAnsi="仿宋_GB2312" w:cs="仿宋_GB2312" w:eastAsia="仿宋_GB2312"/>
                <w:sz w:val="24"/>
              </w:rPr>
              <w:t>6.试剂应有内对照，包含DNA和RNA两种内标质控，内对照应全程参与核酸提取和扩增检测过程；</w:t>
            </w:r>
          </w:p>
          <w:p>
            <w:pPr>
              <w:pStyle w:val="null3"/>
              <w:ind w:firstLine="480"/>
              <w:jc w:val="both"/>
            </w:pPr>
            <w:r>
              <w:rPr>
                <w:rFonts w:ascii="仿宋_GB2312" w:hAnsi="仿宋_GB2312" w:cs="仿宋_GB2312" w:eastAsia="仿宋_GB2312"/>
                <w:sz w:val="24"/>
              </w:rPr>
              <w:t>7.对HBV的亚型检出能力强，能够检测基因型A、B、C、D、E、F、G、H；</w:t>
            </w:r>
          </w:p>
          <w:p>
            <w:pPr>
              <w:pStyle w:val="null3"/>
              <w:ind w:firstLine="480"/>
              <w:jc w:val="both"/>
            </w:pPr>
            <w:r>
              <w:rPr>
                <w:rFonts w:ascii="仿宋_GB2312" w:hAnsi="仿宋_GB2312" w:cs="仿宋_GB2312" w:eastAsia="仿宋_GB2312"/>
                <w:sz w:val="24"/>
              </w:rPr>
              <w:t>8.试剂应带有阴阳性对照，阳性对照应包括所对应的检测病毒种类。</w:t>
            </w:r>
          </w:p>
          <w:p>
            <w:pPr>
              <w:pStyle w:val="null3"/>
              <w:ind w:firstLine="480"/>
              <w:jc w:val="both"/>
            </w:pPr>
            <w:r>
              <w:rPr>
                <w:rFonts w:ascii="仿宋_GB2312" w:hAnsi="仿宋_GB2312" w:cs="仿宋_GB2312" w:eastAsia="仿宋_GB2312"/>
                <w:sz w:val="24"/>
              </w:rPr>
              <w:t>9.试剂应与苏州华益美公司的仪器设备和软件配套使用</w:t>
            </w:r>
            <w:r>
              <w:rPr>
                <w:rFonts w:ascii="仿宋_GB2312" w:hAnsi="仿宋_GB2312" w:cs="仿宋_GB2312" w:eastAsia="仿宋_GB2312"/>
                <w:sz w:val="24"/>
              </w:rPr>
              <w:t>。</w:t>
            </w:r>
          </w:p>
          <w:p>
            <w:pPr>
              <w:pStyle w:val="null3"/>
              <w:jc w:val="center"/>
            </w:pPr>
            <w:r>
              <w:rPr>
                <w:rFonts w:ascii="仿宋_GB2312" w:hAnsi="仿宋_GB2312" w:cs="仿宋_GB2312" w:eastAsia="仿宋_GB2312"/>
                <w:sz w:val="44"/>
                <w:b/>
              </w:rPr>
              <w:t>商务要求</w:t>
            </w:r>
          </w:p>
          <w:p>
            <w:pPr>
              <w:pStyle w:val="null3"/>
              <w:outlineLvl w:val="1"/>
            </w:pPr>
            <w:r>
              <w:rPr>
                <w:rFonts w:ascii="仿宋_GB2312" w:hAnsi="仿宋_GB2312" w:cs="仿宋_GB2312" w:eastAsia="仿宋_GB2312"/>
                <w:sz w:val="24"/>
                <w:b/>
              </w:rPr>
              <w:t>一、试剂类产品供货单位必须提供以下相关资料存档：</w:t>
            </w:r>
          </w:p>
          <w:p>
            <w:pPr>
              <w:pStyle w:val="null3"/>
              <w:ind w:firstLine="480"/>
            </w:pPr>
            <w:r>
              <w:rPr>
                <w:rFonts w:ascii="仿宋_GB2312" w:hAnsi="仿宋_GB2312" w:cs="仿宋_GB2312" w:eastAsia="仿宋_GB2312"/>
                <w:sz w:val="24"/>
              </w:rPr>
              <w:t>1.《药品生产许可证》和《药品经营许可证》及营业执照复印件；</w:t>
            </w:r>
          </w:p>
          <w:p>
            <w:pPr>
              <w:pStyle w:val="null3"/>
              <w:ind w:firstLine="480"/>
            </w:pPr>
            <w:r>
              <w:rPr>
                <w:rFonts w:ascii="仿宋_GB2312" w:hAnsi="仿宋_GB2312" w:cs="仿宋_GB2312" w:eastAsia="仿宋_GB2312"/>
                <w:sz w:val="24"/>
              </w:rPr>
              <w:t>2.《药品生产质量管理规范》和《药品经营质量管理规范》认证证书复印件；</w:t>
            </w:r>
          </w:p>
          <w:p>
            <w:pPr>
              <w:pStyle w:val="null3"/>
              <w:ind w:firstLine="480"/>
            </w:pPr>
            <w:r>
              <w:rPr>
                <w:rFonts w:ascii="仿宋_GB2312" w:hAnsi="仿宋_GB2312" w:cs="仿宋_GB2312" w:eastAsia="仿宋_GB2312"/>
                <w:sz w:val="24"/>
              </w:rPr>
              <w:t>3.药品的批准证明文件复印件；</w:t>
            </w:r>
          </w:p>
          <w:p>
            <w:pPr>
              <w:pStyle w:val="null3"/>
              <w:ind w:firstLine="480"/>
            </w:pPr>
            <w:r>
              <w:rPr>
                <w:rFonts w:ascii="仿宋_GB2312" w:hAnsi="仿宋_GB2312" w:cs="仿宋_GB2312" w:eastAsia="仿宋_GB2312"/>
                <w:sz w:val="24"/>
              </w:rPr>
              <w:t>4.销售人员有效身份证明复印件；</w:t>
            </w:r>
          </w:p>
          <w:p>
            <w:pPr>
              <w:pStyle w:val="null3"/>
              <w:ind w:firstLine="480"/>
            </w:pPr>
            <w:r>
              <w:rPr>
                <w:rFonts w:ascii="仿宋_GB2312" w:hAnsi="仿宋_GB2312" w:cs="仿宋_GB2312" w:eastAsia="仿宋_GB2312"/>
                <w:sz w:val="24"/>
              </w:rPr>
              <w:t>5.血源筛查体外诊断试剂的批签发文件；</w:t>
            </w:r>
          </w:p>
          <w:p>
            <w:pPr>
              <w:pStyle w:val="null3"/>
              <w:ind w:firstLine="480"/>
            </w:pPr>
            <w:r>
              <w:rPr>
                <w:rFonts w:ascii="仿宋_GB2312" w:hAnsi="仿宋_GB2312" w:cs="仿宋_GB2312" w:eastAsia="仿宋_GB2312"/>
                <w:sz w:val="24"/>
              </w:rPr>
              <w:t>6.出厂质量检验报告等。</w:t>
            </w:r>
          </w:p>
          <w:p>
            <w:pPr>
              <w:pStyle w:val="null3"/>
            </w:pPr>
            <w:r>
              <w:rPr>
                <w:rFonts w:ascii="仿宋_GB2312" w:hAnsi="仿宋_GB2312" w:cs="仿宋_GB2312" w:eastAsia="仿宋_GB2312"/>
                <w:sz w:val="24"/>
                <w:b/>
              </w:rPr>
              <w:t>二、商务要求：</w:t>
            </w:r>
          </w:p>
          <w:p>
            <w:pPr>
              <w:pStyle w:val="null3"/>
              <w:ind w:firstLine="480"/>
            </w:pPr>
            <w:r>
              <w:rPr>
                <w:rFonts w:ascii="仿宋_GB2312" w:hAnsi="仿宋_GB2312" w:cs="仿宋_GB2312" w:eastAsia="仿宋_GB2312"/>
                <w:sz w:val="24"/>
              </w:rPr>
              <w:t>商务条款则是当事人自己需要权衡和决策的问题，主要是与经济利益密切相关的交易标的、价格、付款条件等条款。</w:t>
            </w:r>
          </w:p>
          <w:p>
            <w:pPr>
              <w:pStyle w:val="null3"/>
              <w:ind w:firstLine="480"/>
            </w:pPr>
            <w:r>
              <w:rPr>
                <w:rFonts w:ascii="仿宋_GB2312" w:hAnsi="仿宋_GB2312" w:cs="仿宋_GB2312" w:eastAsia="仿宋_GB2312"/>
                <w:sz w:val="24"/>
              </w:rPr>
              <w:t>一、供货期：自合同签订之日起一年内按需配送。</w:t>
            </w:r>
          </w:p>
          <w:p>
            <w:pPr>
              <w:pStyle w:val="null3"/>
              <w:ind w:firstLine="480"/>
            </w:pPr>
            <w:r>
              <w:rPr>
                <w:rFonts w:ascii="仿宋_GB2312" w:hAnsi="仿宋_GB2312" w:cs="仿宋_GB2312" w:eastAsia="仿宋_GB2312"/>
                <w:sz w:val="24"/>
              </w:rPr>
              <w:t>二、交货时间：接到采购人订单之日起</w:t>
            </w:r>
            <w:r>
              <w:rPr>
                <w:rFonts w:ascii="仿宋_GB2312" w:hAnsi="仿宋_GB2312" w:cs="仿宋_GB2312" w:eastAsia="仿宋_GB2312"/>
                <w:sz w:val="24"/>
              </w:rPr>
              <w:t>7日内交货。</w:t>
            </w:r>
          </w:p>
          <w:p>
            <w:pPr>
              <w:pStyle w:val="null3"/>
              <w:ind w:firstLine="480"/>
            </w:pPr>
            <w:r>
              <w:rPr>
                <w:rFonts w:ascii="仿宋_GB2312" w:hAnsi="仿宋_GB2312" w:cs="仿宋_GB2312" w:eastAsia="仿宋_GB2312"/>
                <w:sz w:val="24"/>
              </w:rPr>
              <w:t>三、款项结算：</w:t>
            </w:r>
            <w:r>
              <w:rPr>
                <w:rFonts w:ascii="仿宋_GB2312" w:hAnsi="仿宋_GB2312" w:cs="仿宋_GB2312" w:eastAsia="仿宋_GB2312"/>
                <w:sz w:val="24"/>
              </w:rPr>
              <w:t>付款条件说明：合同签订后分批采购，分批付款。每批次产品经甲方确认合格后三个月内，按实际</w:t>
            </w:r>
            <w:r>
              <w:rPr>
                <w:rFonts w:ascii="仿宋_GB2312" w:hAnsi="仿宋_GB2312" w:cs="仿宋_GB2312" w:eastAsia="仿宋_GB2312"/>
                <w:sz w:val="24"/>
              </w:rPr>
              <w:t>收货量</w:t>
            </w:r>
            <w:r>
              <w:rPr>
                <w:rFonts w:ascii="仿宋_GB2312" w:hAnsi="仿宋_GB2312" w:cs="仿宋_GB2312" w:eastAsia="仿宋_GB2312"/>
                <w:sz w:val="24"/>
              </w:rPr>
              <w:t>据实支付，达到付款条件起</w:t>
            </w:r>
            <w:r>
              <w:rPr>
                <w:rFonts w:ascii="仿宋_GB2312" w:hAnsi="仿宋_GB2312" w:cs="仿宋_GB2312" w:eastAsia="仿宋_GB2312"/>
                <w:sz w:val="24"/>
              </w:rPr>
              <w:t>30</w:t>
            </w:r>
            <w:r>
              <w:rPr>
                <w:rFonts w:ascii="仿宋_GB2312" w:hAnsi="仿宋_GB2312" w:cs="仿宋_GB2312" w:eastAsia="仿宋_GB2312"/>
                <w:sz w:val="24"/>
              </w:rPr>
              <w:t>日内，支付</w:t>
            </w:r>
            <w:r>
              <w:rPr>
                <w:rFonts w:ascii="仿宋_GB2312" w:hAnsi="仿宋_GB2312" w:cs="仿宋_GB2312" w:eastAsia="仿宋_GB2312"/>
                <w:sz w:val="24"/>
              </w:rPr>
              <w:t>本批次</w:t>
            </w:r>
            <w:r>
              <w:rPr>
                <w:rFonts w:ascii="仿宋_GB2312" w:hAnsi="仿宋_GB2312" w:cs="仿宋_GB2312" w:eastAsia="仿宋_GB2312"/>
                <w:sz w:val="24"/>
              </w:rPr>
              <w:t>总金额的</w:t>
            </w:r>
            <w:r>
              <w:rPr>
                <w:rFonts w:ascii="仿宋_GB2312" w:hAnsi="仿宋_GB2312" w:cs="仿宋_GB2312" w:eastAsia="仿宋_GB2312"/>
                <w:sz w:val="24"/>
              </w:rPr>
              <w:t>100.00%。</w:t>
            </w:r>
          </w:p>
          <w:p>
            <w:pPr>
              <w:pStyle w:val="null3"/>
              <w:ind w:firstLine="480"/>
            </w:pPr>
            <w:r>
              <w:rPr>
                <w:rFonts w:ascii="仿宋_GB2312" w:hAnsi="仿宋_GB2312" w:cs="仿宋_GB2312" w:eastAsia="仿宋_GB2312"/>
                <w:sz w:val="24"/>
              </w:rPr>
              <w:t>四、交货地点：西安市中心血站指定地点</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五、</w:t>
            </w:r>
            <w:r>
              <w:rPr>
                <w:rFonts w:ascii="仿宋_GB2312" w:hAnsi="仿宋_GB2312" w:cs="仿宋_GB2312" w:eastAsia="仿宋_GB2312"/>
                <w:sz w:val="24"/>
              </w:rPr>
              <w:t>保质期：收货后有效期</w:t>
            </w:r>
            <w:r>
              <w:rPr>
                <w:rFonts w:ascii="仿宋_GB2312" w:hAnsi="仿宋_GB2312" w:cs="仿宋_GB2312" w:eastAsia="仿宋_GB2312"/>
                <w:sz w:val="24"/>
              </w:rPr>
              <w:t>≥6个月</w:t>
            </w:r>
            <w:r>
              <w:rPr>
                <w:rFonts w:ascii="仿宋_GB2312" w:hAnsi="仿宋_GB2312" w:cs="仿宋_GB2312" w:eastAsia="仿宋_GB2312"/>
                <w:sz w:val="24"/>
              </w:rPr>
              <w:t>，</w:t>
            </w:r>
            <w:r>
              <w:rPr>
                <w:rFonts w:ascii="仿宋_GB2312" w:hAnsi="仿宋_GB2312" w:cs="仿宋_GB2312" w:eastAsia="仿宋_GB2312"/>
                <w:sz w:val="24"/>
              </w:rPr>
              <w:t>在使用期间如出现质量问题，供货方应随时予以更换，保证血液检测工作的正常进行</w:t>
            </w:r>
            <w:r>
              <w:rPr>
                <w:rFonts w:ascii="仿宋_GB2312" w:hAnsi="仿宋_GB2312" w:cs="仿宋_GB2312" w:eastAsia="仿宋_GB2312"/>
                <w:sz w:val="24"/>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自合同签订之日起一年内按需配送。</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进度款，合同签订后分批采购，分批付款。每批次产品经甲方确认合格后三个月内，按实际收货量据实支付，达到付款条件起30日内，支付本批次总金额的 100.00%。，达到付款条件起30个工作日内，支付合同总金额的100.0%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根据采购文件要求及合同约定执行，满足采购人使用要求。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收货后有效期≥6个月，在使用期间如出现质量问题，供货方应随时予以更换，保证血液检测工作的正常进行。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非法定代表人参加投标的，须提供法定代表人委托授权书、授权代表身份证、授权代表提供在投标单位缴纳的社保记录（近3个月内任意一个月）；法定代表人参加投标时,只需提供法定代表人身份证。</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联合体情况</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生产许可证等</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投标报价是否超最高限价</w:t>
            </w:r>
          </w:p>
        </w:tc>
        <w:tc>
          <w:tcPr>
            <w:tcW w:type="dxa" w:w="3322"/>
          </w:tcPr>
          <w:p>
            <w:pPr>
              <w:pStyle w:val="null3"/>
            </w:pPr>
            <w:r>
              <w:rPr>
                <w:rFonts w:ascii="仿宋_GB2312" w:hAnsi="仿宋_GB2312" w:cs="仿宋_GB2312" w:eastAsia="仿宋_GB2312"/>
              </w:rPr>
              <w:t>投标报价未超过最高限价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按招标文件格式要求加盖了供应商公章和有法定代表人/企业负责人或其授权代表签字或加盖人名章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供应商不得提交两份或者多份内容不同的响应文件，或者在同一份响应文件中对同一投标项目有两个或者多个报价。</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产品技术指标评审</w:t>
            </w:r>
          </w:p>
        </w:tc>
        <w:tc>
          <w:tcPr>
            <w:tcW w:type="dxa" w:w="2492"/>
          </w:tcPr>
          <w:p>
            <w:pPr>
              <w:pStyle w:val="null3"/>
            </w:pPr>
            <w:r>
              <w:rPr>
                <w:rFonts w:ascii="仿宋_GB2312" w:hAnsi="仿宋_GB2312" w:cs="仿宋_GB2312" w:eastAsia="仿宋_GB2312"/>
              </w:rPr>
              <w:t>投标产品技术参数清楚、明确，有相应齐全 的技术资料，完全满足招标技术参数要求得 27 分；负偏离一条扣 3 分；扣完为止。 评审依据：提供生产厂家确认的具有相应的 功能证明材料（投标产品彩页（如有）、 （产品）说明书、认证证书、检测/检验报 告等，官网截图等），技术偏离表中的投标 响应，未提供技术支持文件，视为偏离（不 满足）。</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服务、实施 方案</w:t>
            </w:r>
          </w:p>
        </w:tc>
        <w:tc>
          <w:tcPr>
            <w:tcW w:type="dxa" w:w="2492"/>
          </w:tcPr>
          <w:p>
            <w:pPr>
              <w:pStyle w:val="null3"/>
            </w:pPr>
            <w:r>
              <w:rPr>
                <w:rFonts w:ascii="仿宋_GB2312" w:hAnsi="仿宋_GB2312" w:cs="仿宋_GB2312" w:eastAsia="仿宋_GB2312"/>
              </w:rPr>
              <w:t>服务、实施方案详尽，科学，合理，项目团 队人员配备充足（提供专职人员名单及联系 方式、有效身份证复印件），技术能力出众 （提供相关资格证书），人员分工合理，得 6-4 分（不含 4 分）； 服务、实施方案较为合理，项目团队人员分 工基本合理，得 4-2 分（不含 2 分）； 投标人对服务、实施方案进行了响应，但缺 少详细方案，得 2-0 分；缺少服务、实施方 案，得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仓储、设施 设备及配送 方案</w:t>
            </w:r>
          </w:p>
        </w:tc>
        <w:tc>
          <w:tcPr>
            <w:tcW w:type="dxa" w:w="2492"/>
          </w:tcPr>
          <w:p>
            <w:pPr>
              <w:pStyle w:val="null3"/>
            </w:pPr>
            <w:r>
              <w:rPr>
                <w:rFonts w:ascii="仿宋_GB2312" w:hAnsi="仿宋_GB2312" w:cs="仿宋_GB2312" w:eastAsia="仿宋_GB2312"/>
              </w:rPr>
              <w:t>与投标产品（试剂）相适应的仓储及设施设 备，具有完整的储运系统。 （1）提供库房（符合投标产品储存）证明 材料，证明材料完善得 1 分，证明材料不完 善或未提供证明材料得 0 分。 （2）提供试剂供应及运输方案。方案科学 合理得 4-2 分（不含 2 分），方案一般 2-0 分，未提供方案者得 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根据可能发生的各种紧急情况（公共卫生服务等）提供相应的应急响应及应急措施预 案，根据预案的全面性、可操作性横向比 较，综合评价。方案完整全面、科学合理， 可实施行强，得 4-2 分（不含 2 分）；方案基本合理可行，得 2-0 分；方案合理性 较差或未提供不得分。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投标人提供产品合法来源证明渠道，包括但 不限于销售协议、代理协议、原厂授权或承 诺书等，提供得 2 分，未提供的不得分。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技术支持及培训</w:t>
            </w:r>
          </w:p>
        </w:tc>
        <w:tc>
          <w:tcPr>
            <w:tcW w:type="dxa" w:w="2492"/>
          </w:tcPr>
          <w:p>
            <w:pPr>
              <w:pStyle w:val="null3"/>
            </w:pPr>
            <w:r>
              <w:rPr>
                <w:rFonts w:ascii="仿宋_GB2312" w:hAnsi="仿宋_GB2312" w:cs="仿宋_GB2312" w:eastAsia="仿宋_GB2312"/>
              </w:rPr>
              <w:t>根据投标人提供的“技术支持方式、技术支 持手段、人员配置（提供清单及简介）培训 内容、培训形式、培训次数、用户参加培训 人次数、培训授课讲师清单及介绍（若有原 厂培训讲师，请注明）”。 方案详细具体、针对性强、具有切实可行的 可实施性，得 8-6 分（不含 6 分）；方案较 为详细、针对性一般，具有一定的实施性， 得 6-4 分（不含 4 分）；方案无针对性、可 实施性差，得 4-0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根据项目实际需求，提供售后服务方案，方 案内容至少包括①售后服务承诺②售后服务 体系及人员配置③服务内容④响应时间⑤退 换货。 根据售后方案的详略程度、针对性、实施性 综合评价。方案详细具体、针对性强、具有 切实可行的可实施性，得 8-6分（不含6分）；方案较为详细、针对性一般，具有一 定的实施性，得 6-4 分（不含4分）；方案 内容简单、针对性一般、可实施性较差，得4-2分。方案无针对性、可实施性差，得 1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1日至投标文件递交截止时间所投产品合同业绩（以合同签订时间为准），1份业绩得2分，业绩满分10分（供货业绩合同复印件加盖公章合同关键页复印件并加盖投标人公章，合同关键页内容须包含合同名称、签订双方名称、签订时间、主要服务内容、双方盖章页等。弄虚作假者，取消其中标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经初审合格的投标响应文件，其投标报价为有效投标价。 评标基准价：即满足招标文件要求且投标价格最低的投标报价为评标基准价。 供应商的价格分统一按照下列公式计算。投标报价得分=(评标基准价／投标报价)×30。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详见附件：试剂A合同模板.docx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