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35F4E">
      <w:pPr>
        <w:keepNext w:val="0"/>
        <w:keepLines w:val="0"/>
        <w:pageBreakBefore w:val="0"/>
        <w:widowControl w:val="0"/>
        <w:kinsoku/>
        <w:wordWrap/>
        <w:overflowPunct/>
        <w:topLinePunct w:val="0"/>
        <w:autoSpaceDE/>
        <w:autoSpaceDN/>
        <w:bidi w:val="0"/>
        <w:adjustRightInd/>
        <w:snapToGrid/>
        <w:spacing w:before="936"/>
        <w:jc w:val="center"/>
        <w:textAlignment w:val="auto"/>
        <w:rPr>
          <w:rFonts w:hint="eastAsia" w:ascii="黑体" w:hAnsi="黑体" w:eastAsia="黑体" w:cs="黑体"/>
          <w:b/>
          <w:spacing w:val="57"/>
          <w:sz w:val="52"/>
          <w:highlight w:val="none"/>
          <w:lang w:eastAsia="zh-CN"/>
        </w:rPr>
      </w:pPr>
    </w:p>
    <w:p w14:paraId="74C6EEEF">
      <w:pPr>
        <w:keepNext w:val="0"/>
        <w:keepLines w:val="0"/>
        <w:pageBreakBefore w:val="0"/>
        <w:widowControl w:val="0"/>
        <w:kinsoku/>
        <w:wordWrap/>
        <w:overflowPunct/>
        <w:topLinePunct w:val="0"/>
        <w:autoSpaceDE/>
        <w:autoSpaceDN/>
        <w:bidi w:val="0"/>
        <w:adjustRightInd/>
        <w:snapToGrid/>
        <w:spacing w:before="936"/>
        <w:jc w:val="center"/>
        <w:textAlignment w:val="auto"/>
        <w:rPr>
          <w:rFonts w:hint="eastAsia" w:ascii="黑体" w:hAnsi="黑体" w:eastAsia="黑体" w:cs="黑体"/>
          <w:b/>
          <w:spacing w:val="57"/>
          <w:sz w:val="52"/>
          <w:highlight w:val="none"/>
        </w:rPr>
      </w:pPr>
      <w:r>
        <w:rPr>
          <w:rFonts w:hint="eastAsia" w:ascii="黑体" w:hAnsi="黑体" w:eastAsia="黑体" w:cs="黑体"/>
          <w:b/>
          <w:spacing w:val="57"/>
          <w:sz w:val="52"/>
          <w:highlight w:val="none"/>
          <w:lang w:eastAsia="zh-CN"/>
        </w:rPr>
        <w:t>曲江数据中心机房升级改造项目</w:t>
      </w:r>
      <w:r>
        <w:rPr>
          <w:rFonts w:hint="eastAsia" w:ascii="黑体" w:hAnsi="黑体" w:eastAsia="黑体" w:cs="黑体"/>
          <w:b/>
          <w:spacing w:val="57"/>
          <w:sz w:val="52"/>
          <w:highlight w:val="none"/>
        </w:rPr>
        <w:t>合同</w:t>
      </w:r>
    </w:p>
    <w:p w14:paraId="173B8164">
      <w:pPr>
        <w:keepNext w:val="0"/>
        <w:keepLines w:val="0"/>
        <w:pageBreakBefore w:val="0"/>
        <w:widowControl w:val="0"/>
        <w:kinsoku/>
        <w:wordWrap/>
        <w:overflowPunct/>
        <w:topLinePunct w:val="0"/>
        <w:autoSpaceDE/>
        <w:autoSpaceDN/>
        <w:bidi w:val="0"/>
        <w:adjustRightInd/>
        <w:snapToGrid/>
        <w:spacing w:before="936"/>
        <w:jc w:val="center"/>
        <w:textAlignment w:val="auto"/>
        <w:rPr>
          <w:rFonts w:hint="eastAsia" w:ascii="黑体" w:hAnsi="黑体" w:eastAsia="黑体" w:cs="黑体"/>
          <w:b/>
          <w:spacing w:val="57"/>
          <w:sz w:val="52"/>
          <w:highlight w:val="none"/>
        </w:rPr>
      </w:pPr>
    </w:p>
    <w:p w14:paraId="272D099A">
      <w:pPr>
        <w:keepNext w:val="0"/>
        <w:keepLines w:val="0"/>
        <w:pageBreakBefore w:val="0"/>
        <w:widowControl w:val="0"/>
        <w:kinsoku/>
        <w:wordWrap/>
        <w:overflowPunct/>
        <w:topLinePunct w:val="0"/>
        <w:autoSpaceDE/>
        <w:autoSpaceDN/>
        <w:bidi w:val="0"/>
        <w:adjustRightInd/>
        <w:snapToGrid/>
        <w:spacing w:before="936"/>
        <w:jc w:val="center"/>
        <w:textAlignment w:val="auto"/>
        <w:rPr>
          <w:rFonts w:hint="eastAsia" w:ascii="黑体" w:hAnsi="黑体" w:eastAsia="黑体" w:cs="黑体"/>
          <w:b/>
          <w:spacing w:val="57"/>
          <w:sz w:val="52"/>
          <w:highlight w:val="none"/>
        </w:rPr>
      </w:pPr>
    </w:p>
    <w:p w14:paraId="532AA3F7">
      <w:pPr>
        <w:keepNext w:val="0"/>
        <w:keepLines w:val="0"/>
        <w:pageBreakBefore w:val="0"/>
        <w:widowControl w:val="0"/>
        <w:kinsoku/>
        <w:wordWrap/>
        <w:overflowPunct/>
        <w:topLinePunct w:val="0"/>
        <w:autoSpaceDE/>
        <w:autoSpaceDN/>
        <w:bidi w:val="0"/>
        <w:adjustRightInd/>
        <w:snapToGrid/>
        <w:spacing w:before="936"/>
        <w:jc w:val="center"/>
        <w:textAlignment w:val="auto"/>
        <w:rPr>
          <w:rFonts w:hint="eastAsia" w:ascii="黑体" w:hAnsi="黑体" w:eastAsia="黑体" w:cs="黑体"/>
          <w:b/>
          <w:spacing w:val="57"/>
          <w:sz w:val="52"/>
          <w:highlight w:val="none"/>
        </w:rPr>
      </w:pPr>
    </w:p>
    <w:p w14:paraId="51C082D8">
      <w:pPr>
        <w:keepNext w:val="0"/>
        <w:keepLines w:val="0"/>
        <w:pageBreakBefore w:val="0"/>
        <w:widowControl w:val="0"/>
        <w:kinsoku/>
        <w:wordWrap/>
        <w:overflowPunct/>
        <w:topLinePunct w:val="0"/>
        <w:autoSpaceDE/>
        <w:autoSpaceDN/>
        <w:bidi w:val="0"/>
        <w:adjustRightInd/>
        <w:snapToGrid/>
        <w:spacing w:before="936"/>
        <w:jc w:val="center"/>
        <w:textAlignment w:val="auto"/>
        <w:rPr>
          <w:rFonts w:hint="eastAsia" w:ascii="黑体" w:hAnsi="黑体" w:eastAsia="黑体" w:cs="黑体"/>
          <w:b/>
          <w:spacing w:val="57"/>
          <w:sz w:val="52"/>
          <w:highlight w:val="none"/>
        </w:rPr>
      </w:pPr>
    </w:p>
    <w:tbl>
      <w:tblPr>
        <w:tblStyle w:val="3"/>
        <w:tblW w:w="0" w:type="auto"/>
        <w:jc w:val="center"/>
        <w:tblLayout w:type="autofit"/>
        <w:tblCellMar>
          <w:top w:w="0" w:type="dxa"/>
          <w:left w:w="10" w:type="dxa"/>
          <w:bottom w:w="0" w:type="dxa"/>
          <w:right w:w="10" w:type="dxa"/>
        </w:tblCellMar>
      </w:tblPr>
      <w:tblGrid>
        <w:gridCol w:w="6204"/>
      </w:tblGrid>
      <w:tr w14:paraId="62B13150">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2EB97A34">
            <w:pPr>
              <w:spacing w:line="360" w:lineRule="auto"/>
              <w:rPr>
                <w:rFonts w:hint="eastAsia" w:ascii="仿宋_GB2312" w:hAnsi="仿宋_GB2312" w:eastAsia="仿宋_GB2312" w:cs="仿宋_GB2312"/>
                <w:b/>
                <w:sz w:val="32"/>
                <w:highlight w:val="none"/>
                <w:lang w:eastAsia="zh-CN"/>
              </w:rPr>
            </w:pPr>
            <w:r>
              <w:rPr>
                <w:rFonts w:hint="eastAsia" w:ascii="仿宋_GB2312" w:hAnsi="仿宋_GB2312" w:eastAsia="仿宋_GB2312" w:cs="仿宋_GB2312"/>
                <w:b/>
                <w:sz w:val="32"/>
                <w:highlight w:val="none"/>
              </w:rPr>
              <w:t>合同名称：</w:t>
            </w:r>
            <w:r>
              <w:rPr>
                <w:rFonts w:hint="eastAsia" w:ascii="仿宋_GB2312" w:hAnsi="仿宋_GB2312" w:eastAsia="仿宋_GB2312" w:cs="仿宋_GB2312"/>
                <w:b/>
                <w:sz w:val="32"/>
                <w:highlight w:val="none"/>
                <w:u w:val="single"/>
              </w:rPr>
              <w:t>XXXXXXXXXXX(填项目名称)</w:t>
            </w:r>
          </w:p>
          <w:p w14:paraId="73A7106C">
            <w:pPr>
              <w:spacing w:line="360" w:lineRule="auto"/>
              <w:rPr>
                <w:rFonts w:eastAsia="宋体"/>
                <w:highlight w:val="none"/>
              </w:rPr>
            </w:pPr>
            <w:r>
              <w:rPr>
                <w:rFonts w:hint="eastAsia" w:ascii="仿宋_GB2312" w:hAnsi="仿宋_GB2312" w:eastAsia="仿宋_GB2312" w:cs="仿宋_GB2312"/>
                <w:b/>
                <w:sz w:val="32"/>
                <w:highlight w:val="none"/>
              </w:rPr>
              <w:t>合同编号：</w:t>
            </w:r>
            <w:r>
              <w:rPr>
                <w:rFonts w:hint="eastAsia" w:ascii="仿宋_GB2312" w:hAnsi="仿宋_GB2312" w:eastAsia="仿宋_GB2312" w:cs="仿宋_GB2312"/>
                <w:b/>
                <w:iCs/>
                <w:sz w:val="32"/>
                <w:highlight w:val="none"/>
                <w:u w:val="single"/>
              </w:rPr>
              <w:t>采购计划编号（2026**HW***）</w:t>
            </w:r>
          </w:p>
        </w:tc>
      </w:tr>
    </w:tbl>
    <w:p w14:paraId="082BB9D2">
      <w:pPr>
        <w:rPr>
          <w:rFonts w:hint="eastAsia" w:ascii="仿宋_GB2312" w:hAnsi="仿宋_GB2312" w:eastAsia="仿宋_GB2312" w:cs="仿宋_GB2312"/>
          <w:b/>
          <w:sz w:val="24"/>
          <w:highlight w:val="none"/>
        </w:rPr>
      </w:pPr>
    </w:p>
    <w:p w14:paraId="7794BFFF">
      <w:pPr>
        <w:jc w:val="right"/>
        <w:rPr>
          <w:rFonts w:hint="eastAsia" w:ascii="宋体" w:hAnsi="宋体" w:eastAsia="宋体" w:cs="宋体"/>
          <w:sz w:val="24"/>
          <w:highlight w:val="none"/>
        </w:rPr>
      </w:pPr>
    </w:p>
    <w:p w14:paraId="74731638">
      <w:pPr>
        <w:jc w:val="right"/>
        <w:rPr>
          <w:rFonts w:hint="eastAsia" w:ascii="宋体" w:hAnsi="宋体" w:eastAsia="宋体" w:cs="宋体"/>
          <w:sz w:val="24"/>
          <w:highlight w:val="none"/>
        </w:rPr>
      </w:pPr>
    </w:p>
    <w:p w14:paraId="794EFCC9">
      <w:pPr>
        <w:jc w:val="right"/>
        <w:rPr>
          <w:rFonts w:hint="eastAsia" w:ascii="宋体" w:hAnsi="宋体" w:eastAsia="宋体" w:cs="宋体"/>
          <w:sz w:val="24"/>
          <w:highlight w:val="none"/>
        </w:rPr>
      </w:pPr>
    </w:p>
    <w:p w14:paraId="278C200F">
      <w:pPr>
        <w:spacing w:before="312" w:after="312"/>
        <w:ind w:firstLine="2880" w:firstLineChars="900"/>
        <w:rPr>
          <w:rFonts w:hint="eastAsia" w:ascii="宋体" w:hAnsi="宋体" w:eastAsia="宋体" w:cs="宋体"/>
          <w:color w:val="000000"/>
          <w:sz w:val="24"/>
          <w:highlight w:val="none"/>
          <w:u w:val="single"/>
        </w:rPr>
      </w:pPr>
      <w:r>
        <w:rPr>
          <w:rFonts w:hint="eastAsia" w:ascii="黑体" w:hAnsi="黑体" w:eastAsia="黑体" w:cs="黑体"/>
          <w:sz w:val="32"/>
          <w:highlight w:val="none"/>
          <w:u w:val="single"/>
        </w:rPr>
        <w:t>XXXXXXXXXXXX</w:t>
      </w:r>
      <w:r>
        <w:rPr>
          <w:rFonts w:hint="eastAsia" w:ascii="黑体" w:hAnsi="黑体" w:eastAsia="黑体" w:cs="黑体"/>
          <w:sz w:val="32"/>
          <w:highlight w:val="none"/>
        </w:rPr>
        <w:t>合同</w:t>
      </w:r>
    </w:p>
    <w:p w14:paraId="74B68736">
      <w:pPr>
        <w:spacing w:line="360" w:lineRule="auto"/>
        <w:ind w:firstLine="480"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根据《中华人民共和国民法典</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rPr>
        <w:t>中华人民共和国政府采购法》等相关法规，</w:t>
      </w:r>
      <w:r>
        <w:rPr>
          <w:rFonts w:hint="eastAsia" w:ascii="仿宋_GB2312" w:hAnsi="仿宋_GB2312" w:eastAsia="仿宋_GB2312" w:cs="仿宋_GB2312"/>
          <w:b/>
          <w:bCs/>
          <w:color w:val="000000"/>
          <w:sz w:val="24"/>
          <w:highlight w:val="none"/>
        </w:rPr>
        <w:t>西安理工大学</w:t>
      </w:r>
      <w:r>
        <w:rPr>
          <w:rFonts w:hint="eastAsia" w:ascii="仿宋_GB2312" w:hAnsi="仿宋_GB2312" w:eastAsia="仿宋_GB2312" w:cs="仿宋_GB2312"/>
          <w:color w:val="000000"/>
          <w:sz w:val="24"/>
          <w:highlight w:val="none"/>
        </w:rPr>
        <w:t>(甲方)与(乙方)就甲方购置的采购项目，经双方协商达成如下合同条款：</w:t>
      </w:r>
    </w:p>
    <w:p w14:paraId="0B25B4D8">
      <w:pP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rPr>
        <w:t>一、标的物及技术要求</w:t>
      </w:r>
    </w:p>
    <w:p w14:paraId="62828670">
      <w:pP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7842B6A5">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CE8451">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988E0DB">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D66EAE3">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09108A8">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74979F7">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数量（台、套）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6CA09B6">
            <w:pPr>
              <w:jc w:val="center"/>
              <w:rPr>
                <w:rFonts w:hint="eastAsia" w:ascii="仿宋_GB2312" w:hAnsi="仿宋_GB2312" w:eastAsia="仿宋_GB2312" w:cs="仿宋_GB2312"/>
                <w:b/>
                <w:highlight w:val="none"/>
              </w:rPr>
            </w:pPr>
            <w:r>
              <w:rPr>
                <w:rFonts w:hint="eastAsia" w:ascii="仿宋_GB2312" w:hAnsi="仿宋_GB2312" w:eastAsia="仿宋_GB2312" w:cs="仿宋_GB2312"/>
                <w:b/>
                <w:highlight w:val="none"/>
              </w:rPr>
              <w:t>单价</w:t>
            </w:r>
          </w:p>
          <w:p w14:paraId="0288614E">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7E0C4DA">
            <w:pPr>
              <w:jc w:val="center"/>
              <w:rPr>
                <w:rFonts w:hint="eastAsia" w:ascii="仿宋_GB2312" w:hAnsi="仿宋_GB2312" w:eastAsia="仿宋_GB2312" w:cs="仿宋_GB2312"/>
                <w:b/>
                <w:highlight w:val="none"/>
              </w:rPr>
            </w:pPr>
            <w:r>
              <w:rPr>
                <w:rFonts w:hint="eastAsia" w:ascii="仿宋_GB2312" w:hAnsi="仿宋_GB2312" w:eastAsia="仿宋_GB2312" w:cs="仿宋_GB2312"/>
                <w:b/>
                <w:highlight w:val="none"/>
              </w:rPr>
              <w:t>小计</w:t>
            </w:r>
          </w:p>
          <w:p w14:paraId="05EEA5D6">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（元）</w:t>
            </w:r>
          </w:p>
        </w:tc>
      </w:tr>
      <w:tr w14:paraId="1BF54144">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74069B4">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E2654A9">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666FD23">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5FE418E">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4A70C08">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51AF8C8">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A753611">
            <w:pPr>
              <w:jc w:val="center"/>
              <w:rPr>
                <w:rFonts w:hint="eastAsia" w:ascii="仿宋_GB2312" w:hAnsi="仿宋_GB2312" w:eastAsia="仿宋_GB2312" w:cs="仿宋_GB2312"/>
                <w:sz w:val="22"/>
                <w:highlight w:val="none"/>
              </w:rPr>
            </w:pPr>
          </w:p>
        </w:tc>
      </w:tr>
      <w:tr w14:paraId="7BF2F7CC">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6A6260E">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3E12BA">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A98EDD">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1832F04">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E35FC60">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5D6B0E2">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548C0F1">
            <w:pPr>
              <w:jc w:val="center"/>
              <w:rPr>
                <w:rFonts w:hint="eastAsia" w:ascii="仿宋_GB2312" w:hAnsi="仿宋_GB2312" w:eastAsia="仿宋_GB2312" w:cs="仿宋_GB2312"/>
                <w:sz w:val="22"/>
                <w:highlight w:val="none"/>
              </w:rPr>
            </w:pPr>
          </w:p>
        </w:tc>
      </w:tr>
      <w:tr w14:paraId="7B712A8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B661D80">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CB03929">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89ADB56">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A3398C5">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3415896">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1BA753E">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7EC1620">
            <w:pPr>
              <w:jc w:val="center"/>
              <w:rPr>
                <w:rFonts w:hint="eastAsia" w:ascii="仿宋_GB2312" w:hAnsi="仿宋_GB2312" w:eastAsia="仿宋_GB2312" w:cs="仿宋_GB2312"/>
                <w:sz w:val="22"/>
                <w:highlight w:val="none"/>
              </w:rPr>
            </w:pPr>
          </w:p>
        </w:tc>
      </w:tr>
      <w:tr w14:paraId="4D0B60FD">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C9A9B20">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7B06386">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31556C1">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9985416">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E2CFDE3">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94F2369">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9CD6CE5">
            <w:pPr>
              <w:jc w:val="center"/>
              <w:rPr>
                <w:rFonts w:hint="eastAsia" w:ascii="仿宋_GB2312" w:hAnsi="仿宋_GB2312" w:eastAsia="仿宋_GB2312" w:cs="仿宋_GB2312"/>
                <w:sz w:val="22"/>
                <w:highlight w:val="none"/>
              </w:rPr>
            </w:pPr>
          </w:p>
        </w:tc>
      </w:tr>
      <w:tr w14:paraId="7E0D1724">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E207AC7">
            <w:pP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合计总价（人民币大写）：（小写）　:元</w:t>
            </w:r>
          </w:p>
        </w:tc>
      </w:tr>
      <w:tr w14:paraId="65B4C30D">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8B5CA03">
            <w:pPr>
              <w:rPr>
                <w:highlight w:val="none"/>
              </w:rPr>
            </w:pPr>
            <w:r>
              <w:rPr>
                <w:rFonts w:hint="eastAsia"/>
                <w:highlight w:val="none"/>
              </w:rPr>
              <w:t>注：以上价款均包含货物费(含质保期内的备品备件费)、包装费、运杂费(含搬运、装卸、保险费等)、工程费、材料费、全部税费、安装调试费等相关费用</w:t>
            </w:r>
            <w:r>
              <w:rPr>
                <w:rFonts w:hint="eastAsia"/>
                <w:highlight w:val="none"/>
                <w:lang w:eastAsia="zh-CN"/>
              </w:rPr>
              <w:t>，达到交付使用状态</w:t>
            </w:r>
            <w:r>
              <w:rPr>
                <w:rFonts w:hint="eastAsia"/>
                <w:highlight w:val="none"/>
              </w:rPr>
              <w:t>。</w:t>
            </w:r>
          </w:p>
        </w:tc>
      </w:tr>
    </w:tbl>
    <w:p w14:paraId="1800F082">
      <w:pP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rPr>
        <w:t>2.其他内容：</w:t>
      </w:r>
    </w:p>
    <w:p w14:paraId="7DA1A522">
      <w:pP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rPr>
        <w:t>3.技术要求、商务要求：</w:t>
      </w:r>
      <w:r>
        <w:rPr>
          <w:rFonts w:hint="eastAsia" w:ascii="仿宋_GB2312" w:hAnsi="仿宋_GB2312" w:eastAsia="仿宋_GB2312" w:cs="仿宋_GB2312"/>
          <w:color w:val="000000"/>
          <w:sz w:val="24"/>
          <w:highlight w:val="none"/>
        </w:rPr>
        <w:t>详见附件。</w:t>
      </w:r>
    </w:p>
    <w:p w14:paraId="298BEB66">
      <w:pPr>
        <w:spacing w:line="360" w:lineRule="auto"/>
        <w:ind w:firstLine="482"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b/>
          <w:bCs/>
          <w:color w:val="000000"/>
          <w:sz w:val="24"/>
          <w:highlight w:val="none"/>
        </w:rPr>
        <w:t>二、交付与运输</w:t>
      </w:r>
    </w:p>
    <w:p w14:paraId="0BC49B63">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1.交付时间：</w:t>
      </w:r>
      <w:r>
        <w:rPr>
          <w:rFonts w:ascii="仿宋_GB2312" w:hAnsi="仿宋_GB2312" w:eastAsia="仿宋_GB2312" w:cs="仿宋_GB2312"/>
          <w:sz w:val="24"/>
          <w:highlight w:val="none"/>
        </w:rPr>
        <w:t>乙方应于____年____月____日前将本合同项下全部设备</w:t>
      </w:r>
      <w:r>
        <w:rPr>
          <w:rFonts w:hint="eastAsia" w:ascii="宋体" w:hAnsi="宋体" w:eastAsia="宋体" w:cs="宋体"/>
          <w:sz w:val="24"/>
          <w:highlight w:val="none"/>
        </w:rPr>
        <w:t>运抵并</w:t>
      </w:r>
      <w:r>
        <w:rPr>
          <w:rFonts w:ascii="仿宋_GB2312" w:hAnsi="仿宋_GB2312" w:eastAsia="仿宋_GB2312" w:cs="仿宋_GB2312"/>
          <w:sz w:val="24"/>
          <w:highlight w:val="none"/>
        </w:rPr>
        <w:t>交付给甲方。</w:t>
      </w:r>
    </w:p>
    <w:p w14:paraId="1F6F9659">
      <w:pPr>
        <w:spacing w:line="360" w:lineRule="auto"/>
        <w:ind w:firstLine="480" w:firstLineChars="200"/>
        <w:rPr>
          <w:rFonts w:hint="eastAsia" w:ascii="华文仿宋" w:hAnsi="华文仿宋" w:eastAsia="华文仿宋" w:cs="华文仿宋"/>
          <w:sz w:val="24"/>
          <w:highlight w:val="none"/>
        </w:rPr>
      </w:pPr>
      <w:r>
        <w:rPr>
          <w:rFonts w:hint="eastAsia" w:ascii="华文仿宋" w:hAnsi="华文仿宋" w:eastAsia="华文仿宋" w:cs="华文仿宋"/>
          <w:b/>
          <w:bCs/>
          <w:sz w:val="24"/>
          <w:highlight w:val="none"/>
        </w:rPr>
        <w:t>2.交付地点：</w:t>
      </w:r>
      <w:r>
        <w:rPr>
          <w:rFonts w:hint="eastAsia" w:ascii="华文仿宋" w:hAnsi="华文仿宋" w:eastAsia="华文仿宋" w:cs="华文仿宋"/>
          <w:sz w:val="24"/>
          <w:highlight w:val="none"/>
        </w:rPr>
        <w:t>西安理工大学指定位置________________________________</w:t>
      </w:r>
    </w:p>
    <w:p w14:paraId="14D77E18">
      <w:pPr>
        <w:spacing w:line="360" w:lineRule="auto"/>
        <w:ind w:firstLine="480" w:firstLineChars="200"/>
        <w:rPr>
          <w:rFonts w:hint="eastAsia" w:ascii="仿宋_GB2312" w:hAnsi="仿宋_GB2312" w:eastAsia="仿宋_GB2312" w:cs="仿宋_GB2312"/>
          <w:sz w:val="24"/>
          <w:highlight w:val="none"/>
        </w:rPr>
      </w:pPr>
      <w:r>
        <w:rPr>
          <w:rFonts w:hint="eastAsia" w:ascii="华文仿宋" w:hAnsi="华文仿宋" w:eastAsia="华文仿宋" w:cs="华文仿宋"/>
          <w:b/>
          <w:bCs/>
          <w:sz w:val="24"/>
          <w:highlight w:val="none"/>
        </w:rPr>
        <w:t>3.运输与保险责任：</w:t>
      </w:r>
      <w:r>
        <w:rPr>
          <w:rFonts w:hint="eastAsia" w:ascii="仿宋_GB2312" w:hAnsi="仿宋_GB2312" w:eastAsia="仿宋_GB2312" w:cs="仿宋_GB2312"/>
          <w:color w:val="000000"/>
          <w:sz w:val="24"/>
          <w:highlight w:val="none"/>
        </w:rPr>
        <w:t>乙方负责本合同项下设备的包装、全程运输、装卸、保险事宜并承担相应费用。定制产品设备毁损、灭失的风险，自设备在交付地点完成安装调试并经甲方最终验收合格后转移至甲方；非定制产品设备毁损、灭失的风险，自设备在交付地点经甲方授权代表签收后转移至甲方。</w:t>
      </w:r>
    </w:p>
    <w:p w14:paraId="50A91A9D">
      <w:pPr>
        <w:spacing w:line="360" w:lineRule="auto"/>
        <w:ind w:firstLine="480" w:firstLineChars="200"/>
        <w:rPr>
          <w:rFonts w:hint="eastAsia" w:ascii="仿宋_GB2312" w:hAnsi="仿宋_GB2312" w:cs="仿宋_GB2312"/>
          <w:color w:val="000000"/>
          <w:sz w:val="24"/>
          <w:highlight w:val="none"/>
        </w:rPr>
      </w:pPr>
      <w:r>
        <w:rPr>
          <w:rFonts w:hint="eastAsia" w:ascii="仿宋_GB2312" w:hAnsi="仿宋_GB2312" w:eastAsia="仿宋_GB2312" w:cs="仿宋_GB2312"/>
          <w:color w:val="000000"/>
          <w:sz w:val="24"/>
          <w:highlight w:val="none"/>
        </w:rPr>
        <w:t>4.乙方交付设备时需同时移交技术文件及商业单证，包括但不限于保险单、装箱单、产品合格证、质量保证书、使用说明书、保修卡、原产地证明书、电路图、维护手册、安装图纸等，否则甲方</w:t>
      </w:r>
      <w:r>
        <w:rPr>
          <w:rFonts w:ascii="仿宋_GB2312" w:hAnsi="仿宋_GB2312" w:eastAsia="仿宋_GB2312" w:cs="仿宋_GB2312"/>
          <w:color w:val="000000"/>
          <w:sz w:val="24"/>
          <w:highlight w:val="none"/>
        </w:rPr>
        <w:t>有权拒收且不视为</w:t>
      </w:r>
      <w:r>
        <w:rPr>
          <w:rFonts w:hint="eastAsia" w:ascii="仿宋_GB2312" w:hAnsi="仿宋_GB2312" w:eastAsia="仿宋_GB2312" w:cs="仿宋_GB2312"/>
          <w:color w:val="000000"/>
          <w:sz w:val="24"/>
          <w:highlight w:val="none"/>
        </w:rPr>
        <w:t>乙方</w:t>
      </w:r>
      <w:r>
        <w:rPr>
          <w:rFonts w:ascii="仿宋_GB2312" w:hAnsi="仿宋_GB2312" w:eastAsia="仿宋_GB2312" w:cs="仿宋_GB2312"/>
          <w:color w:val="000000"/>
          <w:sz w:val="24"/>
          <w:highlight w:val="none"/>
        </w:rPr>
        <w:t>完成交付</w:t>
      </w:r>
      <w:r>
        <w:rPr>
          <w:rFonts w:hint="eastAsia" w:ascii="仿宋_GB2312" w:hAnsi="仿宋_GB2312" w:eastAsia="仿宋_GB2312" w:cs="仿宋_GB2312"/>
          <w:color w:val="000000"/>
          <w:sz w:val="24"/>
          <w:highlight w:val="none"/>
        </w:rPr>
        <w:t>。</w:t>
      </w:r>
    </w:p>
    <w:p w14:paraId="28FBCAB0">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三、支付方式</w:t>
      </w:r>
      <w:r>
        <w:rPr>
          <w:rFonts w:hint="eastAsia" w:ascii="仿宋_GB2312" w:hAnsi="仿宋_GB2312" w:eastAsia="仿宋_GB2312" w:cs="仿宋_GB2312"/>
          <w:sz w:val="24"/>
          <w:highlight w:val="none"/>
        </w:rPr>
        <w:t>：</w:t>
      </w:r>
    </w:p>
    <w:p w14:paraId="34DABB51">
      <w:pPr>
        <w:spacing w:line="360" w:lineRule="auto"/>
        <w:ind w:firstLine="480" w:firstLineChars="200"/>
        <w:rPr>
          <w:rFonts w:hint="eastAsia" w:ascii="仿宋_GB2312" w:hAnsi="仿宋_GB2312" w:eastAsia="仿宋_GB2312" w:cs="仿宋_GB2312"/>
          <w:sz w:val="24"/>
          <w:highlight w:val="none"/>
          <w:lang w:eastAsia="zh-Hans"/>
        </w:rPr>
      </w:pPr>
      <w:r>
        <w:rPr>
          <w:rFonts w:hint="eastAsia" w:ascii="仿宋_GB2312" w:hAnsi="仿宋_GB2312" w:eastAsia="仿宋_GB2312" w:cs="仿宋_GB2312"/>
          <w:sz w:val="24"/>
          <w:highlight w:val="none"/>
          <w:lang w:val="en-US" w:eastAsia="zh-Hans"/>
        </w:rPr>
        <w:t>乙方按照合同规定期限内供货、调试完成，经甲方最终验收合格</w:t>
      </w:r>
      <w:r>
        <w:rPr>
          <w:rFonts w:hint="eastAsia" w:ascii="仿宋_GB2312" w:hAnsi="仿宋_GB2312" w:eastAsia="仿宋_GB2312" w:cs="仿宋_GB2312"/>
          <w:sz w:val="24"/>
          <w:highlight w:val="none"/>
          <w:lang w:val="en-US" w:eastAsia="zh-CN"/>
        </w:rPr>
        <w:t>，</w:t>
      </w:r>
      <w:r>
        <w:rPr>
          <w:rFonts w:hint="eastAsia" w:ascii="仿宋_GB2312" w:hAnsi="仿宋_GB2312" w:eastAsia="仿宋_GB2312" w:cs="仿宋_GB2312"/>
          <w:sz w:val="24"/>
          <w:highlight w:val="none"/>
          <w:lang w:eastAsia="zh-Hans"/>
        </w:rPr>
        <w:t>达到付款条件起</w:t>
      </w:r>
      <w:r>
        <w:rPr>
          <w:rFonts w:hint="eastAsia" w:ascii="仿宋_GB2312" w:hAnsi="仿宋_GB2312" w:eastAsia="仿宋_GB2312" w:cs="仿宋_GB2312"/>
          <w:sz w:val="24"/>
          <w:highlight w:val="none"/>
          <w:lang w:val="en-US" w:eastAsia="zh-CN"/>
        </w:rPr>
        <w:t>20</w:t>
      </w:r>
      <w:r>
        <w:rPr>
          <w:rFonts w:hint="eastAsia" w:ascii="仿宋_GB2312" w:hAnsi="仿宋_GB2312" w:eastAsia="仿宋_GB2312" w:cs="仿宋_GB2312"/>
          <w:sz w:val="24"/>
          <w:highlight w:val="none"/>
          <w:lang w:val="en-US" w:eastAsia="zh-Hans"/>
        </w:rPr>
        <w:t>个工作日内</w:t>
      </w:r>
      <w:r>
        <w:rPr>
          <w:rFonts w:hint="eastAsia" w:ascii="仿宋_GB2312" w:hAnsi="仿宋_GB2312" w:eastAsia="仿宋_GB2312" w:cs="仿宋_GB2312"/>
          <w:sz w:val="24"/>
          <w:highlight w:val="none"/>
          <w:lang w:eastAsia="zh-Hans"/>
        </w:rPr>
        <w:t>，支付合同总金额的</w:t>
      </w:r>
      <w:r>
        <w:rPr>
          <w:rFonts w:hint="eastAsia" w:ascii="仿宋_GB2312" w:hAnsi="仿宋_GB2312" w:eastAsia="仿宋_GB2312" w:cs="仿宋_GB2312"/>
          <w:sz w:val="24"/>
          <w:highlight w:val="none"/>
          <w:lang w:val="en-US" w:eastAsia="zh-CN"/>
        </w:rPr>
        <w:t>100</w:t>
      </w:r>
      <w:r>
        <w:rPr>
          <w:rFonts w:hint="eastAsia" w:ascii="仿宋_GB2312" w:hAnsi="仿宋_GB2312" w:eastAsia="仿宋_GB2312" w:cs="仿宋_GB2312"/>
          <w:sz w:val="24"/>
          <w:highlight w:val="none"/>
          <w:lang w:eastAsia="zh-Hans"/>
        </w:rPr>
        <w:t>.00%。</w:t>
      </w:r>
    </w:p>
    <w:p w14:paraId="09915236">
      <w:pPr>
        <w:spacing w:line="360" w:lineRule="auto"/>
        <w:ind w:firstLine="482" w:firstLineChars="200"/>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四、履约保证金：</w:t>
      </w:r>
      <w:r>
        <w:rPr>
          <w:rFonts w:hint="eastAsia" w:ascii="仿宋_GB2312" w:hAnsi="仿宋_GB2312" w:eastAsia="仿宋_GB2312" w:cs="仿宋_GB2312"/>
          <w:sz w:val="24"/>
          <w:highlight w:val="none"/>
        </w:rPr>
        <w:t>合同签订后5个工作日内，乙方向甲方支付______元（大写：______________）作为履约保证金。合同标的物经甲方</w:t>
      </w:r>
      <w:r>
        <w:rPr>
          <w:rFonts w:hint="eastAsia" w:ascii="宋体" w:hAnsi="宋体" w:eastAsia="宋体" w:cs="宋体"/>
          <w:sz w:val="24"/>
          <w:highlight w:val="none"/>
        </w:rPr>
        <w:t>最终</w:t>
      </w:r>
      <w:r>
        <w:rPr>
          <w:rFonts w:hint="eastAsia" w:ascii="仿宋_GB2312" w:hAnsi="仿宋_GB2312" w:eastAsia="仿宋_GB2312" w:cs="仿宋_GB2312"/>
          <w:sz w:val="24"/>
          <w:highlight w:val="none"/>
        </w:rPr>
        <w:t>验收合格后5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7B14DC1C">
      <w:pPr>
        <w:spacing w:line="360" w:lineRule="auto"/>
        <w:ind w:firstLine="482" w:firstLineChars="200"/>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五、安装与调试</w:t>
      </w:r>
    </w:p>
    <w:p w14:paraId="2B88A795">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1.安装调试服务：</w:t>
      </w:r>
      <w:r>
        <w:rPr>
          <w:rFonts w:hint="eastAsia" w:ascii="仿宋_GB2312" w:hAnsi="仿宋_GB2312" w:eastAsia="仿宋_GB2312" w:cs="仿宋_GB2312"/>
          <w:sz w:val="24"/>
          <w:highlight w:val="none"/>
        </w:rPr>
        <w:t>如设备需要安装调试，乙方应在设备运抵交付至甲方指定地点后______日内，派遣合格技术人员免费完成安装、调试及基础校准等工作，确保设备达到合同约定的技术状态并通知甲方进行初步验收。若设备无需安装调试，乙方应在本合同签订后______日内向甲方出具书面说明。</w:t>
      </w:r>
    </w:p>
    <w:p w14:paraId="0B84AA83">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2.安装环境配合：</w:t>
      </w:r>
      <w:r>
        <w:rPr>
          <w:rFonts w:hint="eastAsia" w:ascii="仿宋_GB2312" w:hAnsi="仿宋_GB2312" w:eastAsia="仿宋_GB2312" w:cs="仿宋_GB2312"/>
          <w:sz w:val="24"/>
          <w:highlight w:val="none"/>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74D6C2CF">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六、验收</w:t>
      </w:r>
    </w:p>
    <w:p w14:paraId="455CE96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7088768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3502914B">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3</w:t>
      </w:r>
      <w:r>
        <w:rPr>
          <w:rFonts w:hint="eastAsia" w:ascii="仿宋_GB2312" w:hAnsi="仿宋_GB2312" w:eastAsia="仿宋_GB2312" w:cs="仿宋_GB2312"/>
          <w:sz w:val="24"/>
          <w:highlight w:val="none"/>
        </w:rPr>
        <w:t>.验收标准：以本合同约定的采购参数、技术要求、招标文件、投标文件及国家相关质量标准为依据。</w:t>
      </w:r>
    </w:p>
    <w:p w14:paraId="583AFA5F">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4.</w:t>
      </w:r>
      <w:r>
        <w:rPr>
          <w:rFonts w:hint="eastAsia" w:ascii="仿宋_GB2312" w:hAnsi="仿宋_GB2312" w:eastAsia="仿宋_GB2312" w:cs="仿宋_GB2312"/>
          <w:sz w:val="24"/>
          <w:highlight w:val="none"/>
        </w:rPr>
        <w:t>本合同采取以下第_____种方式进行验收。</w:t>
      </w:r>
    </w:p>
    <w:p w14:paraId="4B7BBD13">
      <w:pPr>
        <w:spacing w:line="360" w:lineRule="auto"/>
        <w:ind w:firstLine="482" w:firstLineChars="200"/>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（1）一次性验收</w:t>
      </w:r>
    </w:p>
    <w:p w14:paraId="38E8C72D">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59880EF4">
      <w:pPr>
        <w:spacing w:line="360" w:lineRule="auto"/>
        <w:ind w:firstLine="482" w:firstLineChars="200"/>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b/>
          <w:bCs/>
          <w:sz w:val="24"/>
          <w:highlight w:val="none"/>
          <w:lang w:val="en-US" w:eastAsia="zh-CN"/>
        </w:rPr>
        <w:t>2</w:t>
      </w: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b/>
          <w:bCs/>
          <w:sz w:val="24"/>
          <w:highlight w:val="none"/>
        </w:rPr>
        <w:t>初步验收+最终验收</w:t>
      </w:r>
    </w:p>
    <w:p w14:paraId="50A71834">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1E1AC3B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最终验收：初步验收合格后，进入为期_____日的试运行期。试运行期</w:t>
      </w:r>
      <w:r>
        <w:rPr>
          <w:rFonts w:hint="eastAsia" w:ascii="仿宋_GB2312" w:hAnsi="仿宋_GB2312" w:eastAsia="仿宋_GB2312" w:cs="仿宋_GB2312"/>
          <w:sz w:val="24"/>
          <w:highlight w:val="none"/>
          <w:lang w:eastAsia="zh-CN"/>
        </w:rPr>
        <w:t>满后</w:t>
      </w:r>
      <w:r>
        <w:rPr>
          <w:rFonts w:hint="eastAsia" w:ascii="仿宋_GB2312" w:hAnsi="仿宋_GB2312" w:eastAsia="仿宋_GB2312" w:cs="仿宋_GB2312"/>
          <w:sz w:val="24"/>
          <w:highlight w:val="none"/>
        </w:rPr>
        <w:t>，设备性能稳定且符合合同全部要求的，由甲方组织最终验收。大型或复杂项目，甲方有权邀请国家认可的第三方机构参加验收。</w:t>
      </w:r>
    </w:p>
    <w:p w14:paraId="4752EB49">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最终验收应在试运行期结束后_____个工作日内完成。</w:t>
      </w:r>
    </w:p>
    <w:p w14:paraId="3A188F4B">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3.验收（含初验、终验）合格以甲乙双方共同签署的《验收报告》为准。</w:t>
      </w:r>
    </w:p>
    <w:p w14:paraId="5B701CA5">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13C4A715">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w:t>
      </w:r>
      <w:r>
        <w:rPr>
          <w:rFonts w:hint="eastAsia" w:ascii="仿宋_GB2312" w:hAnsi="仿宋_GB2312" w:eastAsia="仿宋_GB2312" w:cs="仿宋_GB2312"/>
          <w:sz w:val="24"/>
          <w:highlight w:val="none"/>
          <w:lang w:val="en-US" w:eastAsia="zh-CN"/>
        </w:rPr>
        <w:t>造成的延误</w:t>
      </w:r>
      <w:r>
        <w:rPr>
          <w:rFonts w:hint="eastAsia" w:ascii="仿宋_GB2312" w:hAnsi="仿宋_GB2312" w:eastAsia="仿宋_GB2312" w:cs="仿宋_GB2312"/>
          <w:sz w:val="24"/>
          <w:highlight w:val="none"/>
        </w:rPr>
        <w:t>由乙方按照本合同第九条第2款约定承担逾期完成验收责任。</w:t>
      </w:r>
    </w:p>
    <w:p w14:paraId="3DE91F99">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七、质量</w:t>
      </w:r>
      <w:r>
        <w:rPr>
          <w:rFonts w:hint="eastAsia" w:ascii="宋体" w:hAnsi="宋体" w:eastAsia="宋体" w:cs="宋体"/>
          <w:b/>
          <w:bCs/>
          <w:sz w:val="24"/>
          <w:highlight w:val="none"/>
        </w:rPr>
        <w:t>保证</w:t>
      </w:r>
      <w:r>
        <w:rPr>
          <w:rFonts w:hint="eastAsia" w:ascii="仿宋_GB2312" w:hAnsi="仿宋_GB2312" w:eastAsia="仿宋_GB2312" w:cs="仿宋_GB2312"/>
          <w:b/>
          <w:bCs/>
          <w:sz w:val="24"/>
          <w:highlight w:val="none"/>
        </w:rPr>
        <w:t>及</w:t>
      </w:r>
      <w:r>
        <w:rPr>
          <w:rFonts w:hint="eastAsia" w:ascii="宋体" w:hAnsi="宋体" w:eastAsia="宋体" w:cs="宋体"/>
          <w:b/>
          <w:bCs/>
          <w:sz w:val="24"/>
          <w:highlight w:val="none"/>
        </w:rPr>
        <w:t>售后服务</w:t>
      </w:r>
    </w:p>
    <w:p w14:paraId="1089597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1.合同标的物必须为全新未使用过的、来源合法，符合国家或有关行业质量标准，且完全符合招标文件、本合同及附件约定的技术参数、规格型号要求。</w:t>
      </w:r>
    </w:p>
    <w:p w14:paraId="72FB4AB7">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68310542">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3.乙方承诺提供______年（或不低于______年）的免费软件升级、技术咨询等技术支持服务。质保期外，乙方应以优惠价格□/免费□提供终身维修服务与优惠价□/成本价□的备品备件供应。</w:t>
      </w:r>
    </w:p>
    <w:p w14:paraId="3E4C18D3">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rPr>
        <w:t>4.______</w:t>
      </w:r>
    </w:p>
    <w:p w14:paraId="29025251">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八、产权与保密</w:t>
      </w:r>
    </w:p>
    <w:p w14:paraId="1C9C0957">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1.设备知识产权声明</w:t>
      </w:r>
      <w:r>
        <w:rPr>
          <w:rFonts w:hint="eastAsia" w:ascii="仿宋_GB2312" w:hAnsi="仿宋_GB2312" w:eastAsia="仿宋_GB2312" w:cs="仿宋_GB2312"/>
          <w:sz w:val="24"/>
          <w:highlight w:val="none"/>
        </w:rPr>
        <w:t>：乙方保证</w:t>
      </w:r>
      <w:r>
        <w:rPr>
          <w:rFonts w:hint="eastAsia" w:ascii="仿宋_GB2312" w:hAnsi="仿宋_GB2312" w:eastAsia="仿宋_GB2312" w:cs="仿宋_GB2312"/>
          <w:sz w:val="24"/>
          <w:highlight w:val="none"/>
          <w:lang w:val="en-US" w:eastAsia="zh-CN"/>
        </w:rPr>
        <w:t>所供</w:t>
      </w:r>
      <w:r>
        <w:rPr>
          <w:rFonts w:hint="eastAsia" w:ascii="仿宋_GB2312" w:hAnsi="仿宋_GB2312" w:eastAsia="仿宋_GB2312" w:cs="仿宋_GB2312"/>
          <w:sz w:val="24"/>
          <w:highlight w:val="none"/>
        </w:rPr>
        <w:t>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0F4AD668">
      <w:pPr>
        <w:spacing w:line="360" w:lineRule="auto"/>
        <w:ind w:firstLine="482" w:firstLineChars="200"/>
        <w:rPr>
          <w:rFonts w:hint="eastAsia" w:ascii="仿宋_GB2312" w:hAnsi="仿宋_GB2312" w:eastAsia="宋体" w:cs="仿宋_GB2312"/>
          <w:sz w:val="24"/>
          <w:highlight w:val="none"/>
        </w:rPr>
      </w:pPr>
      <w:r>
        <w:rPr>
          <w:rFonts w:hint="eastAsia" w:ascii="仿宋_GB2312" w:hAnsi="仿宋_GB2312" w:eastAsia="仿宋_GB2312" w:cs="仿宋_GB2312"/>
          <w:b/>
          <w:bCs/>
          <w:sz w:val="24"/>
          <w:highlight w:val="none"/>
        </w:rPr>
        <w:t>2.保密义务</w:t>
      </w:r>
      <w:r>
        <w:rPr>
          <w:rFonts w:hint="eastAsia" w:ascii="仿宋_GB2312" w:hAnsi="仿宋_GB2312" w:eastAsia="仿宋_GB2312" w:cs="仿宋_GB2312"/>
          <w:sz w:val="24"/>
          <w:highlight w:val="none"/>
        </w:rPr>
        <w:t>：双方应对因履行本合同而获知的对方的技术资料、技术参数、采购价格、商业计划、内部流程等未公开信息承担保密义务。</w:t>
      </w:r>
    </w:p>
    <w:p w14:paraId="245691DF">
      <w:pPr>
        <w:spacing w:line="360" w:lineRule="auto"/>
        <w:ind w:firstLine="482" w:firstLineChars="200"/>
        <w:rPr>
          <w:rFonts w:hint="eastAsia" w:ascii="仿宋_GB2312" w:hAnsi="仿宋_GB2312" w:eastAsia="仿宋_GB2312" w:cs="仿宋_GB2312"/>
          <w:sz w:val="24"/>
          <w:highlight w:val="none"/>
        </w:rPr>
      </w:pPr>
      <w:r>
        <w:rPr>
          <w:rFonts w:hint="eastAsia" w:ascii="宋体" w:hAnsi="宋体" w:eastAsia="宋体" w:cs="宋体"/>
          <w:b/>
          <w:bCs/>
          <w:sz w:val="24"/>
          <w:highlight w:val="none"/>
          <w:lang w:val="en-US" w:eastAsia="zh-CN"/>
        </w:rPr>
        <w:t>九</w:t>
      </w:r>
      <w:r>
        <w:rPr>
          <w:rFonts w:hint="eastAsia" w:ascii="仿宋_GB2312" w:hAnsi="仿宋_GB2312" w:eastAsia="仿宋_GB2312" w:cs="仿宋_GB2312"/>
          <w:b/>
          <w:bCs/>
          <w:sz w:val="24"/>
          <w:highlight w:val="none"/>
        </w:rPr>
        <w:t>、违约责任</w:t>
      </w:r>
      <w:r>
        <w:rPr>
          <w:rFonts w:hint="eastAsia" w:ascii="仿宋_GB2312" w:hAnsi="仿宋_GB2312" w:eastAsia="仿宋_GB2312" w:cs="仿宋_GB2312"/>
          <w:sz w:val="24"/>
          <w:highlight w:val="none"/>
        </w:rPr>
        <w:t>：</w:t>
      </w:r>
    </w:p>
    <w:p w14:paraId="2A1EAAC7">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1.合同违约情况按《中华人民共和国民法典》中的相关条款执行</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rPr>
        <w:t>甲乙双方必须遵守本合同并执行合同中的各项规定，保证本合同的正常履行</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rPr>
        <w:t>甲乙双方均应遵循诚信原则，根据合同的性质、目的全面履行合同约定义务，任何一方违反本合同约定，均应承担相应的违约责任。</w:t>
      </w:r>
    </w:p>
    <w:p w14:paraId="319EDFFF">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2.乙方未按本合同约定时间交付设备、完成安装调试、完成验收的，每逾期一日，应向甲方支付合同总金额____的违约金；</w:t>
      </w:r>
      <w:r>
        <w:rPr>
          <w:rFonts w:hint="eastAsia" w:ascii="仿宋_GB2312" w:hAnsi="仿宋_GB2312" w:eastAsia="仿宋_GB2312" w:cs="仿宋_GB2312"/>
          <w:sz w:val="24"/>
          <w:highlight w:val="none"/>
          <w:lang w:val="en-US" w:eastAsia="zh-CN"/>
        </w:rPr>
        <w:t>但不超过合同总金额的10%。</w:t>
      </w:r>
      <w:r>
        <w:rPr>
          <w:rFonts w:hint="eastAsia" w:ascii="仿宋_GB2312" w:hAnsi="仿宋_GB2312" w:eastAsia="仿宋_GB2312" w:cs="仿宋_GB2312"/>
          <w:sz w:val="24"/>
          <w:highlight w:val="none"/>
        </w:rPr>
        <w:t>延迟超过___日的，</w:t>
      </w:r>
      <w:r>
        <w:rPr>
          <w:rFonts w:hint="eastAsia" w:ascii="仿宋_GB2312" w:hAnsi="仿宋_GB2312" w:eastAsia="仿宋_GB2312" w:cs="仿宋_GB2312"/>
          <w:sz w:val="24"/>
          <w:highlight w:val="none"/>
          <w:lang w:val="en-US" w:eastAsia="zh-CN"/>
        </w:rPr>
        <w:t>则视为乙方不能交货，</w:t>
      </w:r>
      <w:r>
        <w:rPr>
          <w:rFonts w:hint="eastAsia" w:ascii="仿宋_GB2312" w:hAnsi="仿宋_GB2312" w:eastAsia="仿宋_GB2312" w:cs="仿宋_GB2312"/>
          <w:sz w:val="24"/>
          <w:highlight w:val="none"/>
        </w:rPr>
        <w:t>甲方有权单方解除合同，要求退货，乙方除返还甲方已支付款项外，还应向甲方支付合同总金额____的违约金，如该违约金不足以弥补甲方损失的，乙方还应予以赔偿。</w:t>
      </w:r>
    </w:p>
    <w:p w14:paraId="30090F6E">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3</w:t>
      </w:r>
      <w:r>
        <w:rPr>
          <w:rFonts w:hint="eastAsia" w:ascii="仿宋_GB2312" w:hAnsi="仿宋_GB2312" w:eastAsia="仿宋_GB2312" w:cs="仿宋_GB2312"/>
          <w:sz w:val="24"/>
          <w:highlight w:val="none"/>
        </w:rPr>
        <w:t>.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62133808">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4</w:t>
      </w:r>
      <w:r>
        <w:rPr>
          <w:rFonts w:hint="eastAsia" w:ascii="仿宋_GB2312" w:hAnsi="仿宋_GB2312" w:eastAsia="仿宋_GB2312" w:cs="仿宋_GB2312"/>
          <w:sz w:val="24"/>
          <w:highlight w:val="none"/>
        </w:rPr>
        <w:t>.在乙方依约履行本合同的前提下，甲方因自身原因逾期向乙方支付合同款项的，应按全国银行间同业拆借中心公布的同期贷款市场报价利率（LPR）和逾期天数向乙方支付逾期付款部分的利息。</w:t>
      </w:r>
    </w:p>
    <w:p w14:paraId="7A4DE4D7">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5</w:t>
      </w:r>
      <w:r>
        <w:rPr>
          <w:rFonts w:hint="eastAsia" w:ascii="仿宋_GB2312" w:hAnsi="仿宋_GB2312" w:eastAsia="仿宋_GB2312" w:cs="仿宋_GB2312"/>
          <w:sz w:val="24"/>
          <w:highlight w:val="none"/>
        </w:rPr>
        <w:t>.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6A8B5D3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6</w:t>
      </w:r>
      <w:r>
        <w:rPr>
          <w:rFonts w:hint="eastAsia" w:ascii="仿宋_GB2312" w:hAnsi="仿宋_GB2312" w:eastAsia="仿宋_GB2312" w:cs="仿宋_GB2312"/>
          <w:sz w:val="24"/>
          <w:highlight w:val="none"/>
        </w:rPr>
        <w:t>.任何一方违反本合同约定，给对方造成损失的，应赔偿对方全部直接和间接损失，包括但不限于诉讼费、律师费、鉴定费、保全费、差旅费等。</w:t>
      </w:r>
    </w:p>
    <w:p w14:paraId="58573BDE">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7</w:t>
      </w:r>
      <w:r>
        <w:rPr>
          <w:rFonts w:hint="eastAsia" w:ascii="仿宋_GB2312" w:hAnsi="仿宋_GB2312" w:eastAsia="仿宋_GB2312" w:cs="仿宋_GB2312"/>
          <w:sz w:val="24"/>
          <w:highlight w:val="none"/>
        </w:rPr>
        <w:t>.本合同项下约定的所有甲方应付款项，若因乙方违约（包括但不限于质量、交付、安装调试、验收等问题）导致甲方付款条件未成就或付款时间延后的，不视为甲方违约，乙方仍应承担相应的违约责任。</w:t>
      </w:r>
    </w:p>
    <w:p w14:paraId="073F8DB1">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8</w:t>
      </w:r>
      <w:r>
        <w:rPr>
          <w:rFonts w:hint="eastAsia" w:ascii="仿宋_GB2312" w:hAnsi="仿宋_GB2312" w:eastAsia="仿宋_GB2312" w:cs="仿宋_GB2312"/>
          <w:sz w:val="24"/>
          <w:highlight w:val="none"/>
        </w:rPr>
        <w:t>.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74739F1F">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9</w:t>
      </w:r>
      <w:r>
        <w:rPr>
          <w:rFonts w:hint="eastAsia" w:ascii="仿宋_GB2312" w:hAnsi="仿宋_GB2312" w:eastAsia="仿宋_GB2312" w:cs="仿宋_GB2312"/>
          <w:sz w:val="24"/>
          <w:highlight w:val="none"/>
        </w:rPr>
        <w:t>.未按合同要求提供设备或提供的设备质量或规格不能满足技术要求，甲方有权终止合同并对乙方违约行为进行追究，同时按政府采购法的有关规定进行相应的处罚；</w:t>
      </w:r>
    </w:p>
    <w:p w14:paraId="106EB01E">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10</w:t>
      </w:r>
      <w:r>
        <w:rPr>
          <w:rFonts w:hint="eastAsia" w:ascii="仿宋_GB2312" w:hAnsi="仿宋_GB2312" w:eastAsia="仿宋_GB2312" w:cs="仿宋_GB2312"/>
          <w:sz w:val="24"/>
          <w:highlight w:val="none"/>
        </w:rPr>
        <w:t>.招标文件、投标文件规定的其他违约情形；</w:t>
      </w:r>
    </w:p>
    <w:p w14:paraId="60BA79DD">
      <w:pPr>
        <w:spacing w:line="360" w:lineRule="auto"/>
        <w:ind w:firstLine="480" w:firstLineChars="200"/>
        <w:rPr>
          <w:rFonts w:hint="eastAsia" w:ascii="仿宋_GB2312" w:hAnsi="仿宋_GB2312" w:eastAsia="仿宋_GB2312" w:cs="仿宋_GB2312"/>
          <w:sz w:val="24"/>
          <w:highlight w:val="none"/>
          <w:u w:val="single"/>
          <w:lang w:val="en-US" w:eastAsia="zh-CN"/>
        </w:rPr>
      </w:pPr>
      <w:r>
        <w:rPr>
          <w:rFonts w:hint="eastAsia" w:ascii="仿宋_GB2312" w:hAnsi="仿宋_GB2312" w:cs="仿宋_GB2312"/>
          <w:sz w:val="24"/>
          <w:highlight w:val="none"/>
          <w:lang w:val="en-US" w:eastAsia="zh-CN"/>
        </w:rPr>
        <w:t>11</w:t>
      </w:r>
      <w:r>
        <w:rPr>
          <w:rFonts w:hint="eastAsia" w:ascii="仿宋_GB2312" w:hAnsi="仿宋_GB2312" w:eastAsia="仿宋_GB2312" w:cs="仿宋_GB2312"/>
          <w:sz w:val="24"/>
          <w:highlight w:val="none"/>
        </w:rPr>
        <w:t>.其他：</w:t>
      </w:r>
    </w:p>
    <w:p w14:paraId="7C04EF2A">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十一、违约解除合同</w:t>
      </w:r>
      <w:r>
        <w:rPr>
          <w:rFonts w:hint="eastAsia" w:ascii="仿宋_GB2312" w:hAnsi="仿宋_GB2312" w:eastAsia="仿宋_GB2312" w:cs="仿宋_GB2312"/>
          <w:sz w:val="24"/>
          <w:highlight w:val="none"/>
        </w:rPr>
        <w:t>：出现下列情形之一的，视为乙方违约。甲方可向乙方发出书面通知，部分或全部终止合同，同时保留向乙方索赔的权利。</w:t>
      </w:r>
    </w:p>
    <w:p w14:paraId="24BC2DBF">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75E1ECE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2.乙方未能履行合同规定的</w:t>
      </w:r>
      <w:r>
        <w:rPr>
          <w:rFonts w:hint="eastAsia" w:ascii="仿宋_GB2312" w:hAnsi="仿宋_GB2312" w:eastAsia="仿宋_GB2312" w:cs="仿宋_GB2312"/>
          <w:sz w:val="24"/>
          <w:highlight w:val="none"/>
          <w:lang w:eastAsia="zh-CN"/>
        </w:rPr>
        <w:t>其他主要</w:t>
      </w:r>
      <w:r>
        <w:rPr>
          <w:rFonts w:hint="eastAsia" w:ascii="仿宋_GB2312" w:hAnsi="仿宋_GB2312" w:eastAsia="仿宋_GB2312" w:cs="仿宋_GB2312"/>
          <w:sz w:val="24"/>
          <w:highlight w:val="none"/>
        </w:rPr>
        <w:t>义务，经甲方书面催告后在合理期限内仍未履行，或该等违约行为导致甲方合同目的无法实现的；</w:t>
      </w:r>
    </w:p>
    <w:p w14:paraId="73163C9D">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3.乙方在本合同履行过程中有欺诈行为的；</w:t>
      </w:r>
    </w:p>
    <w:p w14:paraId="647BE8DA">
      <w:pPr>
        <w:spacing w:line="360" w:lineRule="auto"/>
        <w:ind w:firstLine="480" w:firstLineChars="200"/>
        <w:rPr>
          <w:rFonts w:hint="eastAsia" w:ascii="仿宋_GB2312" w:hAnsi="仿宋_GB2312" w:eastAsia="仿宋_GB2312" w:cs="仿宋_GB2312"/>
          <w:sz w:val="24"/>
          <w:highlight w:val="none"/>
          <w:u w:val="single"/>
          <w:lang w:eastAsia="zh-CN"/>
        </w:rPr>
      </w:pPr>
      <w:r>
        <w:rPr>
          <w:rFonts w:hint="eastAsia" w:ascii="仿宋_GB2312" w:hAnsi="仿宋_GB2312" w:eastAsia="仿宋_GB2312" w:cs="仿宋_GB2312"/>
          <w:sz w:val="24"/>
          <w:highlight w:val="none"/>
        </w:rPr>
        <w:t>4.其他：</w:t>
      </w:r>
    </w:p>
    <w:p w14:paraId="2675B473">
      <w:pPr>
        <w:spacing w:line="360" w:lineRule="auto"/>
        <w:ind w:firstLine="480" w:firstLineChars="200"/>
        <w:rPr>
          <w:rFonts w:hint="eastAsia" w:ascii="仿宋_GB2312" w:hAnsi="仿宋_GB2312" w:cs="仿宋_GB2312"/>
          <w:b/>
          <w:bCs/>
          <w:color w:val="000000"/>
          <w:sz w:val="24"/>
          <w:highlight w:val="none"/>
        </w:rPr>
      </w:pPr>
      <w:r>
        <w:rPr>
          <w:rFonts w:hint="eastAsia" w:ascii="仿宋_GB2312" w:hAnsi="仿宋_GB2312" w:eastAsia="仿宋_GB2312" w:cs="仿宋_GB2312"/>
          <w:sz w:val="24"/>
          <w:highlight w:val="none"/>
        </w:rPr>
        <w:t>本合同项下约定的所有甲方应付款项，若因乙方违约（包括但不限于质量、交付、安装调试等问题）导致甲方付款条件未成就或付款时间延后的，不视为甲方违约，乙方仍应承担相应的违约责任。</w:t>
      </w:r>
    </w:p>
    <w:p w14:paraId="0AE7ED11">
      <w:pPr>
        <w:spacing w:line="360" w:lineRule="auto"/>
        <w:ind w:firstLine="482" w:firstLineChars="200"/>
        <w:rPr>
          <w:rFonts w:hint="eastAsia" w:ascii="仿宋_GB2312" w:hAnsi="仿宋_GB2312" w:cs="仿宋_GB2312"/>
          <w:b/>
          <w:bCs/>
          <w:color w:val="000000"/>
          <w:sz w:val="24"/>
          <w:highlight w:val="none"/>
        </w:rPr>
      </w:pPr>
      <w:r>
        <w:rPr>
          <w:rFonts w:hint="eastAsia" w:ascii="仿宋_GB2312" w:hAnsi="仿宋_GB2312" w:cs="仿宋_GB2312"/>
          <w:b/>
          <w:bCs/>
          <w:color w:val="000000"/>
          <w:sz w:val="24"/>
          <w:highlight w:val="none"/>
        </w:rPr>
        <w:t>十</w:t>
      </w:r>
      <w:r>
        <w:rPr>
          <w:rFonts w:hint="eastAsia" w:ascii="仿宋_GB2312" w:hAnsi="仿宋_GB2312" w:cs="仿宋_GB2312"/>
          <w:b/>
          <w:bCs/>
          <w:color w:val="000000"/>
          <w:sz w:val="24"/>
          <w:highlight w:val="none"/>
          <w:lang w:val="en-US" w:eastAsia="zh-CN"/>
        </w:rPr>
        <w:t>二</w:t>
      </w:r>
      <w:r>
        <w:rPr>
          <w:rFonts w:hint="eastAsia" w:ascii="仿宋_GB2312" w:hAnsi="仿宋_GB2312" w:cs="仿宋_GB2312"/>
          <w:b/>
          <w:bCs/>
          <w:color w:val="000000"/>
          <w:sz w:val="24"/>
          <w:highlight w:val="none"/>
        </w:rPr>
        <w:t>、争议解决：</w:t>
      </w:r>
      <w:r>
        <w:rPr>
          <w:rFonts w:hint="eastAsia" w:ascii="仿宋_GB2312" w:hAnsi="仿宋_GB2312" w:eastAsia="仿宋_GB2312" w:cs="仿宋_GB2312"/>
          <w:sz w:val="24"/>
          <w:highlight w:val="none"/>
        </w:rPr>
        <w:t>合同履行过程中出现争议时，由双方友好协商解决。协商不成，向甲方所在地有管辖权的人民法院提起诉讼。</w:t>
      </w:r>
    </w:p>
    <w:p w14:paraId="7C3990AB">
      <w:pPr>
        <w:spacing w:line="360" w:lineRule="auto"/>
        <w:ind w:firstLine="482"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b/>
          <w:bCs/>
          <w:color w:val="000000"/>
          <w:sz w:val="24"/>
          <w:highlight w:val="none"/>
        </w:rPr>
        <w:t>十</w:t>
      </w:r>
      <w:r>
        <w:rPr>
          <w:rFonts w:hint="eastAsia" w:ascii="仿宋_GB2312" w:hAnsi="仿宋_GB2312" w:cs="仿宋_GB2312"/>
          <w:b/>
          <w:bCs/>
          <w:color w:val="000000"/>
          <w:sz w:val="24"/>
          <w:highlight w:val="none"/>
          <w:lang w:val="en-US" w:eastAsia="zh-CN"/>
        </w:rPr>
        <w:t>三</w:t>
      </w:r>
      <w:r>
        <w:rPr>
          <w:rFonts w:hint="eastAsia" w:ascii="仿宋_GB2312" w:hAnsi="仿宋_GB2312" w:eastAsia="仿宋_GB2312" w:cs="仿宋_GB2312"/>
          <w:b/>
          <w:bCs/>
          <w:color w:val="000000"/>
          <w:sz w:val="24"/>
          <w:highlight w:val="none"/>
        </w:rPr>
        <w:t>、其他约定事项</w:t>
      </w:r>
      <w:r>
        <w:rPr>
          <w:rFonts w:hint="eastAsia" w:ascii="仿宋_GB2312" w:hAnsi="仿宋_GB2312" w:eastAsia="仿宋_GB2312" w:cs="仿宋_GB2312"/>
          <w:color w:val="000000"/>
          <w:sz w:val="24"/>
          <w:highlight w:val="none"/>
        </w:rPr>
        <w:t>：</w:t>
      </w:r>
    </w:p>
    <w:p w14:paraId="0E22850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1.合同经双方签字盖章后生效。合同一式四份，甲方执三份，乙方执一份；</w:t>
      </w:r>
    </w:p>
    <w:p w14:paraId="42AD1E82">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2.招投标文件及乙方澄清文件、承诺等均为本合同的附件，与本合同具有同等法律效力（本条款适用于招投标项目）。</w:t>
      </w:r>
    </w:p>
    <w:p w14:paraId="0725ED02">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3.乙方应根据法律法规的要求建立并维系自身良好的健康、安全、环保体系。乙方因履行合同造成乙方和或第三方的人员损失和（或)财产损失以及环境污染损失由乙方承担全部责任。</w:t>
      </w:r>
    </w:p>
    <w:p w14:paraId="6C9291C7">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302E9E87">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甲方送达地址：</w:t>
      </w:r>
    </w:p>
    <w:p w14:paraId="6317F51C">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联系人：</w:t>
      </w:r>
    </w:p>
    <w:p w14:paraId="7B803723">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联系电话：</w:t>
      </w:r>
    </w:p>
    <w:p w14:paraId="61585EC3">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电子邮箱：</w:t>
      </w:r>
    </w:p>
    <w:p w14:paraId="181CC671">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乙方送达地址：</w:t>
      </w:r>
    </w:p>
    <w:p w14:paraId="16765D76">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联系人：</w:t>
      </w:r>
    </w:p>
    <w:p w14:paraId="7659C511">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联系电话：</w:t>
      </w:r>
    </w:p>
    <w:p w14:paraId="444000C5">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电子邮箱：</w:t>
      </w:r>
    </w:p>
    <w:p w14:paraId="5411ABE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5.本合同履行及后续审计中，乙方须无条件配合甲方及审计、财政等监督管理部门的工作，提供所需全部资料。</w:t>
      </w:r>
    </w:p>
    <w:p w14:paraId="72BA7B50">
      <w:pPr>
        <w:spacing w:line="360" w:lineRule="auto"/>
        <w:ind w:firstLine="480" w:firstLineChars="200"/>
        <w:rPr>
          <w:rFonts w:hint="eastAsia" w:ascii="仿宋_GB2312" w:hAnsi="仿宋_GB2312" w:eastAsia="宋体" w:cs="仿宋_GB2312"/>
          <w:color w:val="000000"/>
          <w:sz w:val="24"/>
          <w:highlight w:val="none"/>
        </w:rPr>
      </w:pPr>
    </w:p>
    <w:tbl>
      <w:tblPr>
        <w:tblStyle w:val="3"/>
        <w:tblW w:w="8639" w:type="dxa"/>
        <w:jc w:val="center"/>
        <w:tblLayout w:type="autofit"/>
        <w:tblCellMar>
          <w:top w:w="0" w:type="dxa"/>
          <w:left w:w="10" w:type="dxa"/>
          <w:bottom w:w="0" w:type="dxa"/>
          <w:right w:w="10" w:type="dxa"/>
        </w:tblCellMar>
      </w:tblPr>
      <w:tblGrid>
        <w:gridCol w:w="4306"/>
        <w:gridCol w:w="4333"/>
      </w:tblGrid>
      <w:tr w14:paraId="755179C9">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DFEA900">
            <w:pPr>
              <w:rPr>
                <w:rFonts w:hint="eastAsia" w:ascii="仿宋_GB2312" w:hAnsi="仿宋_GB2312" w:eastAsia="仿宋_GB2312" w:cs="仿宋_GB2312"/>
                <w:highlight w:val="none"/>
                <w:lang w:eastAsia="zh-CN"/>
              </w:rPr>
            </w:pPr>
            <w:r>
              <w:rPr>
                <w:rFonts w:hint="eastAsia" w:ascii="仿宋_GB2312" w:hAnsi="仿宋_GB2312" w:eastAsia="仿宋_GB2312" w:cs="仿宋_GB2312"/>
                <w:color w:val="000000"/>
                <w:sz w:val="24"/>
                <w:highlight w:val="none"/>
              </w:rPr>
              <w:t>甲方（盖章）：西安理工大学</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099F1EC">
            <w:pPr>
              <w:jc w:val="left"/>
              <w:rPr>
                <w:rFonts w:hint="eastAsia" w:ascii="仿宋_GB2312" w:hAnsi="仿宋_GB2312" w:eastAsia="仿宋_GB2312" w:cs="仿宋_GB2312"/>
                <w:highlight w:val="none"/>
                <w:lang w:eastAsia="zh-CN"/>
              </w:rPr>
            </w:pPr>
            <w:r>
              <w:rPr>
                <w:rFonts w:hint="eastAsia" w:ascii="仿宋_GB2312" w:hAnsi="仿宋_GB2312" w:eastAsia="仿宋_GB2312" w:cs="仿宋_GB2312"/>
                <w:color w:val="000000"/>
                <w:sz w:val="24"/>
                <w:highlight w:val="none"/>
              </w:rPr>
              <w:t>乙方（盖章）：</w:t>
            </w:r>
          </w:p>
        </w:tc>
      </w:tr>
      <w:tr w14:paraId="234920DF">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414C857">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4BDCDBB">
            <w:pPr>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信用代码：</w:t>
            </w:r>
          </w:p>
        </w:tc>
      </w:tr>
      <w:tr w14:paraId="0558E7C3">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55F29DC">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F52AEAF">
            <w:pPr>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地址：</w:t>
            </w:r>
          </w:p>
        </w:tc>
      </w:tr>
      <w:tr w14:paraId="645F7C9E">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0D320BD">
            <w:pP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开户银行：中国银行西安金花南路支行</w:t>
            </w:r>
          </w:p>
          <w:p w14:paraId="777353B0">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银行账号：</w:t>
            </w:r>
            <w:r>
              <w:rPr>
                <w:rFonts w:hint="eastAsia" w:ascii="仿宋_GB2312" w:hAnsi="仿宋_GB2312" w:eastAsia="仿宋_GB2312" w:cs="仿宋_GB2312"/>
                <w:highlight w:val="none"/>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1B99ABC">
            <w:pP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开户银行：</w:t>
            </w:r>
          </w:p>
          <w:p w14:paraId="50A16206">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银行账号：</w:t>
            </w:r>
          </w:p>
        </w:tc>
      </w:tr>
      <w:tr w14:paraId="1BC40326">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24C8F57">
            <w:pPr>
              <w:rPr>
                <w:rFonts w:hint="eastAsia" w:ascii="仿宋_GB2312" w:hAnsi="仿宋_GB2312" w:eastAsia="仿宋_GB2312" w:cs="仿宋_GB2312"/>
                <w:highlight w:val="none"/>
                <w:lang w:eastAsia="zh-CN"/>
              </w:rPr>
            </w:pPr>
            <w:r>
              <w:rPr>
                <w:rFonts w:hint="eastAsia" w:ascii="仿宋_GB2312" w:hAnsi="仿宋_GB2312" w:eastAsia="仿宋_GB2312" w:cs="仿宋_GB2312"/>
                <w:color w:val="000000"/>
                <w:sz w:val="24"/>
                <w:highlight w:val="none"/>
              </w:rPr>
              <w:t>法人/委托代理人签字</w:t>
            </w:r>
            <w:r>
              <w:rPr>
                <w:rFonts w:hint="eastAsia" w:ascii="仿宋_GB2312" w:hAnsi="仿宋_GB2312" w:eastAsia="仿宋_GB2312" w:cs="仿宋_GB2312"/>
                <w:color w:val="000000"/>
                <w:sz w:val="24"/>
                <w:highlight w:val="none"/>
                <w:lang w:eastAsia="zh-CN"/>
              </w:rPr>
              <w:t>：</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958041D">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法人/委托代理人签字：</w:t>
            </w:r>
          </w:p>
        </w:tc>
      </w:tr>
      <w:tr w14:paraId="6C10ED94">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5923124">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5AF1D34">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电话：</w:t>
            </w:r>
          </w:p>
        </w:tc>
      </w:tr>
      <w:tr w14:paraId="52F3935F">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23C7FAC">
            <w:pPr>
              <w:jc w:val="righ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签订日期：年月日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D008ADD">
            <w:pPr>
              <w:jc w:val="righ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签订日期：年月日</w:t>
            </w:r>
          </w:p>
        </w:tc>
      </w:tr>
    </w:tbl>
    <w:p w14:paraId="0D53F15F">
      <w:pPr>
        <w:spacing w:line="360" w:lineRule="auto"/>
        <w:rPr>
          <w:rFonts w:ascii="Calibri" w:hAnsi="Calibri" w:eastAsia="Calibri" w:cs="Calibri"/>
          <w:highlight w:val="none"/>
        </w:rPr>
      </w:pPr>
    </w:p>
    <w:p w14:paraId="6234F564">
      <w:pPr>
        <w:spacing w:line="360" w:lineRule="auto"/>
        <w:rPr>
          <w:rFonts w:hint="eastAsia" w:ascii="宋体" w:hAnsi="宋体" w:eastAsia="宋体" w:cs="宋体"/>
          <w:b/>
          <w:color w:val="FF0000"/>
          <w:sz w:val="28"/>
          <w:highlight w:val="none"/>
        </w:rPr>
      </w:pPr>
    </w:p>
    <w:p w14:paraId="2016A0E0">
      <w:pPr>
        <w:spacing w:line="360" w:lineRule="auto"/>
        <w:rPr>
          <w:rFonts w:hint="eastAsia" w:ascii="宋体" w:hAnsi="宋体" w:eastAsia="宋体" w:cs="宋体"/>
          <w:b/>
          <w:color w:val="auto"/>
          <w:sz w:val="28"/>
          <w:highlight w:val="none"/>
        </w:rPr>
      </w:pPr>
      <w:r>
        <w:rPr>
          <w:rFonts w:hint="eastAsia" w:ascii="宋体" w:hAnsi="宋体" w:cs="宋体"/>
          <w:b/>
          <w:color w:val="auto"/>
          <w:sz w:val="28"/>
          <w:highlight w:val="none"/>
        </w:rPr>
        <w:t>备注：本合同</w:t>
      </w:r>
      <w:r>
        <w:rPr>
          <w:rFonts w:hint="eastAsia" w:ascii="宋体" w:hAnsi="宋体" w:cs="宋体"/>
          <w:b/>
          <w:color w:val="auto"/>
          <w:sz w:val="28"/>
          <w:highlight w:val="none"/>
          <w:lang w:eastAsia="zh-CN"/>
        </w:rPr>
        <w:t>模板</w:t>
      </w:r>
      <w:r>
        <w:rPr>
          <w:rFonts w:hint="eastAsia" w:ascii="宋体" w:hAnsi="宋体" w:cs="宋体"/>
          <w:b/>
          <w:color w:val="auto"/>
          <w:sz w:val="28"/>
          <w:highlight w:val="none"/>
        </w:rPr>
        <w:t>条款原则上不可删减，采购人可依据招标文件、投标文件相关内容对合同条款或内容进行增加</w:t>
      </w:r>
    </w:p>
    <w:p w14:paraId="2A6F2486">
      <w:pPr>
        <w:spacing w:line="360" w:lineRule="auto"/>
        <w:rPr>
          <w:rFonts w:hint="eastAsia" w:ascii="黑体" w:hAnsi="黑体" w:eastAsia="黑体" w:cs="黑体"/>
          <w:bCs/>
          <w:color w:val="auto"/>
          <w:sz w:val="28"/>
          <w:highlight w:val="none"/>
        </w:rPr>
      </w:pPr>
      <w:r>
        <w:rPr>
          <w:rFonts w:hint="eastAsia" w:ascii="黑体" w:hAnsi="黑体" w:eastAsia="黑体" w:cs="黑体"/>
          <w:bCs/>
          <w:color w:val="auto"/>
          <w:sz w:val="28"/>
          <w:highlight w:val="none"/>
        </w:rPr>
        <w:t>附件：</w:t>
      </w:r>
    </w:p>
    <w:p w14:paraId="0BCE3ECB">
      <w:pPr>
        <w:spacing w:line="360" w:lineRule="auto"/>
        <w:jc w:val="center"/>
        <w:rPr>
          <w:rFonts w:hint="eastAsia" w:ascii="黑体" w:hAnsi="黑体" w:eastAsia="黑体" w:cs="黑体"/>
          <w:bCs/>
          <w:color w:val="auto"/>
          <w:sz w:val="28"/>
          <w:highlight w:val="none"/>
        </w:rPr>
      </w:pPr>
      <w:r>
        <w:rPr>
          <w:rFonts w:hint="eastAsia" w:ascii="黑体" w:hAnsi="黑体" w:eastAsia="黑体" w:cs="黑体"/>
          <w:bCs/>
          <w:color w:val="auto"/>
          <w:sz w:val="28"/>
          <w:highlight w:val="none"/>
        </w:rPr>
        <w:t>技术要求</w:t>
      </w:r>
    </w:p>
    <w:p w14:paraId="6B1774FF">
      <w:pPr>
        <w:spacing w:line="360" w:lineRule="auto"/>
        <w:jc w:val="center"/>
        <w:rPr>
          <w:rFonts w:hint="eastAsia" w:ascii="黑体" w:hAnsi="黑体" w:eastAsia="黑体" w:cs="黑体"/>
          <w:bCs/>
          <w:color w:val="auto"/>
          <w:sz w:val="28"/>
          <w:highlight w:val="none"/>
        </w:rPr>
      </w:pPr>
    </w:p>
    <w:p w14:paraId="4FBB7DD9">
      <w:pPr>
        <w:spacing w:line="360" w:lineRule="auto"/>
        <w:jc w:val="center"/>
        <w:rPr>
          <w:rFonts w:hint="eastAsia" w:ascii="黑体" w:hAnsi="黑体" w:eastAsia="黑体" w:cs="黑体"/>
          <w:bCs/>
          <w:color w:val="auto"/>
          <w:sz w:val="28"/>
          <w:highlight w:val="none"/>
        </w:rPr>
      </w:pPr>
    </w:p>
    <w:p w14:paraId="1B4BD0E8">
      <w:pPr>
        <w:spacing w:line="360" w:lineRule="auto"/>
        <w:jc w:val="center"/>
        <w:rPr>
          <w:rFonts w:hint="eastAsia" w:ascii="黑体" w:hAnsi="黑体" w:eastAsia="黑体" w:cs="黑体"/>
          <w:bCs/>
          <w:color w:val="auto"/>
          <w:sz w:val="28"/>
          <w:highlight w:val="none"/>
        </w:rPr>
      </w:pPr>
      <w:r>
        <w:rPr>
          <w:rFonts w:hint="eastAsia" w:ascii="黑体" w:hAnsi="黑体" w:eastAsia="黑体" w:cs="黑体"/>
          <w:bCs/>
          <w:color w:val="auto"/>
          <w:sz w:val="28"/>
          <w:highlight w:val="none"/>
        </w:rPr>
        <w:t>商务要求</w:t>
      </w:r>
    </w:p>
    <w:p w14:paraId="17FA1510">
      <w:pPr>
        <w:rPr>
          <w:highlight w:val="none"/>
        </w:rPr>
      </w:pPr>
    </w:p>
    <w:p w14:paraId="4CC5B869">
      <w:pPr>
        <w:ind w:firstLine="643" w:firstLineChars="200"/>
        <w:jc w:val="both"/>
        <w:rPr>
          <w:rFonts w:hint="default" w:ascii="仿宋_GB2312" w:hAnsi="仿宋_GB2312" w:eastAsia="仿宋_GB2312" w:cs="仿宋_GB2312"/>
          <w:b/>
          <w:bCs/>
          <w:color w:val="C00000"/>
          <w:sz w:val="32"/>
          <w:szCs w:val="32"/>
          <w:highlight w:val="none"/>
          <w:lang w:val="en-US" w:eastAsia="zh-CN"/>
        </w:rPr>
      </w:pPr>
    </w:p>
    <w:p w14:paraId="7E8DD82E">
      <w:pPr>
        <w:pStyle w:val="6"/>
        <w:rPr>
          <w:rFonts w:hint="default"/>
          <w:highlight w:val="none"/>
        </w:rPr>
      </w:pPr>
    </w:p>
    <w:p w14:paraId="2F892163">
      <w:bookmarkStart w:id="0" w:name="_GoBack"/>
      <w:bookmarkEnd w:id="0"/>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CD0803"/>
    <w:rsid w:val="03CD0803"/>
    <w:rsid w:val="06511E5F"/>
    <w:rsid w:val="0DD31855"/>
    <w:rsid w:val="0FCD29BF"/>
    <w:rsid w:val="116A65C1"/>
    <w:rsid w:val="151224E2"/>
    <w:rsid w:val="25AE77EF"/>
    <w:rsid w:val="2CD02D92"/>
    <w:rsid w:val="31176FE8"/>
    <w:rsid w:val="31420195"/>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 Char Char19"/>
    <w:link w:val="2"/>
    <w:qFormat/>
    <w:uiPriority w:val="0"/>
    <w:rPr>
      <w:rFonts w:ascii="黑体" w:hAnsi="黑体" w:eastAsia="仿宋" w:cs="Times New Roman"/>
      <w:b/>
      <w:kern w:val="0"/>
      <w:sz w:val="28"/>
      <w:szCs w:val="22"/>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2026-07-22T03:15:00Z</dcterms:created>
  <dc:creator>子夜</dc:creator>
  <cp:lastModifiedBy>子夜</cp:lastModifiedBy>
  <dcterms:modified xsi:type="dcterms:W3CDTF">2026-07-22T03:15:22Z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0706925B71E24A12832862402E9EB037_11</vt:lpwstr>
  </property>
  <property fmtid="{D5CDD505-2E9C-101B-9397-08002B2CF9AE}" pid="4" name="KSOTemplateDocerSaveRecord">
    <vt:lpwstr>eyJoZGlkIjoiZjgyZjZhZDkxNGQxNzg4ZDhlYjkzZTc1NDAzOTBjYWEiLCJ1c2VySWQiOiIyNjAwNjc5MjkifQ==</vt:lpwstr>
  </property>
</Properties>
</file>