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版本号：ZYGJ-HZZC-262020260720001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午子山景区索道配套630KVA供电设施项目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ZYGJ-HZZC-2620</w:t>
      </w:r>
      <w:r>
        <w:br/>
      </w:r>
      <w:r>
        <w:br/>
      </w:r>
      <w:r>
        <w:br/>
      </w:r>
    </w:p>
    <w:p>
      <w:pPr>
        <w:pStyle w:val="null3"/>
        <w:jc w:val="center"/>
        <w:outlineLvl w:val="2"/>
      </w:pPr>
      <w:r>
        <w:rPr>
          <w:rFonts w:ascii="仿宋_GB2312" w:hAnsi="仿宋_GB2312" w:cs="仿宋_GB2312" w:eastAsia="仿宋_GB2312"/>
          <w:sz w:val="28"/>
          <w:b/>
        </w:rPr>
        <w:t>西乡县堰口镇人民政府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西乡县堰口镇人民政府</w:t>
      </w:r>
      <w:r>
        <w:rPr>
          <w:rFonts w:ascii="仿宋_GB2312" w:hAnsi="仿宋_GB2312" w:cs="仿宋_GB2312" w:eastAsia="仿宋_GB2312"/>
        </w:rPr>
        <w:t>委托，拟对</w:t>
      </w:r>
      <w:r>
        <w:rPr>
          <w:rFonts w:ascii="仿宋_GB2312" w:hAnsi="仿宋_GB2312" w:cs="仿宋_GB2312" w:eastAsia="仿宋_GB2312"/>
        </w:rPr>
        <w:t>午子山景区索道配套630KVA供电设施项目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午子山景区索道配套630KVA供电设施项目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新建630KVA箱式变电站一座，接入 10KV高压线缆及敷设景区设备动力电 缆，砌筑电缆井、箱变基础等工程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2、投标人代表：法定代表人直接参加磋商的，须出具法人身份证；法定代表人授权代表参加磋商的，须出具法定代表人授权书及授权代表身份证；</w:t>
      </w:r>
    </w:p>
    <w:p>
      <w:pPr>
        <w:pStyle w:val="null3"/>
      </w:pPr>
      <w:r>
        <w:rPr>
          <w:rFonts w:ascii="仿宋_GB2312" w:hAnsi="仿宋_GB2312" w:cs="仿宋_GB2312" w:eastAsia="仿宋_GB2312"/>
        </w:rPr>
        <w:t>3、供应商施工资质：供应商须具备电力工程施工总承包三级及以上资质或输变电工程专业承包三级及以上资质，并具备有效的安全生产许可证；</w:t>
      </w:r>
    </w:p>
    <w:p>
      <w:pPr>
        <w:pStyle w:val="null3"/>
      </w:pPr>
      <w:r>
        <w:rPr>
          <w:rFonts w:ascii="仿宋_GB2312" w:hAnsi="仿宋_GB2312" w:cs="仿宋_GB2312" w:eastAsia="仿宋_GB2312"/>
        </w:rPr>
        <w:t>4、供应商电力资质：供应商须具备国家能源局承装（修、试）电力设施许可证三级及以上（含承装、承修）（含原五级换证、四级换证资质）</w:t>
      </w:r>
    </w:p>
    <w:p>
      <w:pPr>
        <w:pStyle w:val="null3"/>
      </w:pPr>
      <w:r>
        <w:rPr>
          <w:rFonts w:ascii="仿宋_GB2312" w:hAnsi="仿宋_GB2312" w:cs="仿宋_GB2312" w:eastAsia="仿宋_GB2312"/>
        </w:rPr>
        <w:t>5、项目经理资质：拟派项目经理须具有机电工程二级及以上注册建造师和有效的安全考核合格证书，且无在建工程(出具无在建承诺书）。</w:t>
      </w:r>
    </w:p>
    <w:p>
      <w:pPr>
        <w:pStyle w:val="null3"/>
      </w:pPr>
      <w:r>
        <w:rPr>
          <w:rFonts w:ascii="仿宋_GB2312" w:hAnsi="仿宋_GB2312" w:cs="仿宋_GB2312" w:eastAsia="仿宋_GB2312"/>
        </w:rPr>
        <w:t>6、投标人信誉：具有良好的商业信誉和健全的财务会计制度,具有履行合同所必需的设备和专业技术能力，具有依法缴纳税收和社会保障金的良好记录，参加本项目采购活动前三年内无重大违法活动记录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)，供应商应按照汉中市财政局《关于全面推行政府采购供应商基本资格条件承诺制的通知》（汉采办采管〔2024〕20号）文件要求，提供资格承诺函；（承诺函模板详见磋商文件格式）；</w:t>
      </w:r>
    </w:p>
    <w:p>
      <w:pPr>
        <w:pStyle w:val="null3"/>
      </w:pPr>
      <w:r>
        <w:rPr>
          <w:rFonts w:ascii="仿宋_GB2312" w:hAnsi="仿宋_GB2312" w:cs="仿宋_GB2312" w:eastAsia="仿宋_GB2312"/>
        </w:rPr>
        <w:t>7、中小企业声明函：本项目专门面向中小企业采购，需提供《中小企业声明函原件》。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西乡县堰口镇人民政府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西乡县堰口社区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西乡县堰口镇人民政府经办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13689162111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采购包1：930,506.33元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代理服务费收费标准：按照中标金额的1%收取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西乡县堰口镇人民政府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西乡县堰口镇人民政府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西乡县堰口镇人民政府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由成交供应商承担本次项⽬所涉及的相关知识产权⻛险</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联系人：邓先生</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930,506.33</w:t>
      </w:r>
    </w:p>
    <w:p>
      <w:pPr>
        <w:pStyle w:val="null3"/>
      </w:pPr>
      <w:r>
        <w:rPr>
          <w:rFonts w:ascii="仿宋_GB2312" w:hAnsi="仿宋_GB2312" w:cs="仿宋_GB2312" w:eastAsia="仿宋_GB2312"/>
        </w:rPr>
        <w:t>采购包最高限价（元）: 930,506.33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索道配套 63OKVA供电设施建设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930,506.33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标的名称：索道配套 63OKVA供电设施建设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达到国家验收合格标准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施工范围：工程量清单内所含的全部内容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质量保修范围和保修期：质保期不少于24个月，质保范围为全部施工内容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 4、工程款支付方式：分期付款。 5、合同付款方式： 5.1、付款条件说明：施工合同签订，人员机械进场后，达到付款条件起10日内，支付合同总金额的30.00%。 5.2、付款条件说明：按期完成半程进度计划，达到付款条件起10日内，支付合同总金额的20.00%。 5.3、付款条件说明：竣工验收合格，达到付款条件起10日内，支付合同总金额的30.00%。 5.4、付款条件说明：工程经结算审计结束后，按照结算审计结果支付。达到付款条件起10日内，支付合同总金额的20.00%。 6、支付说明：以上款项支付均在达到支付条件后循序采购人财务规定及流程，以采购人财务账户向成交供应商政府采购网备案合同的银行账户转账支付。 7、合同违约责任与解决争议的方法：因违约或终止合同而引起的损失和损害的赔偿，委托单位与供应商之间应当协商解决;如未能达成一致，协商或调解不成的，根据双方约定提交仲裁，或向项目所在地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投标人代表</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供应商施工资质</w:t>
            </w:r>
          </w:p>
        </w:tc>
        <w:tc>
          <w:tcPr>
            <w:tcW w:type="dxa" w:w="3322"/>
          </w:tcPr>
          <w:p>
            <w:pPr>
              <w:pStyle w:val="null3"/>
            </w:pPr>
            <w:r>
              <w:rPr>
                <w:rFonts w:ascii="仿宋_GB2312" w:hAnsi="仿宋_GB2312" w:cs="仿宋_GB2312" w:eastAsia="仿宋_GB2312"/>
              </w:rPr>
              <w:t>供应商须具备电力工程施工总承包三级及以上资质或输变电工程专业承包三级及以上资质，并具备有效的安全生产许可证；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供应商电力资质</w:t>
            </w:r>
          </w:p>
        </w:tc>
        <w:tc>
          <w:tcPr>
            <w:tcW w:type="dxa" w:w="3322"/>
          </w:tcPr>
          <w:p>
            <w:pPr>
              <w:pStyle w:val="null3"/>
            </w:pPr>
            <w:r>
              <w:rPr>
                <w:rFonts w:ascii="仿宋_GB2312" w:hAnsi="仿宋_GB2312" w:cs="仿宋_GB2312" w:eastAsia="仿宋_GB2312"/>
              </w:rPr>
              <w:t>供应商须具备国家能源局承装（修、试）电力设施许可证三级及以上（含承装、承修）（含原五级换证、四级换证资质）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拟派项目经理须具有机电工程二级及以上注册建造师和有效的安全考核合格证书，且无在建工程(出具无在建承诺书）。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投标人信誉</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)，供应商应按照汉中市财政局《关于全面推行政府采购供应商基本资格条件承诺制的通知》（汉采办采管〔2024〕20号）文件要求，提供资格承诺函；（承诺函模板详见磋商文件格式）；</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本项目专门面向中小企业采购，需提供《中小企业声明函原件》。</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响应文件中未按照磋商文件规定要求签字、盖章的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投标报价超过磋商文件中规定的采购预算或最高限价或标的金额的。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不满足磋商文件中实质性条款要求的。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1施工准备及总体概述;2施工平面布置;3项目总体部署;4施工方法;评审标准:各项内容全面详细、阐述条理清晰详尽、符合本项目采购需求、对项目的理解准确、针对性强能有效保障本项目实施得12分;每缺一项扣3分，每一项内容存在缺陷，扣1.5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供应商及项目经理类似项目业绩一览表.docx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详见附件：供应商及项目经理类似项目业绩一览表.docx</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