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D161E">
      <w:pPr>
        <w:pStyle w:val="5"/>
        <w:rPr>
          <w:rFonts w:hint="default" w:ascii="宋体" w:hAnsi="宋体" w:eastAsia="宋体" w:cs="宋体"/>
          <w:color w:val="auto"/>
          <w:lang w:val="en-US" w:eastAsia="zh-CN"/>
        </w:rPr>
      </w:pPr>
    </w:p>
    <w:p w14:paraId="73F5C733">
      <w:pPr>
        <w:jc w:val="center"/>
        <w:rPr>
          <w:rFonts w:hint="eastAsia" w:ascii="宋体" w:hAnsi="宋体"/>
          <w:b/>
          <w:color w:val="auto"/>
          <w:sz w:val="32"/>
        </w:rPr>
      </w:pPr>
      <w:r>
        <w:rPr>
          <w:rFonts w:hint="eastAsia" w:ascii="宋体" w:hAnsi="宋体"/>
          <w:b/>
          <w:color w:val="auto"/>
          <w:sz w:val="32"/>
        </w:rPr>
        <w:t>分项报价</w:t>
      </w:r>
      <w:r>
        <w:rPr>
          <w:rFonts w:hint="eastAsia" w:ascii="宋体" w:hAnsi="宋体"/>
          <w:b/>
          <w:color w:val="auto"/>
          <w:sz w:val="32"/>
          <w:lang w:val="en-US" w:eastAsia="zh-CN"/>
        </w:rPr>
        <w:t>明细</w:t>
      </w:r>
      <w:r>
        <w:rPr>
          <w:rFonts w:hint="eastAsia" w:ascii="宋体" w:hAnsi="宋体"/>
          <w:b/>
          <w:color w:val="auto"/>
          <w:sz w:val="32"/>
        </w:rPr>
        <w:t>表</w:t>
      </w:r>
    </w:p>
    <w:p w14:paraId="7523CB0F">
      <w:pPr>
        <w:jc w:val="both"/>
        <w:rPr>
          <w:rFonts w:hint="eastAsia" w:ascii="宋体" w:hAnsi="宋体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/>
          <w:b w:val="0"/>
          <w:bCs/>
          <w:color w:val="auto"/>
          <w:sz w:val="20"/>
          <w:szCs w:val="20"/>
          <w:lang w:val="en-US" w:eastAsia="zh-CN"/>
        </w:rPr>
        <w:t>采购项目名称：</w:t>
      </w:r>
    </w:p>
    <w:p w14:paraId="29214BE2">
      <w:pPr>
        <w:jc w:val="both"/>
        <w:rPr>
          <w:rFonts w:hint="eastAsia" w:ascii="宋体" w:hAnsi="宋体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/>
          <w:b w:val="0"/>
          <w:bCs/>
          <w:color w:val="auto"/>
          <w:sz w:val="20"/>
          <w:szCs w:val="20"/>
          <w:lang w:val="en-US" w:eastAsia="zh-CN"/>
        </w:rPr>
        <w:t>采购项目编号：                                                             单位：元</w:t>
      </w:r>
    </w:p>
    <w:tbl>
      <w:tblPr>
        <w:tblStyle w:val="3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064"/>
        <w:gridCol w:w="2675"/>
        <w:gridCol w:w="1589"/>
        <w:gridCol w:w="1380"/>
      </w:tblGrid>
      <w:tr w14:paraId="12AF4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noWrap w:val="0"/>
            <w:vAlign w:val="center"/>
          </w:tcPr>
          <w:p w14:paraId="25944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064" w:type="dxa"/>
            <w:noWrap w:val="0"/>
            <w:vAlign w:val="center"/>
          </w:tcPr>
          <w:p w14:paraId="3E30D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  <w:t>类别</w:t>
            </w:r>
          </w:p>
        </w:tc>
        <w:tc>
          <w:tcPr>
            <w:tcW w:w="2675" w:type="dxa"/>
            <w:noWrap w:val="0"/>
            <w:vAlign w:val="center"/>
          </w:tcPr>
          <w:p w14:paraId="5680A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  <w:t>系统名称</w:t>
            </w:r>
          </w:p>
        </w:tc>
        <w:tc>
          <w:tcPr>
            <w:tcW w:w="1589" w:type="dxa"/>
            <w:noWrap w:val="0"/>
            <w:vAlign w:val="center"/>
          </w:tcPr>
          <w:p w14:paraId="796B7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  <w:t>单项报价</w:t>
            </w:r>
          </w:p>
        </w:tc>
        <w:tc>
          <w:tcPr>
            <w:tcW w:w="1380" w:type="dxa"/>
            <w:noWrap w:val="0"/>
            <w:vAlign w:val="center"/>
          </w:tcPr>
          <w:p w14:paraId="6DB79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  <w:t>备注</w:t>
            </w:r>
          </w:p>
        </w:tc>
      </w:tr>
      <w:tr w14:paraId="415E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restart"/>
            <w:noWrap w:val="0"/>
            <w:vAlign w:val="center"/>
          </w:tcPr>
          <w:p w14:paraId="536D1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1</w:t>
            </w:r>
          </w:p>
          <w:p w14:paraId="593D5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restart"/>
            <w:noWrap w:val="0"/>
            <w:vAlign w:val="center"/>
          </w:tcPr>
          <w:p w14:paraId="124AD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ETC发行服务系统</w:t>
            </w:r>
          </w:p>
        </w:tc>
        <w:tc>
          <w:tcPr>
            <w:tcW w:w="2675" w:type="dxa"/>
            <w:noWrap w:val="0"/>
            <w:vAlign w:val="center"/>
          </w:tcPr>
          <w:p w14:paraId="1F75B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网点发行与服务接口平台</w:t>
            </w:r>
          </w:p>
        </w:tc>
        <w:tc>
          <w:tcPr>
            <w:tcW w:w="1589" w:type="dxa"/>
            <w:noWrap w:val="0"/>
            <w:vAlign w:val="center"/>
          </w:tcPr>
          <w:p w14:paraId="41280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46B4E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517D5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4E385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37E58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4D7EC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银行账务接口平台</w:t>
            </w:r>
          </w:p>
        </w:tc>
        <w:tc>
          <w:tcPr>
            <w:tcW w:w="1589" w:type="dxa"/>
            <w:noWrap w:val="0"/>
            <w:vAlign w:val="center"/>
          </w:tcPr>
          <w:p w14:paraId="1DCA2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52967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E831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40BC6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2EA58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22FEF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分对分接口平台</w:t>
            </w:r>
          </w:p>
        </w:tc>
        <w:tc>
          <w:tcPr>
            <w:tcW w:w="1589" w:type="dxa"/>
            <w:noWrap w:val="0"/>
            <w:vAlign w:val="center"/>
          </w:tcPr>
          <w:p w14:paraId="67189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EB98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C44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2168C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200D4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2BA5C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公共服务平台</w:t>
            </w:r>
          </w:p>
        </w:tc>
        <w:tc>
          <w:tcPr>
            <w:tcW w:w="1589" w:type="dxa"/>
            <w:noWrap w:val="0"/>
            <w:vAlign w:val="center"/>
          </w:tcPr>
          <w:p w14:paraId="497E0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78692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5127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1D491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40A82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7A44B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手持终端发行与服务系统</w:t>
            </w:r>
          </w:p>
        </w:tc>
        <w:tc>
          <w:tcPr>
            <w:tcW w:w="1589" w:type="dxa"/>
            <w:noWrap w:val="0"/>
            <w:vAlign w:val="center"/>
          </w:tcPr>
          <w:p w14:paraId="4B2C1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3B47B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6FFC2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3E496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4C5A6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202DF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发行认证子系统</w:t>
            </w:r>
          </w:p>
        </w:tc>
        <w:tc>
          <w:tcPr>
            <w:tcW w:w="1589" w:type="dxa"/>
            <w:noWrap w:val="0"/>
            <w:vAlign w:val="center"/>
          </w:tcPr>
          <w:p w14:paraId="5D466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6365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4A551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663F1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32407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615D6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营改增子系统</w:t>
            </w:r>
          </w:p>
        </w:tc>
        <w:tc>
          <w:tcPr>
            <w:tcW w:w="1589" w:type="dxa"/>
            <w:noWrap w:val="0"/>
            <w:vAlign w:val="center"/>
          </w:tcPr>
          <w:p w14:paraId="7C99E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3A6E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89F8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22450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5E1D9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1E023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客服中心子系统</w:t>
            </w:r>
          </w:p>
        </w:tc>
        <w:tc>
          <w:tcPr>
            <w:tcW w:w="1589" w:type="dxa"/>
            <w:noWrap w:val="0"/>
            <w:vAlign w:val="center"/>
          </w:tcPr>
          <w:p w14:paraId="23894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187E4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49EF7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01F3A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2ED15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6DDC3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运行监控子系统</w:t>
            </w:r>
          </w:p>
        </w:tc>
        <w:tc>
          <w:tcPr>
            <w:tcW w:w="1589" w:type="dxa"/>
            <w:noWrap w:val="0"/>
            <w:vAlign w:val="center"/>
          </w:tcPr>
          <w:p w14:paraId="5060F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DED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C61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3BAB8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05936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63268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用户管理子系统</w:t>
            </w:r>
          </w:p>
        </w:tc>
        <w:tc>
          <w:tcPr>
            <w:tcW w:w="1589" w:type="dxa"/>
            <w:noWrap w:val="0"/>
            <w:vAlign w:val="center"/>
          </w:tcPr>
          <w:p w14:paraId="08555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5794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4532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restart"/>
            <w:noWrap w:val="0"/>
            <w:vAlign w:val="center"/>
          </w:tcPr>
          <w:p w14:paraId="28EE2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64" w:type="dxa"/>
            <w:vMerge w:val="restart"/>
            <w:noWrap w:val="0"/>
            <w:vAlign w:val="center"/>
          </w:tcPr>
          <w:p w14:paraId="20EA8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互联网发行平台</w:t>
            </w:r>
          </w:p>
        </w:tc>
        <w:tc>
          <w:tcPr>
            <w:tcW w:w="2675" w:type="dxa"/>
            <w:noWrap w:val="0"/>
            <w:vAlign w:val="center"/>
          </w:tcPr>
          <w:p w14:paraId="4522A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ETC网上营业厅</w:t>
            </w:r>
          </w:p>
        </w:tc>
        <w:tc>
          <w:tcPr>
            <w:tcW w:w="1589" w:type="dxa"/>
            <w:noWrap w:val="0"/>
            <w:vAlign w:val="center"/>
          </w:tcPr>
          <w:p w14:paraId="77F02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513D5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79C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266B3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0262A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2FBF4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三秦通微信小程序</w:t>
            </w:r>
          </w:p>
        </w:tc>
        <w:tc>
          <w:tcPr>
            <w:tcW w:w="1589" w:type="dxa"/>
            <w:noWrap w:val="0"/>
            <w:vAlign w:val="center"/>
          </w:tcPr>
          <w:p w14:paraId="6B237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8CC5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2766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restart"/>
            <w:noWrap w:val="0"/>
            <w:vAlign w:val="center"/>
          </w:tcPr>
          <w:p w14:paraId="0C8FC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64" w:type="dxa"/>
            <w:vMerge w:val="restart"/>
            <w:noWrap w:val="0"/>
            <w:vAlign w:val="center"/>
          </w:tcPr>
          <w:p w14:paraId="624AC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ETC结算系统</w:t>
            </w:r>
          </w:p>
        </w:tc>
        <w:tc>
          <w:tcPr>
            <w:tcW w:w="2675" w:type="dxa"/>
            <w:noWrap w:val="0"/>
            <w:vAlign w:val="center"/>
          </w:tcPr>
          <w:p w14:paraId="254DB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清分结算子系统</w:t>
            </w:r>
          </w:p>
        </w:tc>
        <w:tc>
          <w:tcPr>
            <w:tcW w:w="1589" w:type="dxa"/>
            <w:noWrap w:val="0"/>
            <w:vAlign w:val="center"/>
          </w:tcPr>
          <w:p w14:paraId="6C3AF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2C7B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689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14B7A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0BFEF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6FE96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信息交互子系统</w:t>
            </w:r>
          </w:p>
        </w:tc>
        <w:tc>
          <w:tcPr>
            <w:tcW w:w="1589" w:type="dxa"/>
            <w:noWrap w:val="0"/>
            <w:vAlign w:val="center"/>
          </w:tcPr>
          <w:p w14:paraId="0ACC1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A36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62CA5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5BDB0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55B51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6BE95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数据传输子系统</w:t>
            </w:r>
          </w:p>
        </w:tc>
        <w:tc>
          <w:tcPr>
            <w:tcW w:w="1589" w:type="dxa"/>
            <w:noWrap w:val="0"/>
            <w:vAlign w:val="center"/>
          </w:tcPr>
          <w:p w14:paraId="3C623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92E1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5379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00306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030CE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47457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数据汇聚子系统</w:t>
            </w:r>
          </w:p>
        </w:tc>
        <w:tc>
          <w:tcPr>
            <w:tcW w:w="1589" w:type="dxa"/>
            <w:noWrap w:val="0"/>
            <w:vAlign w:val="center"/>
          </w:tcPr>
          <w:p w14:paraId="4AFD2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ADC7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CEA9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vMerge w:val="continue"/>
            <w:noWrap w:val="0"/>
            <w:vAlign w:val="center"/>
          </w:tcPr>
          <w:p w14:paraId="6E75F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064" w:type="dxa"/>
            <w:vMerge w:val="continue"/>
            <w:noWrap w:val="0"/>
            <w:vAlign w:val="center"/>
          </w:tcPr>
          <w:p w14:paraId="635AA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75" w:type="dxa"/>
            <w:noWrap w:val="0"/>
            <w:vAlign w:val="center"/>
          </w:tcPr>
          <w:p w14:paraId="78BE5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收费站点管理系统</w:t>
            </w:r>
          </w:p>
        </w:tc>
        <w:tc>
          <w:tcPr>
            <w:tcW w:w="1589" w:type="dxa"/>
            <w:noWrap w:val="0"/>
            <w:vAlign w:val="center"/>
          </w:tcPr>
          <w:p w14:paraId="7ACDA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FA9C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D86B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9" w:type="dxa"/>
            <w:noWrap w:val="0"/>
            <w:vAlign w:val="center"/>
          </w:tcPr>
          <w:p w14:paraId="7ED1A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64" w:type="dxa"/>
            <w:noWrap w:val="0"/>
            <w:vAlign w:val="center"/>
          </w:tcPr>
          <w:p w14:paraId="18D4A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交通网点培训及终端</w:t>
            </w:r>
          </w:p>
        </w:tc>
        <w:tc>
          <w:tcPr>
            <w:tcW w:w="2675" w:type="dxa"/>
            <w:noWrap w:val="0"/>
            <w:vAlign w:val="center"/>
          </w:tcPr>
          <w:p w14:paraId="53F91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技术指导和日常培训</w:t>
            </w:r>
          </w:p>
        </w:tc>
        <w:tc>
          <w:tcPr>
            <w:tcW w:w="1589" w:type="dxa"/>
            <w:noWrap w:val="0"/>
            <w:vAlign w:val="center"/>
          </w:tcPr>
          <w:p w14:paraId="55DFB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4B846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B0E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68" w:type="dxa"/>
            <w:gridSpan w:val="3"/>
            <w:noWrap w:val="0"/>
            <w:vAlign w:val="center"/>
          </w:tcPr>
          <w:p w14:paraId="7335F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金额合计</w:t>
            </w:r>
          </w:p>
        </w:tc>
        <w:tc>
          <w:tcPr>
            <w:tcW w:w="2969" w:type="dxa"/>
            <w:gridSpan w:val="2"/>
            <w:noWrap w:val="0"/>
            <w:vAlign w:val="center"/>
          </w:tcPr>
          <w:p w14:paraId="110CB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5F44B536">
      <w:pPr>
        <w:jc w:val="both"/>
        <w:rPr>
          <w:rFonts w:hint="eastAsia" w:ascii="宋体" w:hAnsi="宋体" w:eastAsia="宋体"/>
          <w:b w:val="0"/>
          <w:bCs/>
          <w:color w:val="auto"/>
          <w:sz w:val="20"/>
          <w:szCs w:val="20"/>
          <w:lang w:val="en-US" w:eastAsia="zh-CN"/>
        </w:rPr>
      </w:pPr>
    </w:p>
    <w:p w14:paraId="6AC94F73">
      <w:pPr>
        <w:jc w:val="both"/>
        <w:rPr>
          <w:rFonts w:hint="eastAsia" w:ascii="宋体" w:hAnsi="宋体" w:eastAsia="宋体"/>
          <w:b w:val="0"/>
          <w:bCs/>
          <w:color w:val="auto"/>
          <w:sz w:val="20"/>
          <w:szCs w:val="20"/>
          <w:lang w:val="en-US" w:eastAsia="zh-CN"/>
        </w:rPr>
      </w:pPr>
    </w:p>
    <w:p w14:paraId="2E95333F">
      <w:pPr>
        <w:spacing w:line="360" w:lineRule="auto"/>
        <w:ind w:firstLine="3360" w:firstLineChars="14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盖</w:t>
      </w:r>
      <w:r>
        <w:rPr>
          <w:rFonts w:hint="eastAsia" w:ascii="宋体" w:hAnsi="宋体"/>
          <w:color w:val="auto"/>
          <w:sz w:val="24"/>
        </w:rPr>
        <w:t>章）</w:t>
      </w:r>
    </w:p>
    <w:p w14:paraId="615947DF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10DB6F10">
      <w:pPr>
        <w:spacing w:line="360" w:lineRule="auto"/>
        <w:ind w:firstLine="3328" w:firstLineChars="1387"/>
        <w:rPr>
          <w:rFonts w:hint="default" w:ascii="宋体" w:hAnsi="宋体" w:eastAsia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法定代表人或授权代表：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（签字或盖章）</w:t>
      </w:r>
    </w:p>
    <w:p w14:paraId="0FE63B36">
      <w:pPr>
        <w:spacing w:line="360" w:lineRule="auto"/>
        <w:ind w:firstLine="5280" w:firstLineChars="2200"/>
        <w:rPr>
          <w:rFonts w:hint="eastAsia" w:ascii="宋体" w:hAnsi="宋体"/>
          <w:color w:val="auto"/>
          <w:sz w:val="24"/>
        </w:rPr>
      </w:pPr>
    </w:p>
    <w:p w14:paraId="65D4220B">
      <w:pPr>
        <w:spacing w:line="360" w:lineRule="auto"/>
        <w:ind w:firstLine="5520" w:firstLineChars="2300"/>
        <w:rPr>
          <w:rFonts w:ascii="宋体" w:hAnsi="宋体" w:cs="宋体"/>
          <w:color w:val="auto"/>
          <w:kern w:val="1"/>
          <w:sz w:val="24"/>
        </w:rPr>
      </w:pPr>
      <w:r>
        <w:rPr>
          <w:rFonts w:hint="eastAsia" w:ascii="宋体" w:hAnsi="宋体"/>
          <w:color w:val="auto"/>
          <w:sz w:val="24"/>
        </w:rPr>
        <w:t>年  月  日</w:t>
      </w:r>
    </w:p>
    <w:p w14:paraId="70969BA5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77008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/>
        <w:textAlignment w:val="auto"/>
        <w:rPr>
          <w:rFonts w:ascii="宋体" w:hAnsi="宋体" w:cs="宋体"/>
          <w:color w:val="auto"/>
          <w:kern w:val="1"/>
          <w:sz w:val="20"/>
          <w:szCs w:val="20"/>
        </w:rPr>
      </w:pPr>
      <w:r>
        <w:rPr>
          <w:rFonts w:ascii="宋体" w:hAnsi="宋体" w:cs="宋体"/>
          <w:color w:val="auto"/>
          <w:kern w:val="1"/>
          <w:sz w:val="20"/>
          <w:szCs w:val="20"/>
        </w:rPr>
        <w:t>注：1.所</w:t>
      </w:r>
      <w:r>
        <w:rPr>
          <w:rFonts w:hint="eastAsia" w:ascii="宋体" w:hAnsi="宋体" w:cs="宋体"/>
          <w:color w:val="auto"/>
          <w:kern w:val="1"/>
          <w:sz w:val="20"/>
          <w:szCs w:val="20"/>
          <w:lang w:val="en-US" w:eastAsia="zh-CN"/>
        </w:rPr>
        <w:t>填</w:t>
      </w:r>
      <w:r>
        <w:rPr>
          <w:rFonts w:ascii="宋体" w:hAnsi="宋体" w:cs="宋体"/>
          <w:color w:val="auto"/>
          <w:kern w:val="1"/>
          <w:sz w:val="20"/>
          <w:szCs w:val="20"/>
        </w:rPr>
        <w:t>报货币为人民币。</w:t>
      </w:r>
    </w:p>
    <w:p w14:paraId="14D54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300"/>
        <w:textAlignment w:val="auto"/>
        <w:rPr>
          <w:rFonts w:ascii="宋体" w:hAnsi="宋体" w:cs="宋体"/>
          <w:color w:val="auto"/>
          <w:kern w:val="1"/>
          <w:sz w:val="20"/>
          <w:szCs w:val="20"/>
        </w:rPr>
      </w:pPr>
      <w:r>
        <w:rPr>
          <w:rFonts w:ascii="宋体" w:hAnsi="宋体" w:cs="宋体"/>
          <w:color w:val="auto"/>
          <w:kern w:val="1"/>
          <w:sz w:val="20"/>
          <w:szCs w:val="20"/>
        </w:rPr>
        <w:t>2.</w:t>
      </w:r>
      <w:r>
        <w:rPr>
          <w:rFonts w:hint="eastAsia" w:ascii="宋体" w:hAnsi="宋体" w:cs="宋体"/>
          <w:color w:val="auto"/>
          <w:kern w:val="1"/>
          <w:sz w:val="20"/>
          <w:szCs w:val="20"/>
        </w:rPr>
        <w:t>如果单项报价与金额合计不符时，以单项报价为准。</w:t>
      </w:r>
    </w:p>
    <w:p w14:paraId="1B917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/>
        <w:textAlignment w:val="auto"/>
        <w:rPr>
          <w:rFonts w:ascii="宋体" w:hAnsi="宋体" w:cs="宋体"/>
          <w:color w:val="auto"/>
          <w:kern w:val="1"/>
          <w:sz w:val="20"/>
          <w:szCs w:val="20"/>
        </w:rPr>
      </w:pPr>
      <w:r>
        <w:rPr>
          <w:rFonts w:ascii="宋体" w:hAnsi="宋体" w:cs="宋体"/>
          <w:color w:val="auto"/>
          <w:kern w:val="1"/>
          <w:sz w:val="20"/>
          <w:szCs w:val="20"/>
        </w:rPr>
        <w:t>3.本表中的“</w:t>
      </w:r>
      <w:r>
        <w:rPr>
          <w:rFonts w:ascii="宋体" w:hAnsi="宋体" w:cs="宋体"/>
          <w:color w:val="auto"/>
          <w:kern w:val="1"/>
          <w:sz w:val="20"/>
          <w:szCs w:val="20"/>
          <w:lang w:val="zh-CN"/>
        </w:rPr>
        <w:t>金额合计</w:t>
      </w:r>
      <w:r>
        <w:rPr>
          <w:rFonts w:ascii="宋体" w:hAnsi="宋体" w:cs="宋体"/>
          <w:color w:val="auto"/>
          <w:kern w:val="1"/>
          <w:sz w:val="20"/>
          <w:szCs w:val="20"/>
        </w:rPr>
        <w:t>”应与“</w:t>
      </w:r>
      <w:r>
        <w:rPr>
          <w:rFonts w:hint="eastAsia" w:ascii="宋体" w:hAnsi="宋体" w:cs="宋体"/>
          <w:color w:val="auto"/>
          <w:kern w:val="1"/>
          <w:sz w:val="20"/>
          <w:szCs w:val="20"/>
          <w:lang w:val="en-US" w:eastAsia="zh-CN"/>
        </w:rPr>
        <w:t>分项</w:t>
      </w:r>
      <w:r>
        <w:rPr>
          <w:rFonts w:hint="eastAsia" w:ascii="宋体" w:hAnsi="宋体" w:cs="宋体"/>
          <w:color w:val="auto"/>
          <w:kern w:val="1"/>
          <w:sz w:val="20"/>
          <w:szCs w:val="20"/>
        </w:rPr>
        <w:t>报价</w:t>
      </w:r>
      <w:r>
        <w:rPr>
          <w:rFonts w:ascii="宋体" w:hAnsi="宋体" w:cs="宋体"/>
          <w:color w:val="auto"/>
          <w:kern w:val="1"/>
          <w:sz w:val="20"/>
          <w:szCs w:val="20"/>
        </w:rPr>
        <w:t>表”中的</w:t>
      </w:r>
      <w:r>
        <w:rPr>
          <w:rFonts w:hint="eastAsia" w:ascii="宋体" w:hAnsi="宋体" w:cs="宋体"/>
          <w:color w:val="auto"/>
          <w:kern w:val="1"/>
          <w:sz w:val="20"/>
          <w:szCs w:val="20"/>
        </w:rPr>
        <w:t>金额</w:t>
      </w:r>
      <w:r>
        <w:rPr>
          <w:rFonts w:ascii="宋体" w:hAnsi="宋体" w:cs="宋体"/>
          <w:color w:val="auto"/>
          <w:kern w:val="1"/>
          <w:sz w:val="20"/>
          <w:szCs w:val="20"/>
        </w:rPr>
        <w:t>一致。</w:t>
      </w:r>
    </w:p>
    <w:p w14:paraId="79DCC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/>
        <w:textAlignment w:val="auto"/>
        <w:rPr>
          <w:rFonts w:ascii="宋体" w:hAnsi="宋体" w:cs="宋体"/>
          <w:color w:val="auto"/>
          <w:kern w:val="1"/>
          <w:sz w:val="20"/>
          <w:szCs w:val="20"/>
        </w:rPr>
      </w:pPr>
    </w:p>
    <w:p w14:paraId="62F8DB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45DA0"/>
    <w:rsid w:val="2104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2026-05-11T06:33:00Z</dcterms:created>
  <dc:creator>知子</dc:creator>
  <cp:lastModifiedBy>知子</cp:lastModifiedBy>
  <dcterms:modified xsi:type="dcterms:W3CDTF">2026-05-11T06:34:11Z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30E9518D67344623B312853A46B31A14_11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