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F6130">
      <w:pPr>
        <w:ind w:firstLine="420"/>
        <w:jc w:val="center"/>
        <w:outlineLvl w:val="9"/>
        <w:rPr>
          <w:rFonts w:hint="eastAsia" w:ascii="宋体" w:hAnsi="宋体" w:eastAsia="宋体" w:cs="宋体"/>
          <w:b/>
          <w:bCs/>
          <w:color w:val="auto"/>
          <w:spacing w:val="-2"/>
          <w:sz w:val="36"/>
          <w:szCs w:val="36"/>
          <w:lang w:val="en-US" w:eastAsia="zh-CN"/>
        </w:rPr>
      </w:pPr>
      <w:r>
        <w:rPr>
          <w:rFonts w:hint="eastAsia" w:ascii="宋体" w:hAnsi="宋体" w:eastAsia="宋体" w:cs="宋体"/>
          <w:b/>
          <w:bCs/>
          <w:color w:val="auto"/>
          <w:spacing w:val="-2"/>
          <w:sz w:val="36"/>
          <w:szCs w:val="36"/>
          <w:lang w:val="en-US" w:eastAsia="zh-CN"/>
        </w:rPr>
        <w:t>陕西ETC发行服务系统2026年度软件技术</w:t>
      </w:r>
    </w:p>
    <w:p w14:paraId="521825B6">
      <w:pPr>
        <w:ind w:firstLine="420"/>
        <w:jc w:val="center"/>
        <w:outlineLvl w:val="9"/>
        <w:rPr>
          <w:rFonts w:hint="eastAsia" w:ascii="宋体" w:hAnsi="宋体" w:cs="宋体"/>
          <w:b/>
          <w:color w:val="auto"/>
          <w:sz w:val="32"/>
          <w:szCs w:val="32"/>
        </w:rPr>
      </w:pPr>
      <w:r>
        <w:rPr>
          <w:rFonts w:hint="eastAsia" w:ascii="宋体" w:hAnsi="宋体" w:eastAsia="宋体" w:cs="宋体"/>
          <w:b/>
          <w:bCs/>
          <w:color w:val="auto"/>
          <w:spacing w:val="-2"/>
          <w:sz w:val="36"/>
          <w:szCs w:val="36"/>
          <w:lang w:val="en-US" w:eastAsia="zh-CN"/>
        </w:rPr>
        <w:t>保障服务项目</w:t>
      </w:r>
    </w:p>
    <w:p w14:paraId="7026B4FA">
      <w:pPr>
        <w:ind w:firstLine="420"/>
        <w:jc w:val="center"/>
        <w:outlineLvl w:val="9"/>
        <w:rPr>
          <w:rFonts w:hint="eastAsia" w:ascii="宋体" w:hAnsi="宋体" w:cs="宋体"/>
          <w:b/>
          <w:color w:val="auto"/>
          <w:sz w:val="32"/>
          <w:szCs w:val="32"/>
        </w:rPr>
      </w:pPr>
    </w:p>
    <w:p w14:paraId="433DD1C1">
      <w:pPr>
        <w:ind w:firstLine="420"/>
        <w:jc w:val="center"/>
        <w:outlineLvl w:val="9"/>
        <w:rPr>
          <w:rFonts w:hint="eastAsia" w:ascii="宋体" w:hAnsi="宋体" w:cs="宋体"/>
          <w:b/>
          <w:color w:val="auto"/>
          <w:sz w:val="36"/>
          <w:szCs w:val="36"/>
        </w:rPr>
      </w:pPr>
      <w:r>
        <w:rPr>
          <w:rFonts w:hint="eastAsia" w:ascii="宋体" w:hAnsi="宋体" w:cs="宋体"/>
          <w:b/>
          <w:color w:val="auto"/>
          <w:sz w:val="32"/>
          <w:szCs w:val="32"/>
        </w:rPr>
        <w:t>合同主要条款</w:t>
      </w:r>
    </w:p>
    <w:p w14:paraId="2E0AEE50">
      <w:pPr>
        <w:ind w:left="0" w:leftChars="0" w:firstLine="0" w:firstLineChars="0"/>
        <w:jc w:val="center"/>
        <w:rPr>
          <w:rFonts w:hint="eastAsia" w:ascii="宋体" w:hAnsi="宋体" w:cs="宋体"/>
          <w:b/>
          <w:bCs/>
          <w:color w:val="auto"/>
          <w:sz w:val="22"/>
          <w:szCs w:val="22"/>
        </w:rPr>
      </w:pPr>
    </w:p>
    <w:p w14:paraId="3949136C">
      <w:pPr>
        <w:ind w:left="0" w:leftChars="0" w:firstLine="0" w:firstLineChars="0"/>
        <w:jc w:val="center"/>
        <w:rPr>
          <w:rFonts w:hint="eastAsia" w:ascii="宋体" w:hAnsi="宋体" w:cs="宋体"/>
          <w:b/>
          <w:bCs/>
          <w:color w:val="auto"/>
          <w:sz w:val="24"/>
        </w:rPr>
      </w:pPr>
      <w:r>
        <w:rPr>
          <w:rFonts w:hint="eastAsia" w:ascii="宋体" w:hAnsi="宋体" w:cs="宋体"/>
          <w:b/>
          <w:bCs/>
          <w:color w:val="auto"/>
          <w:sz w:val="22"/>
          <w:szCs w:val="22"/>
        </w:rPr>
        <w:t>（本</w:t>
      </w:r>
      <w:r>
        <w:rPr>
          <w:rFonts w:hint="eastAsia" w:ascii="宋体" w:hAnsi="宋体" w:cs="宋体"/>
          <w:b/>
          <w:bCs/>
          <w:color w:val="auto"/>
          <w:sz w:val="22"/>
          <w:szCs w:val="22"/>
          <w:lang w:val="en-US" w:eastAsia="zh-CN"/>
        </w:rPr>
        <w:t>合同主要</w:t>
      </w:r>
      <w:r>
        <w:rPr>
          <w:rFonts w:hint="eastAsia" w:ascii="宋体" w:hAnsi="宋体" w:cs="宋体"/>
          <w:b/>
          <w:bCs/>
          <w:color w:val="auto"/>
          <w:sz w:val="22"/>
          <w:szCs w:val="22"/>
        </w:rPr>
        <w:t>条款供双方签订合同参考，采购人可根据项目的实际情况增加条款和内容）</w:t>
      </w:r>
    </w:p>
    <w:p w14:paraId="7A5F3C7E">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rPr>
      </w:pPr>
    </w:p>
    <w:p w14:paraId="1223047A">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rPr>
      </w:pPr>
      <w:r>
        <w:rPr>
          <w:rFonts w:hint="eastAsia" w:ascii="宋体" w:hAnsi="宋体" w:cs="宋体"/>
          <w:color w:val="auto"/>
          <w:kern w:val="0"/>
          <w:sz w:val="24"/>
        </w:rPr>
        <w:t>甲方（采购人）：</w:t>
      </w:r>
    </w:p>
    <w:p w14:paraId="3470E427">
      <w:pPr>
        <w:keepNext w:val="0"/>
        <w:keepLines w:val="0"/>
        <w:pageBreakBefore w:val="0"/>
        <w:widowControl/>
        <w:kinsoku/>
        <w:wordWrap/>
        <w:overflowPunct/>
        <w:topLinePunct w:val="0"/>
        <w:bidi w:val="0"/>
        <w:snapToGrid/>
        <w:spacing w:line="360" w:lineRule="auto"/>
        <w:ind w:firstLine="480"/>
        <w:jc w:val="left"/>
        <w:textAlignment w:val="auto"/>
        <w:rPr>
          <w:rFonts w:hint="eastAsia" w:ascii="宋体" w:hAnsi="宋体" w:cs="宋体"/>
          <w:color w:val="auto"/>
          <w:kern w:val="0"/>
          <w:sz w:val="24"/>
        </w:rPr>
      </w:pPr>
      <w:r>
        <w:rPr>
          <w:rFonts w:hint="eastAsia" w:ascii="宋体" w:hAnsi="宋体" w:cs="宋体"/>
          <w:color w:val="auto"/>
          <w:kern w:val="0"/>
          <w:sz w:val="24"/>
        </w:rPr>
        <w:t>乙方（</w:t>
      </w:r>
      <w:r>
        <w:rPr>
          <w:rFonts w:hint="eastAsia" w:ascii="宋体" w:hAnsi="宋体" w:cs="宋体"/>
          <w:color w:val="auto"/>
          <w:kern w:val="0"/>
          <w:sz w:val="24"/>
          <w:lang w:val="en-US" w:eastAsia="zh-CN"/>
        </w:rPr>
        <w:t>成交</w:t>
      </w:r>
      <w:r>
        <w:rPr>
          <w:rFonts w:hint="eastAsia" w:ascii="宋体" w:hAnsi="宋体" w:cs="宋体"/>
          <w:color w:val="auto"/>
          <w:kern w:val="0"/>
          <w:sz w:val="24"/>
        </w:rPr>
        <w:t xml:space="preserve">供应商）：  </w:t>
      </w:r>
    </w:p>
    <w:p w14:paraId="652DB589">
      <w:pPr>
        <w:keepNext w:val="0"/>
        <w:keepLines w:val="0"/>
        <w:pageBreakBefore w:val="0"/>
        <w:numPr>
          <w:ilvl w:val="0"/>
          <w:numId w:val="1"/>
        </w:numPr>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项目内容：</w:t>
      </w:r>
    </w:p>
    <w:p w14:paraId="02D0A3E5">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二、服务地点、时间、人员</w:t>
      </w:r>
    </w:p>
    <w:p w14:paraId="45AFD56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2.1乙方为甲方提供的服务期限</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2026 年 7 月 1 日至 2027 年 6 月 30 日</w:t>
      </w:r>
      <w:r>
        <w:rPr>
          <w:rFonts w:hint="eastAsia" w:ascii="宋体" w:hAnsi="宋体" w:cs="宋体"/>
          <w:color w:val="auto"/>
          <w:kern w:val="0"/>
          <w:sz w:val="24"/>
        </w:rPr>
        <w:t>。</w:t>
      </w:r>
    </w:p>
    <w:p w14:paraId="0CA46E8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2.2服务地点：</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rPr>
        <w:t>（根据项目的实际情况确定）</w:t>
      </w:r>
    </w:p>
    <w:p w14:paraId="71205C0B">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2.3服务人员要求：人员配置要求必须满足服务要求。</w:t>
      </w:r>
    </w:p>
    <w:p w14:paraId="5477A2E3">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三、权利和义务</w:t>
      </w:r>
    </w:p>
    <w:p w14:paraId="4F49FCB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3.1甲方的权利和义务</w:t>
      </w:r>
    </w:p>
    <w:p w14:paraId="2D5FDD7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3.1.1甲方有权指派专门人员或者单位对乙方的工作进行全程监督管理；</w:t>
      </w:r>
    </w:p>
    <w:p w14:paraId="6574B74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3.1.2甲方应按合同约定向乙方支付服务费用。如乙方服务未达到合同要求，甲方有权拒付未达到要求部分的款项；</w:t>
      </w:r>
    </w:p>
    <w:p w14:paraId="24E7F70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3.1.3甲方有权要求乙方提供与相关服务内容有关的相关信息；</w:t>
      </w:r>
    </w:p>
    <w:p w14:paraId="483D129F">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3.1.4甲方有权得到符合合同要求的所有服务；</w:t>
      </w:r>
    </w:p>
    <w:p w14:paraId="3F0C7C8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3.1.5乙方完成所有协议约定内容后，甲方根据项目实施情况出具的客观公正的书面用户验收意见。</w:t>
      </w:r>
    </w:p>
    <w:p w14:paraId="7828C82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3.2乙方的权利和义务</w:t>
      </w:r>
    </w:p>
    <w:p w14:paraId="677AFFE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3.2.1合作过程中乙方应指派专门的业务负责人负责合作事项的全程沟通及协调工作；</w:t>
      </w:r>
    </w:p>
    <w:p w14:paraId="0849B03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3.2.2乙方应遵守甲方有关合作事项的各项管理规定，及时报告工作进度，在规定时间内完成相应工作；</w:t>
      </w:r>
    </w:p>
    <w:p w14:paraId="5D2B948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3.2.3甲方在工作质量、工作进度、工作内容等方面提出意见及建议，乙方应及时响应并有效改进；</w:t>
      </w:r>
    </w:p>
    <w:p w14:paraId="68CE282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eastAsiaTheme="minorEastAsia"/>
          <w:color w:val="auto"/>
          <w:kern w:val="0"/>
          <w:sz w:val="24"/>
          <w:lang w:eastAsia="zh-CN"/>
        </w:rPr>
      </w:pPr>
      <w:r>
        <w:rPr>
          <w:rFonts w:hint="eastAsia" w:ascii="宋体" w:hAnsi="宋体" w:cs="宋体"/>
          <w:color w:val="auto"/>
          <w:kern w:val="0"/>
          <w:sz w:val="24"/>
        </w:rPr>
        <w:t>3.2.4不得转包、分包</w:t>
      </w:r>
      <w:r>
        <w:rPr>
          <w:rFonts w:hint="eastAsia" w:ascii="宋体" w:hAnsi="宋体" w:cs="宋体"/>
          <w:color w:val="auto"/>
          <w:kern w:val="0"/>
          <w:sz w:val="24"/>
          <w:lang w:eastAsia="zh-CN"/>
        </w:rPr>
        <w:t>。</w:t>
      </w:r>
    </w:p>
    <w:p w14:paraId="112C37EE">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sz w:val="24"/>
        </w:rPr>
      </w:pPr>
      <w:r>
        <w:rPr>
          <w:rFonts w:hint="eastAsia" w:ascii="宋体" w:hAnsi="宋体" w:cs="宋体"/>
          <w:b/>
          <w:bCs/>
          <w:color w:val="auto"/>
          <w:kern w:val="0"/>
          <w:sz w:val="24"/>
        </w:rPr>
        <w:t>四、</w:t>
      </w:r>
      <w:r>
        <w:rPr>
          <w:rFonts w:hint="eastAsia" w:ascii="宋体" w:hAnsi="宋体" w:cs="宋体"/>
          <w:b/>
          <w:bCs/>
          <w:color w:val="auto"/>
          <w:sz w:val="24"/>
        </w:rPr>
        <w:t>支付方式</w:t>
      </w:r>
    </w:p>
    <w:p w14:paraId="0F102999">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4.1合同签订生效并进入服务期后按月支付服务费，服务商按照合同约定每月完成服务并提交服务报告，经采购人审核后10个工作日内支付上月服务费；2026年12月申请年度最后一次支付时，服务商需提供剩余款项的有效银行保函，采购人一次性支付剩余款项，待项目验收通过后退还保函。</w:t>
      </w:r>
    </w:p>
    <w:p w14:paraId="62DC826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4.2服务期间服务总费用不变，采购人无须另向服务单位支付合同约定之外的其它任何费用。</w:t>
      </w:r>
    </w:p>
    <w:p w14:paraId="4C32E0B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4.3服务商须向采购人出具合法有效的发票，采购人进行支付结算。首次支付时供应商应开具全额发票。</w:t>
      </w:r>
    </w:p>
    <w:p w14:paraId="6CD5977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4.4结算方式:银行转账。</w:t>
      </w:r>
    </w:p>
    <w:p w14:paraId="07826502">
      <w:pPr>
        <w:keepNext w:val="0"/>
        <w:keepLines w:val="0"/>
        <w:pageBreakBefore w:val="0"/>
        <w:kinsoku/>
        <w:wordWrap/>
        <w:overflowPunct/>
        <w:topLinePunct w:val="0"/>
        <w:autoSpaceDE w:val="0"/>
        <w:autoSpaceDN w:val="0"/>
        <w:bidi w:val="0"/>
        <w:adjustRightInd w:val="0"/>
        <w:snapToGrid/>
        <w:spacing w:line="360" w:lineRule="auto"/>
        <w:ind w:firstLine="241" w:firstLineChars="100"/>
        <w:textAlignment w:val="auto"/>
        <w:rPr>
          <w:rFonts w:hint="eastAsia" w:ascii="宋体" w:hAnsi="宋体" w:cs="宋体"/>
          <w:b/>
          <w:bCs/>
          <w:color w:val="auto"/>
          <w:sz w:val="24"/>
          <w:lang w:val="zh-CN"/>
        </w:rPr>
      </w:pPr>
      <w:r>
        <w:rPr>
          <w:rFonts w:hint="eastAsia" w:ascii="宋体" w:hAnsi="宋体" w:cs="宋体"/>
          <w:b/>
          <w:bCs/>
          <w:color w:val="auto"/>
          <w:sz w:val="24"/>
        </w:rPr>
        <w:t>五</w:t>
      </w:r>
      <w:r>
        <w:rPr>
          <w:rFonts w:hint="eastAsia" w:ascii="宋体" w:hAnsi="宋体" w:cs="宋体"/>
          <w:b/>
          <w:bCs/>
          <w:color w:val="auto"/>
          <w:sz w:val="24"/>
          <w:lang w:val="zh-CN"/>
        </w:rPr>
        <w:t>、违约责任</w:t>
      </w:r>
    </w:p>
    <w:p w14:paraId="2DA4CE16">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5.1按《中华人民共和国民法典》中的相关条款执行。</w:t>
      </w:r>
    </w:p>
    <w:p w14:paraId="51F2A7F7">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5.2未按合同要求提供服务或服务质量不能满足技术要求的，甲方有权终止合同。对擅自开展合同内涉及的系统软件开展功能修改调整、版本升级等操作影响全省业务正常运行，根据造成的实际损失及影响进行责任追究。</w:t>
      </w:r>
    </w:p>
    <w:p w14:paraId="73FF930E">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5.3因乙方违约造成甲方损失的，由乙方承担全部的损失赔偿责任，包括但不限于直接经济损失及甲方因此开支的交通费、公证费、鉴定费、诉讼费、仲裁费、律师费、保全费、保险费等一切费用。</w:t>
      </w:r>
    </w:p>
    <w:p w14:paraId="7FCE2D56">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5.4服务商如不能及时开具全额发票或采购人要求的保函，采购人有权延时付款且不承担违约责任，直至服务商开具全额发票或采购人要求的保函后再进行付款。</w:t>
      </w:r>
    </w:p>
    <w:p w14:paraId="1EDD2650">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eastAsia="宋体" w:cs="宋体"/>
          <w:b/>
          <w:bCs/>
          <w:color w:val="auto"/>
          <w:kern w:val="0"/>
          <w:sz w:val="24"/>
          <w:lang w:val="en-US" w:eastAsia="zh-CN"/>
        </w:rPr>
      </w:pPr>
      <w:r>
        <w:rPr>
          <w:rFonts w:hint="eastAsia" w:ascii="宋体" w:hAnsi="宋体" w:cs="宋体"/>
          <w:b/>
          <w:bCs/>
          <w:color w:val="auto"/>
          <w:kern w:val="0"/>
          <w:sz w:val="24"/>
        </w:rPr>
        <w:t>六、保密</w:t>
      </w:r>
      <w:r>
        <w:rPr>
          <w:rFonts w:hint="eastAsia" w:ascii="宋体" w:hAnsi="宋体" w:cs="宋体"/>
          <w:b/>
          <w:bCs/>
          <w:color w:val="auto"/>
          <w:kern w:val="0"/>
          <w:sz w:val="24"/>
          <w:lang w:val="en-US" w:eastAsia="zh-CN"/>
        </w:rPr>
        <w:t>要求</w:t>
      </w:r>
    </w:p>
    <w:p w14:paraId="6B8C1D7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lang w:val="en-US" w:eastAsia="zh-CN"/>
        </w:rPr>
        <w:t>6.1项目实施过程中所收集、产生的所有与本项目相关的文档、资料，包括文字、图片、表格、数字等各种形式所属权均归属甲方。服务商必须对所涉及到的内容保密，服务商及服务人员应按照中心项目的统一要求签署《保密协议》（见附件）。</w:t>
      </w:r>
    </w:p>
    <w:p w14:paraId="20B85DBC">
      <w:pPr>
        <w:keepNext w:val="0"/>
        <w:keepLines w:val="0"/>
        <w:pageBreakBefore w:val="0"/>
        <w:kinsoku/>
        <w:wordWrap/>
        <w:overflowPunct/>
        <w:topLinePunct w:val="0"/>
        <w:bidi w:val="0"/>
        <w:snapToGrid/>
        <w:spacing w:line="360" w:lineRule="auto"/>
        <w:ind w:firstLine="360" w:firstLineChars="150"/>
        <w:textAlignment w:val="auto"/>
        <w:rPr>
          <w:rFonts w:hint="default" w:ascii="宋体" w:hAnsi="宋体" w:cs="宋体" w:eastAsiaTheme="minorEastAsia"/>
          <w:b/>
          <w:bCs/>
          <w:color w:val="auto"/>
          <w:kern w:val="0"/>
          <w:sz w:val="24"/>
          <w:lang w:val="en-US" w:eastAsia="zh-CN"/>
        </w:rPr>
      </w:pPr>
      <w:r>
        <w:rPr>
          <w:rFonts w:hint="eastAsia" w:ascii="宋体" w:hAnsi="宋体" w:cs="宋体"/>
          <w:color w:val="auto"/>
          <w:kern w:val="0"/>
          <w:sz w:val="24"/>
        </w:rPr>
        <w:t xml:space="preserve"> </w:t>
      </w:r>
      <w:r>
        <w:rPr>
          <w:rFonts w:hint="eastAsia" w:ascii="宋体" w:hAnsi="宋体" w:cs="宋体"/>
          <w:b/>
          <w:bCs/>
          <w:color w:val="auto"/>
          <w:kern w:val="0"/>
          <w:sz w:val="24"/>
        </w:rPr>
        <w:t>七、</w:t>
      </w:r>
      <w:r>
        <w:rPr>
          <w:rFonts w:hint="eastAsia" w:ascii="宋体" w:hAnsi="宋体" w:cs="宋体"/>
          <w:b/>
          <w:bCs/>
          <w:color w:val="auto"/>
          <w:kern w:val="0"/>
          <w:sz w:val="24"/>
          <w:lang w:val="en-US" w:eastAsia="zh-CN"/>
        </w:rPr>
        <w:t>安全要求</w:t>
      </w:r>
    </w:p>
    <w:p w14:paraId="5A7B8F66">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b w:val="0"/>
          <w:bCs w:val="0"/>
          <w:color w:val="auto"/>
          <w:kern w:val="0"/>
          <w:sz w:val="24"/>
        </w:rPr>
      </w:pPr>
      <w:r>
        <w:rPr>
          <w:rFonts w:hint="eastAsia" w:ascii="宋体" w:hAnsi="宋体" w:cs="宋体"/>
          <w:b w:val="0"/>
          <w:bCs w:val="0"/>
          <w:color w:val="auto"/>
          <w:kern w:val="0"/>
          <w:sz w:val="24"/>
          <w:lang w:val="en-US" w:eastAsia="zh-CN"/>
        </w:rPr>
        <w:t>7.1</w:t>
      </w:r>
      <w:r>
        <w:rPr>
          <w:rFonts w:hint="eastAsia" w:ascii="宋体" w:hAnsi="宋体" w:cs="宋体"/>
          <w:b w:val="0"/>
          <w:bCs w:val="0"/>
          <w:color w:val="auto"/>
          <w:kern w:val="0"/>
          <w:sz w:val="24"/>
        </w:rPr>
        <w:t>服务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服务商未发生过重大网络安全事件。服务商能够按照中心项目的统一要求签署《网络安全责任协议》（见附件）。</w:t>
      </w:r>
    </w:p>
    <w:p w14:paraId="7EA3C9D0">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cs="宋体"/>
          <w:color w:val="auto"/>
          <w:kern w:val="0"/>
          <w:sz w:val="24"/>
        </w:rPr>
      </w:pPr>
      <w:r>
        <w:rPr>
          <w:rFonts w:hint="eastAsia" w:ascii="宋体" w:hAnsi="宋体" w:cs="宋体"/>
          <w:b/>
          <w:bCs/>
          <w:color w:val="auto"/>
          <w:kern w:val="0"/>
          <w:sz w:val="24"/>
          <w:lang w:val="en-US" w:eastAsia="zh-CN"/>
        </w:rPr>
        <w:t>八、</w:t>
      </w:r>
      <w:r>
        <w:rPr>
          <w:rFonts w:hint="eastAsia" w:ascii="宋体" w:hAnsi="宋体" w:cs="宋体"/>
          <w:b/>
          <w:bCs/>
          <w:color w:val="auto"/>
          <w:kern w:val="0"/>
          <w:sz w:val="24"/>
        </w:rPr>
        <w:t>合同争议的解决</w:t>
      </w:r>
    </w:p>
    <w:p w14:paraId="4D7B084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.1合同一经签订，不得擅自变更、中止或者终止合同。对确需变更、调整或者中止、终止合同的，应按规定履行相应的手续。</w:t>
      </w:r>
    </w:p>
    <w:p w14:paraId="7B48094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.2采购人在合同的履行期间以及履行期后，可以随时检查项目的执行情况，对招标标准、招标采购内容进行调查核实，并对发现的问题进行处理。</w:t>
      </w:r>
    </w:p>
    <w:p w14:paraId="26301BA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.3合同争议的解决：双方本着友好合作的态度,对合同履行过程中发生的纠纷应及时协商解决，协商不成的，向采购人所在地有管辖权的人民法院诉讼解决。</w:t>
      </w:r>
    </w:p>
    <w:p w14:paraId="56102626">
      <w:pPr>
        <w:keepNext w:val="0"/>
        <w:keepLines w:val="0"/>
        <w:pageBreakBefore w:val="0"/>
        <w:kinsoku/>
        <w:wordWrap/>
        <w:overflowPunct/>
        <w:topLinePunct w:val="0"/>
        <w:bidi w:val="0"/>
        <w:snapToGrid/>
        <w:spacing w:line="360" w:lineRule="auto"/>
        <w:ind w:firstLine="482"/>
        <w:textAlignment w:val="auto"/>
        <w:rPr>
          <w:rFonts w:hint="eastAsia" w:ascii="宋体" w:hAnsi="宋体" w:cs="宋体"/>
          <w:b/>
          <w:bCs/>
          <w:color w:val="auto"/>
          <w:kern w:val="0"/>
          <w:sz w:val="24"/>
        </w:rPr>
      </w:pPr>
      <w:r>
        <w:rPr>
          <w:rFonts w:hint="eastAsia" w:ascii="宋体" w:hAnsi="宋体" w:cs="宋体"/>
          <w:b/>
          <w:bCs/>
          <w:color w:val="auto"/>
          <w:kern w:val="0"/>
          <w:sz w:val="24"/>
          <w:lang w:val="en-US" w:eastAsia="zh-CN"/>
        </w:rPr>
        <w:t>九</w:t>
      </w:r>
      <w:r>
        <w:rPr>
          <w:rFonts w:hint="eastAsia" w:ascii="宋体" w:hAnsi="宋体" w:cs="宋体"/>
          <w:b/>
          <w:bCs/>
          <w:color w:val="auto"/>
          <w:kern w:val="0"/>
          <w:sz w:val="24"/>
        </w:rPr>
        <w:t>、合同生效及其他</w:t>
      </w:r>
    </w:p>
    <w:p w14:paraId="7440491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.1本合同经甲乙双方签字盖章后生效；</w:t>
      </w:r>
    </w:p>
    <w:p w14:paraId="48C0234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.2本合同中所带的附件，具备合同本身同样的法律效力；</w:t>
      </w:r>
    </w:p>
    <w:p w14:paraId="7203408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.3本合同一式</w:t>
      </w:r>
      <w:r>
        <w:rPr>
          <w:rFonts w:hint="eastAsia" w:ascii="宋体" w:hAnsi="宋体" w:cs="宋体"/>
          <w:color w:val="auto"/>
          <w:kern w:val="0"/>
          <w:sz w:val="24"/>
          <w:u w:val="single"/>
        </w:rPr>
        <w:t xml:space="preserve">   </w:t>
      </w:r>
      <w:r>
        <w:rPr>
          <w:rFonts w:hint="eastAsia" w:ascii="宋体" w:hAnsi="宋体" w:cs="宋体"/>
          <w:color w:val="auto"/>
          <w:kern w:val="0"/>
          <w:sz w:val="24"/>
        </w:rPr>
        <w:t>份，其中，甲方</w:t>
      </w:r>
      <w:r>
        <w:rPr>
          <w:rFonts w:hint="eastAsia" w:ascii="宋体" w:hAnsi="宋体" w:cs="宋体"/>
          <w:color w:val="auto"/>
          <w:kern w:val="0"/>
          <w:sz w:val="24"/>
          <w:u w:val="single"/>
        </w:rPr>
        <w:t xml:space="preserve">  </w:t>
      </w:r>
      <w:r>
        <w:rPr>
          <w:rFonts w:hint="eastAsia" w:ascii="宋体" w:hAnsi="宋体" w:cs="宋体"/>
          <w:color w:val="auto"/>
          <w:kern w:val="0"/>
          <w:sz w:val="24"/>
        </w:rPr>
        <w:t>份，乙方</w:t>
      </w:r>
      <w:r>
        <w:rPr>
          <w:rFonts w:hint="eastAsia" w:ascii="宋体" w:hAnsi="宋体" w:cs="宋体"/>
          <w:color w:val="auto"/>
          <w:kern w:val="0"/>
          <w:sz w:val="24"/>
          <w:u w:val="single"/>
        </w:rPr>
        <w:t xml:space="preserve">   </w:t>
      </w:r>
      <w:r>
        <w:rPr>
          <w:rFonts w:hint="eastAsia" w:ascii="宋体" w:hAnsi="宋体" w:cs="宋体"/>
          <w:color w:val="auto"/>
          <w:kern w:val="0"/>
          <w:sz w:val="24"/>
        </w:rPr>
        <w:t>份。均具有同等法律效力。</w:t>
      </w:r>
    </w:p>
    <w:p w14:paraId="0090805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.4乙方收款账号信息如下：</w:t>
      </w:r>
    </w:p>
    <w:p w14:paraId="3858232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.4.1开户名称：</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39D7A26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.4.2账    号：</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37BD9BEB">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.4.3开户银行：</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788A4960">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9</w:t>
      </w:r>
      <w:r>
        <w:rPr>
          <w:rFonts w:hint="eastAsia" w:ascii="宋体" w:hAnsi="宋体" w:cs="宋体"/>
          <w:color w:val="auto"/>
          <w:kern w:val="0"/>
          <w:sz w:val="24"/>
        </w:rPr>
        <w:t>.5本合同未尽事宜，双方以补充合同完善。</w:t>
      </w:r>
    </w:p>
    <w:p w14:paraId="0A5F504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eastAsia="zh-CN"/>
        </w:rPr>
      </w:pPr>
    </w:p>
    <w:p w14:paraId="79505897">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eastAsia="zh-CN"/>
        </w:rPr>
      </w:pPr>
    </w:p>
    <w:p w14:paraId="0737267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eastAsia="zh-CN"/>
        </w:rPr>
      </w:pPr>
    </w:p>
    <w:p w14:paraId="2D86254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eastAsia="zh-CN"/>
        </w:rPr>
      </w:pPr>
    </w:p>
    <w:p w14:paraId="1B5F59C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eastAsia="zh-CN"/>
        </w:rPr>
      </w:pPr>
    </w:p>
    <w:p w14:paraId="1720DCD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lang w:eastAsia="zh-CN"/>
        </w:rPr>
      </w:pPr>
    </w:p>
    <w:p w14:paraId="31B0E0FC">
      <w:pPr>
        <w:keepNext w:val="0"/>
        <w:keepLines w:val="0"/>
        <w:pageBreakBefore w:val="0"/>
        <w:kinsoku/>
        <w:wordWrap/>
        <w:overflowPunct/>
        <w:topLinePunct w:val="0"/>
        <w:bidi w:val="0"/>
        <w:snapToGrid/>
        <w:spacing w:line="360" w:lineRule="auto"/>
        <w:ind w:firstLine="480"/>
        <w:textAlignment w:val="auto"/>
        <w:rPr>
          <w:rFonts w:hint="eastAsia" w:ascii="宋体" w:hAnsi="宋体" w:cs="宋体" w:eastAsiaTheme="minorEastAsia"/>
          <w:color w:val="auto"/>
          <w:kern w:val="0"/>
          <w:sz w:val="24"/>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以下无正文</w:t>
      </w:r>
      <w:r>
        <w:rPr>
          <w:rFonts w:hint="eastAsia" w:ascii="宋体" w:hAnsi="宋体" w:cs="宋体"/>
          <w:color w:val="auto"/>
          <w:kern w:val="0"/>
          <w:sz w:val="24"/>
          <w:lang w:eastAsia="zh-CN"/>
        </w:rPr>
        <w:t>）</w:t>
      </w:r>
    </w:p>
    <w:p w14:paraId="3E5BAB4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p>
    <w:p w14:paraId="76BE659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 xml:space="preserve">甲方：（盖章）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乙方：（盖章）</w:t>
      </w:r>
    </w:p>
    <w:p w14:paraId="0633772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法定代表人/授权代表：              法定代表人/授权代表：</w:t>
      </w:r>
    </w:p>
    <w:p w14:paraId="4FCB142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地    址：                         地    址：</w:t>
      </w:r>
    </w:p>
    <w:p w14:paraId="1654907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开户银行：                         开户银行：</w:t>
      </w:r>
    </w:p>
    <w:p w14:paraId="365D996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账    号：                         账    号：</w:t>
      </w:r>
    </w:p>
    <w:p w14:paraId="0055F1F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电    话：                         电    话：</w:t>
      </w:r>
    </w:p>
    <w:p w14:paraId="265BA40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传    真：                         传    真：</w:t>
      </w:r>
    </w:p>
    <w:p w14:paraId="7E135C55">
      <w:pPr>
        <w:keepNext w:val="0"/>
        <w:keepLines w:val="0"/>
        <w:pageBreakBefore w:val="0"/>
        <w:kinsoku/>
        <w:wordWrap/>
        <w:overflowPunct/>
        <w:topLinePunct w:val="0"/>
        <w:bidi w:val="0"/>
        <w:snapToGrid/>
        <w:spacing w:line="360" w:lineRule="auto"/>
        <w:ind w:firstLine="480" w:firstLineChars="200"/>
        <w:jc w:val="left"/>
        <w:textAlignment w:val="auto"/>
        <w:outlineLvl w:val="9"/>
        <w:rPr>
          <w:color w:val="auto"/>
        </w:rPr>
      </w:pPr>
      <w:r>
        <w:rPr>
          <w:rFonts w:hint="eastAsia" w:ascii="宋体" w:hAnsi="宋体" w:cs="宋体"/>
          <w:color w:val="auto"/>
          <w:kern w:val="0"/>
          <w:sz w:val="24"/>
          <w:lang w:val="en-US" w:eastAsia="zh-CN"/>
        </w:rPr>
        <w:t>签订</w:t>
      </w:r>
      <w:r>
        <w:rPr>
          <w:rFonts w:hint="eastAsia" w:ascii="宋体" w:hAnsi="宋体" w:cs="宋体"/>
          <w:color w:val="auto"/>
          <w:kern w:val="0"/>
          <w:sz w:val="24"/>
        </w:rPr>
        <w:t xml:space="preserve">日期：  年   月  日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w:t>
      </w:r>
      <w:r>
        <w:rPr>
          <w:rFonts w:hint="eastAsia" w:ascii="宋体" w:hAnsi="宋体" w:cs="宋体"/>
          <w:color w:val="auto"/>
          <w:kern w:val="0"/>
          <w:sz w:val="24"/>
          <w:lang w:val="en-US" w:eastAsia="zh-CN"/>
        </w:rPr>
        <w:t>签订</w:t>
      </w:r>
      <w:r>
        <w:rPr>
          <w:rFonts w:hint="eastAsia" w:ascii="宋体" w:hAnsi="宋体" w:cs="宋体"/>
          <w:color w:val="auto"/>
          <w:kern w:val="0"/>
          <w:sz w:val="24"/>
        </w:rPr>
        <w:t>日期：  年  月   日</w:t>
      </w:r>
    </w:p>
    <w:p w14:paraId="14848920">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6B70E6A8">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135BDFDC">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58534F9A">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63DD1A1B">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68088B38">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1CBCD660">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0EC172A5">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22709C9F">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6D1EF8F4">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195F9928">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1DE0BEC5">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31297D5D">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7E9EBB2D">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7ECAAA9A">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2CF2A035">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0959A44F">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7BD81AC9">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7F88514E">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554784CB">
      <w:pPr>
        <w:keepNext w:val="0"/>
        <w:keepLines w:val="0"/>
        <w:pageBreakBefore w:val="0"/>
        <w:kinsoku/>
        <w:wordWrap/>
        <w:overflowPunct/>
        <w:topLinePunct w:val="0"/>
        <w:autoSpaceDN/>
        <w:bidi w:val="0"/>
        <w:adjustRightInd/>
        <w:snapToGrid/>
        <w:spacing w:line="560" w:lineRule="exact"/>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ko-KR" w:eastAsia="ko-KR" w:bidi="ar-SA"/>
        </w:rPr>
        <w:t>附件</w:t>
      </w:r>
      <w:r>
        <w:rPr>
          <w:rFonts w:hint="eastAsia" w:ascii="仿宋" w:hAnsi="仿宋" w:eastAsia="仿宋" w:cs="仿宋"/>
          <w:color w:val="auto"/>
          <w:kern w:val="2"/>
          <w:sz w:val="32"/>
          <w:szCs w:val="32"/>
          <w:highlight w:val="none"/>
          <w:lang w:val="en-US" w:eastAsia="zh-CN" w:bidi="ar-SA"/>
        </w:rPr>
        <w:t>1</w:t>
      </w:r>
    </w:p>
    <w:p w14:paraId="699FD962">
      <w:pPr>
        <w:keepNext w:val="0"/>
        <w:keepLines w:val="0"/>
        <w:pageBreakBefore w:val="0"/>
        <w:kinsoku/>
        <w:wordWrap/>
        <w:overflowPunct/>
        <w:topLinePunct w:val="0"/>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b w:val="0"/>
          <w:bCs w:val="0"/>
          <w:color w:val="auto"/>
          <w:sz w:val="32"/>
          <w:szCs w:val="32"/>
          <w:highlight w:val="none"/>
        </w:rPr>
      </w:pPr>
      <w:r>
        <w:rPr>
          <w:rFonts w:hint="eastAsia" w:ascii="方正小标宋简体" w:hAnsi="方正小标宋简体" w:eastAsia="方正小标宋简体" w:cs="方正小标宋简体"/>
          <w:b w:val="0"/>
          <w:bCs w:val="0"/>
          <w:color w:val="auto"/>
          <w:sz w:val="32"/>
          <w:szCs w:val="32"/>
          <w:highlight w:val="none"/>
        </w:rPr>
        <w:t>网络安全责任协议</w:t>
      </w:r>
    </w:p>
    <w:p w14:paraId="2E3191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陕西省高速公路收费中心（以下简称“甲方”）委托</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以下简称“乙方”）进行运维服务，为加强信息系统网络安全管理工作，保障系统安全稳定运行，按照《中华人民共和国网络安全法》规定，网络安全等级保护及部、省网络安全有关要求，结合《陕西省高速公路收费中心信息系统网络安全管理办法》，经甲乙双方友好协商，签订本网络安全责任协议：</w:t>
      </w:r>
    </w:p>
    <w:p w14:paraId="56B4233B">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第一条 术语定义</w:t>
      </w:r>
    </w:p>
    <w:p w14:paraId="3ABE4DD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1.本协议甲方关键岗位为系统管理员、安全管理员、审计管理员。</w:t>
      </w:r>
    </w:p>
    <w:p w14:paraId="6F7B733C">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2.本协议乙方关键岗位为参与系统设计、开发、测试、运维等系统全生命周期的所有相关人员。</w:t>
      </w:r>
    </w:p>
    <w:p w14:paraId="44554877">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第二条 总体要求</w:t>
      </w:r>
    </w:p>
    <w:p w14:paraId="651E0AB3">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双方要贯彻落实网络安全法律法规，认真执行交通运输部、省委省政府、省交通运输厅和甲方的网络安全规章制度，</w:t>
      </w:r>
    </w:p>
    <w:p w14:paraId="3F283075">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落实网络安全责任，把网络安全工作纳入重要工作，明确网络安全关键岗位人员及职责，开展关键岗位人员背景审查，与关键岗位人员签订网络安全责任书和保密协议，共同保障系统安全稳定运行。</w:t>
      </w:r>
    </w:p>
    <w:p w14:paraId="40BCAB84">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第三条 建设要求</w:t>
      </w:r>
    </w:p>
    <w:p w14:paraId="2F135861">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1.新建、升级改造的系统，乙方提供的硬件、软件和服务，要符合国家法律、行政法规的规定以及强制性国家标准要求，并通过权威机构的安全认证。</w:t>
      </w:r>
    </w:p>
    <w:p w14:paraId="691B3A98">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新建、升级改造的系统或现有系统新增功能上线前，乙方要委托具有网络安全相关专业能力的机构进行安全检测，安全检测要至少包括系统部署环境评估、安全漏洞扫描、基线配置核查、渗透测试、代码安全审计五方面内容，出具安全检测报告，向甲方报送安全检测报告并提供系统资产清单（所有运行需要使用的软件、插件、进程、IP、端口等）后，系统或新增功能方可正式上线。</w:t>
      </w:r>
    </w:p>
    <w:p w14:paraId="064B2F76">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3.乙方要严格按照软件工程规范、系统安全需求进行业务应用系统设计开发，不得在程序代码中植入后门、隐蔽信道和恶意代码，同时要关闭高危端口，与业务无关的端口、进程和服务。</w:t>
      </w:r>
    </w:p>
    <w:p w14:paraId="48735742">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第四条 服务要求</w:t>
      </w:r>
    </w:p>
    <w:p w14:paraId="4FF408B9">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1.乙方要制定完善网络安全服务规范，建立更新系统资产台账，形成系统网络拓扑图，清理已被替换的老旧系统、未关停的测试系统、废弃无用系统等“僵尸系统”，确保资产信息全面准确。</w:t>
      </w:r>
    </w:p>
    <w:p w14:paraId="71379F37">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要定期开展系统网络安全意识教育和专业技能培训，提升工作人员网络安全意识和技能，从事甲方安全服务人员要具备漏洞检测、策略配置、加固整改、安全监测等技术能力，能够熟练使用网络安全常见产品和工具。</w:t>
      </w:r>
    </w:p>
    <w:p w14:paraId="14E5D694">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3.乙方要定期开展漏洞扫描、配置核查、渗透测试等系统自查行动，建立漏洞隐患清单，彻底消除口令问题，严格密码存储管理要求，确保中高危隐患清零。</w:t>
      </w:r>
    </w:p>
    <w:p w14:paraId="2EB7A141">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4.乙方要保存系统基础配置信息，留存的系统相关日志不少于六个月，并定期对日志进行审计分析，严格控制运维工具使用，规范日常运维操作行为，形成运维过程相应表单记录。</w:t>
      </w:r>
    </w:p>
    <w:p w14:paraId="6D90AB79">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5.乙方要及时清理离职离岗人员权限，按照最小化原则进行账号授权，及时升级安装最新补丁和杀毒软件，确保系统软件升至最新版本。</w:t>
      </w:r>
    </w:p>
    <w:p w14:paraId="44621317">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6.乙方要加强系统介质管理，严格介质使用要求，杜绝专网设备违规外联，严格边界访问控制，定期核查优化安全策略。</w:t>
      </w:r>
    </w:p>
    <w:p w14:paraId="1DA58E7B">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7.乙方要严格落实国家和行业对数据和个人信息保护相关要求，建立数据访问管理清单，做好数据备份存储工作，定期检查数据有效性，采取脱敏处理及存储加密等安全措施，确保个人信息安全。</w:t>
      </w:r>
    </w:p>
    <w:p w14:paraId="44C79D73">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8.乙方要加强系统安全风险预警响应，积极利用已有监测方式、第三方监测手段或自行开发的脚本，做好系统异常行为监测，及时处置告警信息，确保系统正常运行。</w:t>
      </w:r>
    </w:p>
    <w:p w14:paraId="69177FF2">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第五条 责任追究</w:t>
      </w:r>
    </w:p>
    <w:p w14:paraId="6AEC80C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若乙方未落实本网络安全责任协议内容或因防护不当、未及时发现攻击行为，造成部、省、公安、网信等有关部门通报，发现并通报1次，扣除服务费5000元；造成网络安全事件时，将按照国家，部、省、甲方等网络安全相关规定，根据造成的实际损失、影响，上报有关部门，同时进行责任追究。</w:t>
      </w:r>
    </w:p>
    <w:p w14:paraId="595A449E">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第六条 争议解决</w:t>
      </w:r>
    </w:p>
    <w:p w14:paraId="6F950EBA">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双方友好协商解决本协议中的争议。协商不成的，任何一方都有权向甲方所在地人民法院提起诉讼。</w:t>
      </w:r>
    </w:p>
    <w:p w14:paraId="6361C016">
      <w:pPr>
        <w:keepNext w:val="0"/>
        <w:keepLines w:val="0"/>
        <w:pageBreakBefore w:val="0"/>
        <w:kinsoku/>
        <w:wordWrap/>
        <w:overflowPunct/>
        <w:topLinePunct w:val="0"/>
        <w:autoSpaceDE/>
        <w:autoSpaceDN/>
        <w:bidi w:val="0"/>
        <w:adjustRightInd/>
        <w:snapToGrid/>
        <w:spacing w:line="560" w:lineRule="exact"/>
        <w:ind w:firstLine="482" w:firstLineChars="200"/>
        <w:textAlignment w:val="auto"/>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第七条 法律适用、协议文本及效力和变更</w:t>
      </w:r>
    </w:p>
    <w:p w14:paraId="1FDB772A">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1.本协议适用中华人民共和国的法律。</w:t>
      </w:r>
    </w:p>
    <w:p w14:paraId="2FD1166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2.本协议未尽事宜按国家有关法律法规、行业和甲方有关规定执行。</w:t>
      </w:r>
    </w:p>
    <w:p w14:paraId="5002154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3.本协议的任何修改必须经过双方协商一致，并以书面方式确认方为有效。</w:t>
      </w:r>
    </w:p>
    <w:p w14:paraId="0AC25D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4.本协议经双方法定代表人、负责人或</w:t>
      </w:r>
      <w:r>
        <w:rPr>
          <w:rFonts w:hint="eastAsia" w:ascii="方正仿宋_GB2312" w:hAnsi="方正仿宋_GB2312" w:eastAsia="方正仿宋_GB2312" w:cs="方正仿宋_GB2312"/>
          <w:color w:val="auto"/>
          <w:kern w:val="2"/>
          <w:sz w:val="24"/>
          <w:szCs w:val="24"/>
          <w:lang w:val="en-US" w:eastAsia="zh-CN" w:bidi="ar"/>
        </w:rPr>
        <w:t>授权代表</w:t>
      </w:r>
      <w:r>
        <w:rPr>
          <w:rFonts w:hint="eastAsia" w:ascii="方正仿宋_GB2312" w:hAnsi="方正仿宋_GB2312" w:eastAsia="方正仿宋_GB2312" w:cs="方正仿宋_GB2312"/>
          <w:color w:val="auto"/>
          <w:sz w:val="24"/>
          <w:szCs w:val="24"/>
          <w:highlight w:val="none"/>
        </w:rPr>
        <w:t>签字并加盖单位公章后生效。</w:t>
      </w:r>
    </w:p>
    <w:p w14:paraId="2F5CB8FA">
      <w:pPr>
        <w:keepNext w:val="0"/>
        <w:keepLines w:val="0"/>
        <w:pageBreakBefore w:val="0"/>
        <w:widowControl/>
        <w:kinsoku/>
        <w:wordWrap/>
        <w:overflowPunct/>
        <w:topLinePunct w:val="0"/>
        <w:autoSpaceDE/>
        <w:autoSpaceDN/>
        <w:bidi w:val="0"/>
        <w:adjustRightInd/>
        <w:snapToGrid/>
        <w:spacing w:line="560" w:lineRule="exact"/>
        <w:ind w:firstLine="0" w:firstLineChars="0"/>
        <w:jc w:val="left"/>
        <w:textAlignment w:val="auto"/>
        <w:outlineLvl w:val="9"/>
        <w:rPr>
          <w:rFonts w:hint="eastAsia" w:ascii="仿宋" w:hAnsi="仿宋" w:eastAsia="仿宋" w:cs="仿宋"/>
          <w:b/>
          <w:bCs/>
          <w:color w:val="auto"/>
          <w:sz w:val="24"/>
          <w:szCs w:val="24"/>
          <w:highlight w:val="none"/>
          <w:lang w:val="ko-KR" w:eastAsia="ko-KR"/>
        </w:rPr>
      </w:pPr>
    </w:p>
    <w:p w14:paraId="6773B3C2">
      <w:pPr>
        <w:keepNext w:val="0"/>
        <w:keepLines w:val="0"/>
        <w:pageBreakBefore w:val="0"/>
        <w:widowControl/>
        <w:kinsoku/>
        <w:wordWrap/>
        <w:overflowPunct/>
        <w:topLinePunct w:val="0"/>
        <w:autoSpaceDE/>
        <w:autoSpaceDN/>
        <w:bidi w:val="0"/>
        <w:adjustRightInd/>
        <w:snapToGrid/>
        <w:spacing w:line="560" w:lineRule="exact"/>
        <w:ind w:firstLine="0" w:firstLineChars="0"/>
        <w:jc w:val="left"/>
        <w:textAlignment w:val="auto"/>
        <w:outlineLvl w:val="9"/>
        <w:rPr>
          <w:rFonts w:hint="eastAsia" w:ascii="仿宋" w:hAnsi="仿宋" w:eastAsia="仿宋" w:cs="仿宋"/>
          <w:b/>
          <w:bCs/>
          <w:color w:val="auto"/>
          <w:sz w:val="24"/>
          <w:szCs w:val="24"/>
          <w:highlight w:val="none"/>
          <w:lang w:val="ko-KR" w:eastAsia="ko-KR"/>
        </w:rPr>
      </w:pPr>
    </w:p>
    <w:p w14:paraId="443502EA">
      <w:pPr>
        <w:keepNext w:val="0"/>
        <w:keepLines w:val="0"/>
        <w:pageBreakBefore w:val="0"/>
        <w:kinsoku/>
        <w:wordWrap/>
        <w:overflowPunct/>
        <w:topLinePunct w:val="0"/>
        <w:autoSpaceDN/>
        <w:bidi w:val="0"/>
        <w:adjustRightInd/>
        <w:snapToGrid/>
        <w:spacing w:line="560" w:lineRule="exac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 w:hAnsi="仿宋" w:eastAsia="仿宋" w:cs="仿宋"/>
          <w:b/>
          <w:bCs/>
          <w:color w:val="auto"/>
          <w:sz w:val="24"/>
          <w:szCs w:val="24"/>
          <w:highlight w:val="none"/>
          <w:lang w:val="ko-KR" w:eastAsia="ko-KR"/>
        </w:rPr>
        <w:br w:type="page"/>
      </w:r>
      <w:r>
        <w:rPr>
          <w:rFonts w:hint="eastAsia" w:ascii="仿宋_GB2312" w:hAnsi="仿宋_GB2312" w:eastAsia="仿宋_GB2312" w:cs="仿宋_GB2312"/>
          <w:color w:val="auto"/>
          <w:kern w:val="2"/>
          <w:sz w:val="32"/>
          <w:szCs w:val="32"/>
          <w:highlight w:val="none"/>
          <w:lang w:val="ko-KR" w:eastAsia="ko-KR" w:bidi="ar-SA"/>
        </w:rPr>
        <w:t>附件</w:t>
      </w:r>
      <w:r>
        <w:rPr>
          <w:rFonts w:hint="eastAsia" w:ascii="仿宋_GB2312" w:hAnsi="仿宋_GB2312" w:eastAsia="仿宋_GB2312" w:cs="仿宋_GB2312"/>
          <w:color w:val="auto"/>
          <w:kern w:val="2"/>
          <w:sz w:val="32"/>
          <w:szCs w:val="32"/>
          <w:highlight w:val="none"/>
          <w:lang w:val="en-US" w:eastAsia="zh-CN" w:bidi="ar-SA"/>
        </w:rPr>
        <w:t>2</w:t>
      </w:r>
    </w:p>
    <w:p w14:paraId="6C3586A2">
      <w:pPr>
        <w:keepNext w:val="0"/>
        <w:keepLines w:val="0"/>
        <w:pageBreakBefore w:val="0"/>
        <w:kinsoku/>
        <w:wordWrap/>
        <w:overflowPunct/>
        <w:topLinePunct w:val="0"/>
        <w:autoSpaceDN/>
        <w:bidi w:val="0"/>
        <w:adjustRightInd/>
        <w:snapToGrid/>
        <w:spacing w:line="560" w:lineRule="exact"/>
        <w:jc w:val="center"/>
        <w:textAlignment w:val="auto"/>
        <w:rPr>
          <w:rFonts w:hint="eastAsia" w:ascii="仿宋_GB2312" w:hAnsi="仿宋_GB2312" w:eastAsia="仿宋_GB2312" w:cs="仿宋_GB2312"/>
          <w:b/>
          <w:bCs/>
          <w:color w:val="auto"/>
          <w:sz w:val="32"/>
          <w:szCs w:val="32"/>
          <w:highlight w:val="none"/>
          <w:lang w:val="ko-KR" w:eastAsia="ko-KR"/>
        </w:rPr>
      </w:pPr>
      <w:r>
        <w:rPr>
          <w:rFonts w:hint="eastAsia" w:ascii="仿宋_GB2312" w:hAnsi="仿宋_GB2312" w:eastAsia="仿宋_GB2312" w:cs="仿宋_GB2312"/>
          <w:b/>
          <w:bCs/>
          <w:color w:val="auto"/>
          <w:sz w:val="32"/>
          <w:szCs w:val="32"/>
          <w:highlight w:val="none"/>
          <w:lang w:val="ko-KR" w:eastAsia="ko-KR"/>
        </w:rPr>
        <w:t>保 密 协 议</w:t>
      </w:r>
    </w:p>
    <w:p w14:paraId="61FB4A91">
      <w:pPr>
        <w:keepNext w:val="0"/>
        <w:keepLines w:val="0"/>
        <w:pageBreakBefore w:val="0"/>
        <w:kinsoku/>
        <w:wordWrap/>
        <w:overflowPunct/>
        <w:topLinePunct w:val="0"/>
        <w:autoSpaceDN/>
        <w:bidi w:val="0"/>
        <w:adjustRightInd/>
        <w:snapToGrid/>
        <w:spacing w:line="560" w:lineRule="exact"/>
        <w:ind w:firstLine="400"/>
        <w:textAlignment w:val="auto"/>
        <w:rPr>
          <w:rFonts w:hint="eastAsia" w:ascii="宋体" w:hAnsi="宋体" w:eastAsia="宋体" w:cs="宋体"/>
          <w:color w:val="auto"/>
          <w:sz w:val="24"/>
          <w:szCs w:val="24"/>
          <w:highlight w:val="none"/>
          <w:lang w:eastAsia="zh-CN"/>
        </w:rPr>
      </w:pPr>
    </w:p>
    <w:p w14:paraId="6C245EA6">
      <w:pPr>
        <w:keepNext w:val="0"/>
        <w:keepLines w:val="0"/>
        <w:pageBreakBefore w:val="0"/>
        <w:widowControl w:val="0"/>
        <w:kinsoku/>
        <w:wordWrap/>
        <w:overflowPunct/>
        <w:topLinePunct w:val="0"/>
        <w:autoSpaceDN/>
        <w:bidi w:val="0"/>
        <w:adjustRightInd/>
        <w:snapToGrid/>
        <w:spacing w:line="400" w:lineRule="exact"/>
        <w:ind w:firstLine="560"/>
        <w:jc w:val="left"/>
        <w:textAlignment w:val="auto"/>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eastAsia="zh-CN"/>
        </w:rPr>
        <w:t>甲方与乙方签订《</w:t>
      </w:r>
      <w:r>
        <w:rPr>
          <w:rFonts w:hint="eastAsia" w:ascii="方正仿宋_GB2312" w:hAnsi="方正仿宋_GB2312" w:eastAsia="方正仿宋_GB2312" w:cs="方正仿宋_GB2312"/>
          <w:color w:val="auto"/>
          <w:sz w:val="24"/>
          <w:szCs w:val="24"/>
          <w:highlight w:val="none"/>
          <w:lang w:val="en-US" w:eastAsia="zh-CN"/>
        </w:rPr>
        <w:t>******合同</w:t>
      </w:r>
      <w:r>
        <w:rPr>
          <w:rFonts w:hint="eastAsia" w:ascii="方正仿宋_GB2312" w:hAnsi="方正仿宋_GB2312" w:eastAsia="方正仿宋_GB2312" w:cs="方正仿宋_GB2312"/>
          <w:color w:val="auto"/>
          <w:sz w:val="24"/>
          <w:szCs w:val="24"/>
          <w:highlight w:val="none"/>
          <w:lang w:eastAsia="zh-CN"/>
        </w:rPr>
        <w:t>》。为了在项目实施的过程中，使甲乙双方的保密信息、知识产权和相关的合同信息不受到侵害。为此甲、乙双方在履行本协议时，均应遵守《中华人民共和国保守国家秘密法》和《反不正当竞争法》等法律规定，并严格按照以下条款规定开展工作：</w:t>
      </w:r>
    </w:p>
    <w:p w14:paraId="36C43D0B">
      <w:pPr>
        <w:keepNext w:val="0"/>
        <w:keepLines w:val="0"/>
        <w:pageBreakBefore w:val="0"/>
        <w:widowControl w:val="0"/>
        <w:kinsoku/>
        <w:wordWrap/>
        <w:overflowPunct/>
        <w:topLinePunct w:val="0"/>
        <w:autoSpaceDN/>
        <w:bidi w:val="0"/>
        <w:adjustRightInd/>
        <w:snapToGrid/>
        <w:spacing w:line="400" w:lineRule="exact"/>
        <w:ind w:firstLine="562"/>
        <w:textAlignment w:val="auto"/>
        <w:rPr>
          <w:rFonts w:hint="eastAsia" w:ascii="方正仿宋_GB2312" w:hAnsi="方正仿宋_GB2312" w:eastAsia="方正仿宋_GB2312" w:cs="方正仿宋_GB2312"/>
          <w:b/>
          <w:bCs/>
          <w:color w:val="auto"/>
          <w:sz w:val="24"/>
          <w:szCs w:val="24"/>
          <w:highlight w:val="none"/>
          <w:lang w:val="ko-KR" w:eastAsia="ko-KR"/>
        </w:rPr>
      </w:pPr>
      <w:r>
        <w:rPr>
          <w:rFonts w:hint="eastAsia" w:ascii="方正仿宋_GB2312" w:hAnsi="方正仿宋_GB2312" w:eastAsia="方正仿宋_GB2312" w:cs="方正仿宋_GB2312"/>
          <w:b/>
          <w:bCs/>
          <w:color w:val="auto"/>
          <w:sz w:val="24"/>
          <w:szCs w:val="24"/>
          <w:highlight w:val="none"/>
          <w:lang w:val="ko-KR" w:eastAsia="ko-KR"/>
        </w:rPr>
        <w:t>一、保密内容</w:t>
      </w:r>
    </w:p>
    <w:p w14:paraId="5BB363F2">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（一）乙方需要保密内容：乙方在履行合同的过程中所获悉的甲方提供的系统信息资产台账、系统网络拓扑信息、系统配置信息、系统运行的数据等，以及经甲方声明需要保密信息。</w:t>
      </w:r>
    </w:p>
    <w:p w14:paraId="24FDADAD">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（二）甲方需要保密内容：乙方在系统运维服务中使用的流程、方法以及乙方声明需要保密的其他信息。</w:t>
      </w:r>
    </w:p>
    <w:p w14:paraId="389D78BF">
      <w:pPr>
        <w:keepNext w:val="0"/>
        <w:keepLines w:val="0"/>
        <w:pageBreakBefore w:val="0"/>
        <w:widowControl w:val="0"/>
        <w:kinsoku/>
        <w:wordWrap/>
        <w:overflowPunct/>
        <w:topLinePunct w:val="0"/>
        <w:autoSpaceDN/>
        <w:bidi w:val="0"/>
        <w:adjustRightInd/>
        <w:snapToGrid/>
        <w:spacing w:line="400" w:lineRule="exact"/>
        <w:ind w:firstLine="562"/>
        <w:textAlignment w:val="auto"/>
        <w:rPr>
          <w:rFonts w:hint="eastAsia" w:ascii="方正仿宋_GB2312" w:hAnsi="方正仿宋_GB2312" w:eastAsia="方正仿宋_GB2312" w:cs="方正仿宋_GB2312"/>
          <w:b/>
          <w:bCs/>
          <w:color w:val="auto"/>
          <w:sz w:val="24"/>
          <w:szCs w:val="24"/>
          <w:highlight w:val="none"/>
          <w:lang w:val="ko-KR" w:eastAsia="ko-KR"/>
        </w:rPr>
      </w:pPr>
      <w:r>
        <w:rPr>
          <w:rFonts w:hint="eastAsia" w:ascii="方正仿宋_GB2312" w:hAnsi="方正仿宋_GB2312" w:eastAsia="方正仿宋_GB2312" w:cs="方正仿宋_GB2312"/>
          <w:b/>
          <w:bCs/>
          <w:color w:val="auto"/>
          <w:sz w:val="24"/>
          <w:szCs w:val="24"/>
          <w:highlight w:val="none"/>
          <w:lang w:val="ko-KR" w:eastAsia="ko-KR"/>
        </w:rPr>
        <w:t>二、保密信息的使用</w:t>
      </w:r>
    </w:p>
    <w:p w14:paraId="6D57A005">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（一）甲方应指定专门的项目协调人员配合乙方工作，乙方在履行合同过程中如需了解或获取甲方相关资料或信息，应向甲方项目协调人员索取。</w:t>
      </w:r>
    </w:p>
    <w:p w14:paraId="40038467">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（二）甲方项目协调人员应做好保密信息管理及调研情况的记录工作，乙方应予以配合。</w:t>
      </w:r>
    </w:p>
    <w:p w14:paraId="47DE6BE1">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val="ko-KR" w:eastAsia="ko-KR"/>
        </w:rPr>
        <w:t>（三）乙方可按以下方式获取信息</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ko-KR" w:eastAsia="ko-KR"/>
        </w:rPr>
        <w:t>书面、交付项目、启动信息存取（如存在数据库中的信息）。</w:t>
      </w:r>
    </w:p>
    <w:p w14:paraId="4727AEF6">
      <w:pPr>
        <w:keepNext w:val="0"/>
        <w:keepLines w:val="0"/>
        <w:pageBreakBefore w:val="0"/>
        <w:widowControl w:val="0"/>
        <w:kinsoku/>
        <w:wordWrap/>
        <w:overflowPunct/>
        <w:topLinePunct w:val="0"/>
        <w:autoSpaceDN/>
        <w:bidi w:val="0"/>
        <w:adjustRightInd/>
        <w:snapToGrid/>
        <w:spacing w:line="400" w:lineRule="exact"/>
        <w:ind w:firstLine="562"/>
        <w:textAlignment w:val="auto"/>
        <w:rPr>
          <w:rFonts w:hint="eastAsia" w:ascii="方正仿宋_GB2312" w:hAnsi="方正仿宋_GB2312" w:eastAsia="方正仿宋_GB2312" w:cs="方正仿宋_GB2312"/>
          <w:b/>
          <w:bCs/>
          <w:color w:val="auto"/>
          <w:sz w:val="24"/>
          <w:szCs w:val="24"/>
          <w:highlight w:val="none"/>
          <w:lang w:val="ko-KR" w:eastAsia="ko-KR"/>
        </w:rPr>
      </w:pPr>
      <w:r>
        <w:rPr>
          <w:rFonts w:hint="eastAsia" w:ascii="方正仿宋_GB2312" w:hAnsi="方正仿宋_GB2312" w:eastAsia="方正仿宋_GB2312" w:cs="方正仿宋_GB2312"/>
          <w:b/>
          <w:bCs/>
          <w:color w:val="auto"/>
          <w:sz w:val="24"/>
          <w:szCs w:val="24"/>
          <w:highlight w:val="none"/>
          <w:lang w:val="ko-KR" w:eastAsia="ko-KR"/>
        </w:rPr>
        <w:t>三、保密的范围</w:t>
      </w:r>
    </w:p>
    <w:p w14:paraId="2214EF90">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（一）乙方只在本项目需要时才能使用甲方提供的秘密信息。乙方应将甲方提供信息的使用限制在与本项目有关的人员、保密协议签署者范围内。</w:t>
      </w:r>
    </w:p>
    <w:p w14:paraId="54585D1D">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（二）甲方应将乙方在本项目中使用到的流程和方法等技术信息限制在与本项目有关的人员、保密协议签署者范围内。</w:t>
      </w:r>
    </w:p>
    <w:p w14:paraId="36D884B0">
      <w:pPr>
        <w:keepNext w:val="0"/>
        <w:keepLines w:val="0"/>
        <w:pageBreakBefore w:val="0"/>
        <w:widowControl w:val="0"/>
        <w:kinsoku/>
        <w:wordWrap/>
        <w:overflowPunct/>
        <w:topLinePunct w:val="0"/>
        <w:autoSpaceDN/>
        <w:bidi w:val="0"/>
        <w:adjustRightInd/>
        <w:snapToGrid/>
        <w:spacing w:line="400" w:lineRule="exact"/>
        <w:ind w:firstLine="562"/>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b/>
          <w:bCs/>
          <w:color w:val="auto"/>
          <w:sz w:val="24"/>
          <w:szCs w:val="24"/>
          <w:highlight w:val="none"/>
          <w:lang w:val="ko-KR" w:eastAsia="ko-KR"/>
        </w:rPr>
        <w:t>四、保密义务</w:t>
      </w:r>
    </w:p>
    <w:p w14:paraId="12DA2BCC">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（一）未经许可不得获取对方与本次工作无关的秘密信息；</w:t>
      </w:r>
    </w:p>
    <w:p w14:paraId="5D6331F0">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（二）不得向任何第三方披露、转让或协助使用上述秘密信息；</w:t>
      </w:r>
    </w:p>
    <w:p w14:paraId="54111567">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（三）如发现上述秘密被泄露或者自己过失泄露，应当采取有效措施防止泄密进一步扩大，并及时向对方报告；</w:t>
      </w:r>
    </w:p>
    <w:p w14:paraId="6E0BEBC3">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（四）凡未经对方书面同意，一方以直接、间接、书面、口头等形式为第三方提供第一条保密内容的行为均属违反保密义务的行为。但以下情况不属于违反保密义务：</w:t>
      </w:r>
    </w:p>
    <w:p w14:paraId="58B94252">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eastAsia="zh-CN"/>
        </w:rPr>
        <w:t>1.</w:t>
      </w:r>
      <w:r>
        <w:rPr>
          <w:rFonts w:hint="eastAsia" w:ascii="方正仿宋_GB2312" w:hAnsi="方正仿宋_GB2312" w:eastAsia="方正仿宋_GB2312" w:cs="方正仿宋_GB2312"/>
          <w:color w:val="auto"/>
          <w:sz w:val="24"/>
          <w:szCs w:val="24"/>
          <w:highlight w:val="none"/>
          <w:lang w:val="ko-KR" w:eastAsia="ko-KR"/>
        </w:rPr>
        <w:t>获取或披露一方已公开发表，或已为公众所知的信息；</w:t>
      </w:r>
    </w:p>
    <w:p w14:paraId="0FEF5073">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eastAsia="zh-CN"/>
        </w:rPr>
        <w:t>2.</w:t>
      </w:r>
      <w:r>
        <w:rPr>
          <w:rFonts w:hint="eastAsia" w:ascii="方正仿宋_GB2312" w:hAnsi="方正仿宋_GB2312" w:eastAsia="方正仿宋_GB2312" w:cs="方正仿宋_GB2312"/>
          <w:color w:val="auto"/>
          <w:sz w:val="24"/>
          <w:szCs w:val="24"/>
          <w:highlight w:val="none"/>
          <w:lang w:val="ko-KR" w:eastAsia="ko-KR"/>
        </w:rPr>
        <w:t>获取或披露一方已书面授权公开的信息；</w:t>
      </w:r>
    </w:p>
    <w:p w14:paraId="6F7EC1EF">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eastAsia="zh-CN"/>
        </w:rPr>
        <w:t>3.</w:t>
      </w:r>
      <w:r>
        <w:rPr>
          <w:rFonts w:hint="eastAsia" w:ascii="方正仿宋_GB2312" w:hAnsi="方正仿宋_GB2312" w:eastAsia="方正仿宋_GB2312" w:cs="方正仿宋_GB2312"/>
          <w:color w:val="auto"/>
          <w:sz w:val="24"/>
          <w:szCs w:val="24"/>
          <w:highlight w:val="none"/>
          <w:lang w:val="ko-KR" w:eastAsia="ko-KR"/>
        </w:rPr>
        <w:t>获取的信息属于一方通过合法手段从第三方在未受到任何限制的情况下获得的；</w:t>
      </w:r>
    </w:p>
    <w:p w14:paraId="3059E1DB">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eastAsia="zh-CN"/>
        </w:rPr>
        <w:t>4.</w:t>
      </w:r>
      <w:r>
        <w:rPr>
          <w:rFonts w:hint="eastAsia" w:ascii="方正仿宋_GB2312" w:hAnsi="方正仿宋_GB2312" w:eastAsia="方正仿宋_GB2312" w:cs="方正仿宋_GB2312"/>
          <w:color w:val="auto"/>
          <w:sz w:val="24"/>
          <w:szCs w:val="24"/>
          <w:highlight w:val="none"/>
          <w:lang w:val="ko-KR" w:eastAsia="ko-KR"/>
        </w:rPr>
        <w:t>根据法律、法规，司法或行政命令的要求向有关国家机关提供他方的秘密信息，提供前必须经过双方的书面认可。</w:t>
      </w:r>
      <w:r>
        <w:rPr>
          <w:rFonts w:hint="eastAsia" w:ascii="方正仿宋_GB2312" w:hAnsi="方正仿宋_GB2312" w:eastAsia="方正仿宋_GB2312" w:cs="方正仿宋_GB2312"/>
          <w:color w:val="auto"/>
          <w:sz w:val="24"/>
          <w:szCs w:val="24"/>
          <w:highlight w:val="none"/>
          <w:lang w:eastAsia="zh-CN"/>
        </w:rPr>
        <w:tab/>
      </w:r>
      <w:r>
        <w:rPr>
          <w:rFonts w:hint="eastAsia" w:ascii="方正仿宋_GB2312" w:hAnsi="方正仿宋_GB2312" w:eastAsia="方正仿宋_GB2312" w:cs="方正仿宋_GB2312"/>
          <w:color w:val="auto"/>
          <w:sz w:val="24"/>
          <w:szCs w:val="24"/>
          <w:highlight w:val="none"/>
          <w:lang w:eastAsia="zh-CN"/>
        </w:rPr>
        <w:tab/>
      </w:r>
    </w:p>
    <w:p w14:paraId="1478F11B">
      <w:pPr>
        <w:keepNext w:val="0"/>
        <w:keepLines w:val="0"/>
        <w:pageBreakBefore w:val="0"/>
        <w:widowControl w:val="0"/>
        <w:kinsoku/>
        <w:wordWrap/>
        <w:overflowPunct/>
        <w:topLinePunct w:val="0"/>
        <w:autoSpaceDN/>
        <w:bidi w:val="0"/>
        <w:adjustRightInd/>
        <w:snapToGrid/>
        <w:spacing w:line="400" w:lineRule="exact"/>
        <w:ind w:firstLine="562"/>
        <w:textAlignment w:val="auto"/>
        <w:rPr>
          <w:rFonts w:hint="eastAsia" w:ascii="方正仿宋_GB2312" w:hAnsi="方正仿宋_GB2312" w:eastAsia="方正仿宋_GB2312" w:cs="方正仿宋_GB2312"/>
          <w:b/>
          <w:bCs/>
          <w:color w:val="auto"/>
          <w:sz w:val="24"/>
          <w:szCs w:val="24"/>
          <w:highlight w:val="none"/>
          <w:lang w:val="ko-KR" w:eastAsia="ko-KR"/>
        </w:rPr>
      </w:pPr>
      <w:r>
        <w:rPr>
          <w:rFonts w:hint="eastAsia" w:ascii="方正仿宋_GB2312" w:hAnsi="方正仿宋_GB2312" w:eastAsia="方正仿宋_GB2312" w:cs="方正仿宋_GB2312"/>
          <w:b/>
          <w:bCs/>
          <w:color w:val="auto"/>
          <w:sz w:val="24"/>
          <w:szCs w:val="24"/>
          <w:highlight w:val="none"/>
          <w:lang w:val="ko-KR" w:eastAsia="ko-KR"/>
        </w:rPr>
        <w:t>五、保密期限</w:t>
      </w:r>
    </w:p>
    <w:p w14:paraId="6D7F2959">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甲、乙双方确认，双方的保密义务从本协议签署之日起生效。自本合同生效之日起算，保密期限为无限期。</w:t>
      </w:r>
    </w:p>
    <w:p w14:paraId="10DF67B9">
      <w:pPr>
        <w:keepNext w:val="0"/>
        <w:keepLines w:val="0"/>
        <w:pageBreakBefore w:val="0"/>
        <w:widowControl w:val="0"/>
        <w:kinsoku/>
        <w:wordWrap/>
        <w:overflowPunct/>
        <w:topLinePunct w:val="0"/>
        <w:autoSpaceDN/>
        <w:bidi w:val="0"/>
        <w:adjustRightInd/>
        <w:snapToGrid/>
        <w:spacing w:line="400" w:lineRule="exact"/>
        <w:ind w:firstLine="562"/>
        <w:textAlignment w:val="auto"/>
        <w:rPr>
          <w:rFonts w:hint="eastAsia" w:ascii="方正仿宋_GB2312" w:hAnsi="方正仿宋_GB2312" w:eastAsia="方正仿宋_GB2312" w:cs="方正仿宋_GB2312"/>
          <w:b/>
          <w:bCs/>
          <w:color w:val="auto"/>
          <w:sz w:val="24"/>
          <w:szCs w:val="24"/>
          <w:highlight w:val="none"/>
          <w:lang w:val="ko-KR" w:eastAsia="ko-KR"/>
        </w:rPr>
      </w:pPr>
      <w:r>
        <w:rPr>
          <w:rFonts w:hint="eastAsia" w:ascii="方正仿宋_GB2312" w:hAnsi="方正仿宋_GB2312" w:eastAsia="方正仿宋_GB2312" w:cs="方正仿宋_GB2312"/>
          <w:b/>
          <w:bCs/>
          <w:color w:val="auto"/>
          <w:sz w:val="24"/>
          <w:szCs w:val="24"/>
          <w:highlight w:val="none"/>
          <w:lang w:val="ko-KR" w:eastAsia="ko-KR"/>
        </w:rPr>
        <w:t>六、违约责任</w:t>
      </w:r>
    </w:p>
    <w:p w14:paraId="1CC8A825">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val="ko-KR" w:eastAsia="ko-KR"/>
        </w:rPr>
        <w:t>（一）如果一方不履行本协议第四条所规定的保密义务，应当承担给对方造成的直接损失的赔偿责任，并承担合同金额</w:t>
      </w:r>
      <w:r>
        <w:rPr>
          <w:rFonts w:hint="eastAsia" w:ascii="方正仿宋_GB2312" w:hAnsi="方正仿宋_GB2312" w:eastAsia="方正仿宋_GB2312" w:cs="方正仿宋_GB2312"/>
          <w:color w:val="auto"/>
          <w:sz w:val="24"/>
          <w:szCs w:val="24"/>
          <w:highlight w:val="none"/>
          <w:lang w:eastAsia="zh-CN"/>
        </w:rPr>
        <w:t>20%</w:t>
      </w:r>
      <w:r>
        <w:rPr>
          <w:rFonts w:hint="eastAsia" w:ascii="方正仿宋_GB2312" w:hAnsi="方正仿宋_GB2312" w:eastAsia="方正仿宋_GB2312" w:cs="方正仿宋_GB2312"/>
          <w:color w:val="auto"/>
          <w:sz w:val="24"/>
          <w:szCs w:val="24"/>
          <w:highlight w:val="none"/>
          <w:lang w:val="ko-KR" w:eastAsia="ko-KR"/>
        </w:rPr>
        <w:t xml:space="preserve">的违约金。 </w:t>
      </w:r>
    </w:p>
    <w:p w14:paraId="59C8E01B">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（二）因一方的违约行为侵犯了另一方的合法权益，对方可以选择根据本协议要求其承担违约责任，或者根据国家有关法律、法规要求其承担侵权责任。</w:t>
      </w:r>
    </w:p>
    <w:p w14:paraId="1D2679AE">
      <w:pPr>
        <w:keepNext w:val="0"/>
        <w:keepLines w:val="0"/>
        <w:pageBreakBefore w:val="0"/>
        <w:widowControl w:val="0"/>
        <w:kinsoku/>
        <w:wordWrap/>
        <w:overflowPunct/>
        <w:topLinePunct w:val="0"/>
        <w:autoSpaceDN/>
        <w:bidi w:val="0"/>
        <w:adjustRightInd/>
        <w:snapToGrid/>
        <w:spacing w:line="400" w:lineRule="exact"/>
        <w:ind w:firstLine="560"/>
        <w:textAlignment w:val="auto"/>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val="ko-KR" w:eastAsia="ko-KR"/>
        </w:rPr>
        <w:t>（三）任何一方及其工作人员未按照本协议约定使用保密信息或者泄露保密信息而触犯有关法律，一方都可以有权按照</w:t>
      </w:r>
      <w:r>
        <w:rPr>
          <w:rFonts w:hint="eastAsia" w:ascii="方正仿宋_GB2312" w:hAnsi="方正仿宋_GB2312" w:eastAsia="方正仿宋_GB2312" w:cs="方正仿宋_GB2312"/>
          <w:color w:val="auto"/>
          <w:sz w:val="24"/>
          <w:szCs w:val="24"/>
          <w:highlight w:val="none"/>
          <w:lang w:eastAsia="ko-KR"/>
        </w:rPr>
        <w:t>本</w:t>
      </w:r>
      <w:r>
        <w:rPr>
          <w:rFonts w:hint="eastAsia" w:ascii="方正仿宋_GB2312" w:hAnsi="方正仿宋_GB2312" w:eastAsia="方正仿宋_GB2312" w:cs="方正仿宋_GB2312"/>
          <w:color w:val="auto"/>
          <w:sz w:val="24"/>
          <w:szCs w:val="24"/>
          <w:highlight w:val="none"/>
          <w:lang w:val="ko-KR" w:eastAsia="ko-KR"/>
        </w:rPr>
        <w:t>条的规定取得赔偿，还将依法追究另一方的行政及刑事责任。</w:t>
      </w:r>
    </w:p>
    <w:p w14:paraId="34071883">
      <w:pPr>
        <w:keepNext w:val="0"/>
        <w:keepLines w:val="0"/>
        <w:pageBreakBefore w:val="0"/>
        <w:widowControl w:val="0"/>
        <w:kinsoku/>
        <w:wordWrap/>
        <w:overflowPunct/>
        <w:topLinePunct w:val="0"/>
        <w:autoSpaceDN/>
        <w:bidi w:val="0"/>
        <w:adjustRightInd/>
        <w:snapToGrid/>
        <w:spacing w:line="400" w:lineRule="exact"/>
        <w:ind w:firstLine="562"/>
        <w:textAlignment w:val="auto"/>
        <w:rPr>
          <w:rFonts w:hint="eastAsia" w:ascii="方正仿宋_GB2312" w:hAnsi="方正仿宋_GB2312" w:eastAsia="方正仿宋_GB2312" w:cs="方正仿宋_GB2312"/>
          <w:b/>
          <w:bCs/>
          <w:color w:val="auto"/>
          <w:sz w:val="24"/>
          <w:szCs w:val="24"/>
          <w:highlight w:val="none"/>
          <w:lang w:val="ko-KR" w:eastAsia="ko-KR"/>
        </w:rPr>
      </w:pPr>
      <w:r>
        <w:rPr>
          <w:rFonts w:hint="eastAsia" w:ascii="方正仿宋_GB2312" w:hAnsi="方正仿宋_GB2312" w:eastAsia="方正仿宋_GB2312" w:cs="方正仿宋_GB2312"/>
          <w:b/>
          <w:bCs/>
          <w:color w:val="auto"/>
          <w:sz w:val="24"/>
          <w:szCs w:val="24"/>
          <w:highlight w:val="none"/>
          <w:lang w:val="ko-KR" w:eastAsia="ko-KR"/>
        </w:rPr>
        <w:t>七、争议的解决</w:t>
      </w:r>
    </w:p>
    <w:p w14:paraId="65EC25C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400" w:lineRule="exact"/>
        <w:ind w:left="0" w:right="0" w:firstLine="560"/>
        <w:jc w:val="both"/>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甲乙双方友好协商解决本协议中的争议。协商不成的，任何一方都有权向甲方所在地人民法院</w:t>
      </w:r>
      <w:r>
        <w:rPr>
          <w:rFonts w:hint="eastAsia" w:ascii="方正仿宋_GB2312" w:hAnsi="方正仿宋_GB2312" w:eastAsia="方正仿宋_GB2312" w:cs="方正仿宋_GB2312"/>
          <w:color w:val="auto"/>
          <w:kern w:val="2"/>
          <w:sz w:val="24"/>
          <w:szCs w:val="24"/>
          <w:highlight w:val="none"/>
          <w:lang w:val="en-US" w:eastAsia="zh-CN" w:bidi="ar"/>
        </w:rPr>
        <w:t>即西安市未央区人民法院</w:t>
      </w:r>
      <w:r>
        <w:rPr>
          <w:rFonts w:hint="eastAsia" w:ascii="方正仿宋_GB2312" w:hAnsi="方正仿宋_GB2312" w:eastAsia="方正仿宋_GB2312" w:cs="方正仿宋_GB2312"/>
          <w:color w:val="auto"/>
          <w:sz w:val="24"/>
          <w:szCs w:val="24"/>
          <w:highlight w:val="none"/>
          <w:lang w:val="ko-KR" w:eastAsia="ko-KR"/>
        </w:rPr>
        <w:t>提起诉讼。</w:t>
      </w:r>
    </w:p>
    <w:p w14:paraId="063EDA26">
      <w:pPr>
        <w:keepNext w:val="0"/>
        <w:keepLines w:val="0"/>
        <w:pageBreakBefore w:val="0"/>
        <w:widowControl w:val="0"/>
        <w:kinsoku/>
        <w:wordWrap/>
        <w:overflowPunct/>
        <w:topLinePunct w:val="0"/>
        <w:autoSpaceDN/>
        <w:bidi w:val="0"/>
        <w:adjustRightInd/>
        <w:snapToGrid/>
        <w:spacing w:line="400" w:lineRule="exact"/>
        <w:ind w:firstLine="562"/>
        <w:textAlignment w:val="auto"/>
        <w:rPr>
          <w:rFonts w:hint="eastAsia" w:ascii="方正仿宋_GB2312" w:hAnsi="方正仿宋_GB2312" w:eastAsia="方正仿宋_GB2312" w:cs="方正仿宋_GB2312"/>
          <w:b/>
          <w:bCs/>
          <w:color w:val="auto"/>
          <w:sz w:val="24"/>
          <w:szCs w:val="24"/>
          <w:highlight w:val="none"/>
          <w:lang w:val="ko-KR" w:eastAsia="ko-KR"/>
        </w:rPr>
      </w:pPr>
      <w:r>
        <w:rPr>
          <w:rFonts w:hint="eastAsia" w:ascii="方正仿宋_GB2312" w:hAnsi="方正仿宋_GB2312" w:eastAsia="方正仿宋_GB2312" w:cs="方正仿宋_GB2312"/>
          <w:b/>
          <w:bCs/>
          <w:color w:val="auto"/>
          <w:sz w:val="24"/>
          <w:szCs w:val="24"/>
          <w:highlight w:val="none"/>
          <w:lang w:val="ko-KR" w:eastAsia="ko-KR"/>
        </w:rPr>
        <w:t>八、法律适用、协议文本及效力和变更</w:t>
      </w:r>
    </w:p>
    <w:p w14:paraId="76800140">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（一）本协议适用中华人民共和国的法律。</w:t>
      </w:r>
    </w:p>
    <w:p w14:paraId="03AB82BC">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ko-KR" w:eastAsia="ko-KR"/>
        </w:rPr>
      </w:pPr>
      <w:r>
        <w:rPr>
          <w:rFonts w:hint="eastAsia" w:ascii="方正仿宋_GB2312" w:hAnsi="方正仿宋_GB2312" w:eastAsia="方正仿宋_GB2312" w:cs="方正仿宋_GB2312"/>
          <w:color w:val="auto"/>
          <w:sz w:val="24"/>
          <w:szCs w:val="24"/>
          <w:highlight w:val="none"/>
          <w:lang w:val="ko-KR" w:eastAsia="ko-KR"/>
        </w:rPr>
        <w:t>（二）本协议的任何修改必须经过双方协商一致，并以书面方式确认方为有效。</w:t>
      </w:r>
    </w:p>
    <w:p w14:paraId="03FCC8C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00" w:lineRule="exact"/>
        <w:ind w:left="0" w:right="0" w:firstLine="480" w:firstLineChars="200"/>
        <w:jc w:val="both"/>
        <w:textAlignment w:val="auto"/>
        <w:rPr>
          <w:rFonts w:hint="eastAsia" w:ascii="方正仿宋_GB2312" w:hAnsi="方正仿宋_GB2312" w:eastAsia="方正仿宋_GB2312" w:cs="方正仿宋_GB2312"/>
          <w:color w:val="auto"/>
          <w:kern w:val="2"/>
          <w:sz w:val="24"/>
          <w:szCs w:val="24"/>
        </w:rPr>
      </w:pPr>
      <w:r>
        <w:rPr>
          <w:rFonts w:hint="eastAsia" w:ascii="方正仿宋_GB2312" w:hAnsi="方正仿宋_GB2312" w:eastAsia="方正仿宋_GB2312" w:cs="方正仿宋_GB2312"/>
          <w:color w:val="auto"/>
          <w:kern w:val="2"/>
          <w:sz w:val="24"/>
          <w:szCs w:val="24"/>
          <w:lang w:val="en-US" w:eastAsia="zh-CN" w:bidi="ar"/>
        </w:rPr>
        <w:t>（三）本协议经双方法定代表人、负责人或授权代表签字并加盖单位公章后生效。</w:t>
      </w:r>
    </w:p>
    <w:p w14:paraId="27890BA3">
      <w:pPr>
        <w:keepNext w:val="0"/>
        <w:keepLines w:val="0"/>
        <w:pageBreakBefore w:val="0"/>
        <w:widowControl w:val="0"/>
        <w:kinsoku/>
        <w:wordWrap/>
        <w:overflowPunct/>
        <w:topLinePunct w:val="0"/>
        <w:autoSpaceDN/>
        <w:bidi w:val="0"/>
        <w:adjustRightInd/>
        <w:snapToGrid/>
        <w:spacing w:line="400" w:lineRule="exact"/>
        <w:textAlignment w:val="auto"/>
        <w:rPr>
          <w:rFonts w:hint="eastAsia" w:ascii="方正仿宋_GB2312" w:hAnsi="方正仿宋_GB2312" w:eastAsia="方正仿宋_GB2312" w:cs="方正仿宋_GB2312"/>
          <w:color w:val="auto"/>
          <w:lang w:val="en-US" w:eastAsia="zh-CN"/>
        </w:rPr>
      </w:pPr>
    </w:p>
    <w:p w14:paraId="6F2B3492">
      <w:pPr>
        <w:keepNext w:val="0"/>
        <w:keepLines w:val="0"/>
        <w:pageBreakBefore w:val="0"/>
        <w:widowControl w:val="0"/>
        <w:kinsoku/>
        <w:wordWrap/>
        <w:overflowPunct/>
        <w:topLinePunct w:val="0"/>
        <w:autoSpaceDN/>
        <w:bidi w:val="0"/>
        <w:adjustRightInd/>
        <w:snapToGrid/>
        <w:spacing w:line="400" w:lineRule="exact"/>
        <w:textAlignment w:val="auto"/>
        <w:rPr>
          <w:rFonts w:hint="eastAsia" w:ascii="方正仿宋_GB2312" w:hAnsi="方正仿宋_GB2312" w:eastAsia="方正仿宋_GB2312" w:cs="方正仿宋_GB2312"/>
          <w:color w:val="auto"/>
        </w:rPr>
      </w:pPr>
    </w:p>
    <w:p w14:paraId="0A21EFB6">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35F50A47">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7B336A4B">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347AE51A">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Hans"/>
        </w:rPr>
      </w:pPr>
    </w:p>
    <w:p w14:paraId="4F980097">
      <w:pPr>
        <w:rPr>
          <w:color w:val="auto"/>
        </w:rPr>
      </w:pPr>
    </w:p>
    <w:p w14:paraId="7EDAFE31">
      <w:pPr>
        <w:pStyle w:val="4"/>
        <w:rPr>
          <w:rFonts w:hint="eastAsia"/>
          <w:color w:val="auto"/>
          <w:lang w:val="en-US" w:eastAsia="zh-Hans"/>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方正仿宋_GB2312">
    <w:altName w:val="仿宋"/>
    <w:panose1 w:val="02000000000000000000"/>
    <w:charset w:val="00"/>
    <w:family w:val="auto"/>
    <w:pitch w:val="default"/>
    <w:sig w:usb0="00000000" w:usb1="00000000"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8852770">
    <w:panose1 w:val="02010609060101010101"/>
    <w:charset w:val="86"/>
    <w:family w:val="auto"/>
    <w:pitch w:val="default"/>
    <w:sig w:usb0="00000001" w:usb1="00000000" w:usb2="00000000" w:usb3="00000000" w:csb0="00040001" w:csb1="00000000"/>
  </w:font>
  <w:font w:name="KSOFE8859BCF">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CB501"/>
    <w:multiLevelType w:val="singleLevel"/>
    <w:tmpl w:val="9CACB5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B60C5B"/>
    <w:rsid w:val="7DB60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2026-05-11T06:24:00Z</dcterms:created>
  <dc:creator>知子</dc:creator>
  <cp:lastModifiedBy>知子</cp:lastModifiedBy>
  <dcterms:modified xsi:type="dcterms:W3CDTF">2026-05-11T06:25:15Z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81D49D18157A4A14A5AD21657E6A3DDD_11</vt:lpwstr>
  </property>
  <property fmtid="{D5CDD505-2E9C-101B-9397-08002B2CF9AE}" pid="4" name="KSOTemplateDocerSaveRecord">
    <vt:lpwstr>eyJoZGlkIjoiMmQyYzYzYTI2MjQ2OGY1N2ZmZWYxOGNiNTQwMjNiYmYiLCJ1c2VySWQiOiI0ODM2OTkwMzcifQ==</vt:lpwstr>
  </property>
</Properties>
</file>