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版本号：HXZK2026ZC050800120260511001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陕西ETC发行服务系统2026年度软件技术保障服务项目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HXZK2026ZC0508001</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陕西ETC发行服务系统2026年度软件技术保障服务项目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HXZK2026ZC0508001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陕西ETC发行服务系统2026年度软件技术保障服务项目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高速公路ETC发行服务系统于2015年全国高速公路电子不停车收费联网工程（陕西段）建设完成，期间经过营改增改造、取消省界收费站等重大升级与改造。该系统承载我省的ETC发行售后、数据汇聚、业务管理、清分结算、线上服务、运行监管、信息交互等核心业务，满足ETC联网发行、清分结算、客户服务等管理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p>
      <w:pPr>
        <w:pStyle w:val="null3"/>
      </w:pPr>
      <w:r>
        <w:rPr>
          <w:rFonts w:ascii="仿宋_GB2312" w:hAnsi="仿宋_GB2312" w:cs="仿宋_GB2312" w:eastAsia="仿宋_GB2312"/>
        </w:rPr>
        <w:t>3、财务状况：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4、依法缴纳税收证明资料：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5、依法缴纳社会保险证明资料：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6、承诺书：提供具有履行合同所必需的设备和专业技术能力的承诺。 供应商需在项目电子化交易系统中按要求上传相应证明文件并进行电子签章。</w:t>
      </w:r>
    </w:p>
    <w:p>
      <w:pPr>
        <w:pStyle w:val="null3"/>
      </w:pPr>
      <w:r>
        <w:rPr>
          <w:rFonts w:ascii="仿宋_GB2312" w:hAnsi="仿宋_GB2312" w:cs="仿宋_GB2312" w:eastAsia="仿宋_GB2312"/>
        </w:rPr>
        <w:t>7、书面声明：提供参加政府采购活动前三年内在经营活动中没有重大违法记录的书面声明。 供应商需在项目电子化交易系统中按要求上传相应证明文件并进行电子签章。</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9、非联合体磋商：本采购包不接受联合体磋商，供应商提供非联合体磋商承诺书。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029-86531101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陕西省西安市雁塔区高新路15号城建大厦4楼401室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17791951522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采购包1：948,800.00元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开户名称：华夏正康（陕西）工程技术有限公司</w:t>
            </w:r>
          </w:p>
          <w:p>
            <w:pPr>
              <w:pStyle w:val="null3"/>
            </w:pPr>
            <w:r>
              <w:rPr>
                <w:rFonts w:ascii="仿宋_GB2312" w:hAnsi="仿宋_GB2312" w:cs="仿宋_GB2312" w:eastAsia="仿宋_GB2312"/>
              </w:rPr>
              <w:t>开户银行：中国建设银行股份有限公司西安咸宁中路支行</w:t>
            </w:r>
          </w:p>
          <w:p>
            <w:pPr>
              <w:pStyle w:val="null3"/>
            </w:pPr>
            <w:r>
              <w:rPr>
                <w:rFonts w:ascii="仿宋_GB2312" w:hAnsi="仿宋_GB2312" w:cs="仿宋_GB2312" w:eastAsia="仿宋_GB2312"/>
              </w:rPr>
              <w:t>银行账号：61050173430000001131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颁发的《关于招标代理服务收费有关问题的通知》（发改办价格『2003』857号）规定，代理采购项目实际成交金额为计算基准按1980号文件类标准的 89% 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联系电话：17791951522</w:t>
      </w:r>
    </w:p>
    <w:p>
      <w:pPr>
        <w:pStyle w:val="null3"/>
      </w:pPr>
      <w:r>
        <w:rPr>
          <w:rFonts w:ascii="仿宋_GB2312" w:hAnsi="仿宋_GB2312" w:cs="仿宋_GB2312" w:eastAsia="仿宋_GB2312"/>
        </w:rPr>
        <w:t>地址：陕西省西安市雁塔区高新路15号城建大厦4楼401室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高速公路ETC发行服务系统于2015年全国高速公路电子不停车收费联网工程（陕西段）建设完成，期间经过营改增改造、取消省界收费站等重大升级与改造。该系统承载我省的ETC发行售后、数据汇聚、业务管理、清分结算、线上服务、运行监管、信息交互等核心业务，满足ETC联网发行、清分结算、客户服务等管理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948,800.00</w:t>
      </w:r>
    </w:p>
    <w:p>
      <w:pPr>
        <w:pStyle w:val="null3"/>
      </w:pPr>
      <w:r>
        <w:rPr>
          <w:rFonts w:ascii="仿宋_GB2312" w:hAnsi="仿宋_GB2312" w:cs="仿宋_GB2312" w:eastAsia="仿宋_GB2312"/>
        </w:rPr>
        <w:t>采购包最高限价（元）: 948,800.00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陕西ETC发行服务系统2026年度软件技术保障服务项目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948,800.00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标的名称：陕西ETC发行服务系统2026年度软件技术保障服务项目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color w:val="0C0C0C"/>
              </w:rPr>
              <w:t>一</w:t>
            </w:r>
            <w:r>
              <w:rPr>
                <w:rFonts w:ascii="仿宋_GB2312" w:hAnsi="仿宋_GB2312" w:cs="仿宋_GB2312" w:eastAsia="仿宋_GB2312"/>
                <w:sz w:val="32"/>
                <w:color w:val="0C0C0C"/>
              </w:rPr>
              <w:t>、</w:t>
            </w:r>
            <w:r>
              <w:rPr>
                <w:rFonts w:ascii="仿宋_GB2312" w:hAnsi="仿宋_GB2312" w:cs="仿宋_GB2312" w:eastAsia="仿宋_GB2312"/>
                <w:sz w:val="32"/>
                <w:color w:val="0C0C0C"/>
              </w:rPr>
              <w:t>服务范围</w:t>
            </w:r>
          </w:p>
          <w:p>
            <w:pPr>
              <w:pStyle w:val="null3"/>
              <w:spacing w:before="105"/>
              <w:ind w:right="405" w:firstLine="640"/>
              <w:jc w:val="both"/>
            </w:pPr>
            <w:r>
              <w:rPr>
                <w:rFonts w:ascii="仿宋_GB2312" w:hAnsi="仿宋_GB2312" w:cs="仿宋_GB2312" w:eastAsia="仿宋_GB2312"/>
                <w:sz w:val="32"/>
                <w:color w:val="0C0C0C"/>
              </w:rPr>
              <w:t>负责</w:t>
            </w:r>
            <w:r>
              <w:rPr>
                <w:rFonts w:ascii="仿宋_GB2312" w:hAnsi="仿宋_GB2312" w:cs="仿宋_GB2312" w:eastAsia="仿宋_GB2312"/>
                <w:sz w:val="32"/>
                <w:color w:val="0C0C0C"/>
              </w:rPr>
              <w:t>陕西省高速公路</w:t>
            </w:r>
            <w:r>
              <w:rPr>
                <w:rFonts w:ascii="仿宋_GB2312" w:hAnsi="仿宋_GB2312" w:cs="仿宋_GB2312" w:eastAsia="仿宋_GB2312"/>
                <w:sz w:val="32"/>
                <w:color w:val="0C0C0C"/>
              </w:rPr>
              <w:t>ETC发行服务系统应用软件</w:t>
            </w:r>
            <w:r>
              <w:rPr>
                <w:rFonts w:ascii="仿宋_GB2312" w:hAnsi="仿宋_GB2312" w:cs="仿宋_GB2312" w:eastAsia="仿宋_GB2312"/>
                <w:sz w:val="32"/>
                <w:color w:val="0C0C0C"/>
              </w:rPr>
              <w:t>（详见下表）日常运行维护、故障处置、缺陷修复、异常处理等服务。负责与</w:t>
            </w:r>
            <w:r>
              <w:rPr>
                <w:rFonts w:ascii="仿宋_GB2312" w:hAnsi="仿宋_GB2312" w:cs="仿宋_GB2312" w:eastAsia="仿宋_GB2312"/>
                <w:sz w:val="32"/>
                <w:color w:val="0C0C0C"/>
              </w:rPr>
              <w:t>部省中心、合作</w:t>
            </w:r>
            <w:r>
              <w:rPr>
                <w:rFonts w:ascii="仿宋_GB2312" w:hAnsi="仿宋_GB2312" w:cs="仿宋_GB2312" w:eastAsia="仿宋_GB2312"/>
                <w:sz w:val="32"/>
                <w:color w:val="0C0C0C"/>
              </w:rPr>
              <w:t>机构</w:t>
            </w:r>
            <w:r>
              <w:rPr>
                <w:rFonts w:ascii="仿宋_GB2312" w:hAnsi="仿宋_GB2312" w:cs="仿宋_GB2312" w:eastAsia="仿宋_GB2312"/>
                <w:sz w:val="32"/>
                <w:color w:val="0C0C0C"/>
              </w:rPr>
              <w:t>系统间</w:t>
            </w:r>
            <w:r>
              <w:rPr>
                <w:rFonts w:ascii="仿宋_GB2312" w:hAnsi="仿宋_GB2312" w:cs="仿宋_GB2312" w:eastAsia="仿宋_GB2312"/>
                <w:sz w:val="32"/>
                <w:color w:val="0C0C0C"/>
              </w:rPr>
              <w:t>的信息</w:t>
            </w:r>
            <w:r>
              <w:rPr>
                <w:rFonts w:ascii="仿宋_GB2312" w:hAnsi="仿宋_GB2312" w:cs="仿宋_GB2312" w:eastAsia="仿宋_GB2312"/>
                <w:sz w:val="32"/>
                <w:color w:val="0C0C0C"/>
              </w:rPr>
              <w:t>交互、</w:t>
            </w:r>
            <w:r>
              <w:rPr>
                <w:rFonts w:ascii="仿宋_GB2312" w:hAnsi="仿宋_GB2312" w:cs="仿宋_GB2312" w:eastAsia="仿宋_GB2312"/>
                <w:sz w:val="32"/>
                <w:color w:val="0C0C0C"/>
              </w:rPr>
              <w:t>数据传输</w:t>
            </w:r>
            <w:r>
              <w:rPr>
                <w:rFonts w:ascii="仿宋_GB2312" w:hAnsi="仿宋_GB2312" w:cs="仿宋_GB2312" w:eastAsia="仿宋_GB2312"/>
                <w:sz w:val="32"/>
                <w:color w:val="0C0C0C"/>
              </w:rPr>
              <w:t>、</w:t>
            </w:r>
            <w:r>
              <w:rPr>
                <w:rFonts w:ascii="仿宋_GB2312" w:hAnsi="仿宋_GB2312" w:cs="仿宋_GB2312" w:eastAsia="仿宋_GB2312"/>
                <w:sz w:val="32"/>
                <w:color w:val="0C0C0C"/>
              </w:rPr>
              <w:t>报表统计、异常处理、业务培训、技术指导</w:t>
            </w:r>
            <w:r>
              <w:rPr>
                <w:rFonts w:ascii="仿宋_GB2312" w:hAnsi="仿宋_GB2312" w:cs="仿宋_GB2312" w:eastAsia="仿宋_GB2312"/>
                <w:sz w:val="32"/>
                <w:color w:val="0C0C0C"/>
              </w:rPr>
              <w:t>等</w:t>
            </w:r>
            <w:r>
              <w:rPr>
                <w:rFonts w:ascii="仿宋_GB2312" w:hAnsi="仿宋_GB2312" w:cs="仿宋_GB2312" w:eastAsia="仿宋_GB2312"/>
                <w:sz w:val="32"/>
                <w:color w:val="0C0C0C"/>
              </w:rPr>
              <w:t>服务。</w:t>
            </w:r>
          </w:p>
          <w:tbl>
            <w:tblPr>
              <w:tblBorders>
                <w:top w:val="none" w:color="000000" w:sz="4"/>
                <w:left w:val="none" w:color="000000" w:sz="4"/>
                <w:bottom w:val="none" w:color="000000" w:sz="4"/>
                <w:right w:val="none" w:color="000000" w:sz="4"/>
                <w:insideH w:val="none"/>
                <w:insideV w:val="none"/>
              </w:tblBorders>
            </w:tblPr>
            <w:tblGrid>
              <w:gridCol w:w="291"/>
              <w:gridCol w:w="841"/>
              <w:gridCol w:w="1415"/>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C0C0C"/>
                    </w:rPr>
                    <w:t>序号</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C0C0C"/>
                    </w:rPr>
                    <w:t>类别</w:t>
                  </w:r>
                </w:p>
              </w:tc>
              <w:tc>
                <w:tcPr>
                  <w:tcW w:type="dxa" w:w="1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C0C0C"/>
                    </w:rPr>
                    <w:t>系统名称</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1</w:t>
                  </w:r>
                </w:p>
                <w:p>
                  <w:pPr>
                    <w:pStyle w:val="null3"/>
                    <w:jc w:val="center"/>
                  </w:pPr>
                </w:p>
              </w:tc>
              <w:tc>
                <w:tcPr>
                  <w:tcW w:type="dxa" w:w="8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ETC发行服务系统</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网点</w:t>
                  </w:r>
                  <w:r>
                    <w:rPr>
                      <w:rFonts w:ascii="仿宋_GB2312" w:hAnsi="仿宋_GB2312" w:cs="仿宋_GB2312" w:eastAsia="仿宋_GB2312"/>
                      <w:sz w:val="28"/>
                      <w:color w:val="0C0C0C"/>
                    </w:rPr>
                    <w:t>发行与服务接口平台</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银行</w:t>
                  </w:r>
                  <w:r>
                    <w:rPr>
                      <w:rFonts w:ascii="仿宋_GB2312" w:hAnsi="仿宋_GB2312" w:cs="仿宋_GB2312" w:eastAsia="仿宋_GB2312"/>
                      <w:sz w:val="28"/>
                      <w:color w:val="0C0C0C"/>
                    </w:rPr>
                    <w:t>账务接口</w:t>
                  </w:r>
                  <w:r>
                    <w:rPr>
                      <w:rFonts w:ascii="仿宋_GB2312" w:hAnsi="仿宋_GB2312" w:cs="仿宋_GB2312" w:eastAsia="仿宋_GB2312"/>
                      <w:sz w:val="28"/>
                      <w:color w:val="0C0C0C"/>
                    </w:rPr>
                    <w:t>平台</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分对分接口平台</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公共服务平台</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手持终端发行与服务系统</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发行认证子系统</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营改增子系统</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客服中心</w:t>
                  </w:r>
                  <w:r>
                    <w:rPr>
                      <w:rFonts w:ascii="仿宋_GB2312" w:hAnsi="仿宋_GB2312" w:cs="仿宋_GB2312" w:eastAsia="仿宋_GB2312"/>
                      <w:sz w:val="28"/>
                      <w:color w:val="0C0C0C"/>
                    </w:rPr>
                    <w:t>子</w:t>
                  </w:r>
                  <w:r>
                    <w:rPr>
                      <w:rFonts w:ascii="仿宋_GB2312" w:hAnsi="仿宋_GB2312" w:cs="仿宋_GB2312" w:eastAsia="仿宋_GB2312"/>
                      <w:sz w:val="28"/>
                      <w:color w:val="0C0C0C"/>
                    </w:rPr>
                    <w:t>系统</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运行监控</w:t>
                  </w:r>
                  <w:r>
                    <w:rPr>
                      <w:rFonts w:ascii="仿宋_GB2312" w:hAnsi="仿宋_GB2312" w:cs="仿宋_GB2312" w:eastAsia="仿宋_GB2312"/>
                      <w:sz w:val="28"/>
                      <w:color w:val="0C0C0C"/>
                    </w:rPr>
                    <w:t>子</w:t>
                  </w:r>
                  <w:r>
                    <w:rPr>
                      <w:rFonts w:ascii="仿宋_GB2312" w:hAnsi="仿宋_GB2312" w:cs="仿宋_GB2312" w:eastAsia="仿宋_GB2312"/>
                      <w:sz w:val="28"/>
                      <w:color w:val="0C0C0C"/>
                    </w:rPr>
                    <w:t>系统</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用户管理</w:t>
                  </w:r>
                  <w:r>
                    <w:rPr>
                      <w:rFonts w:ascii="仿宋_GB2312" w:hAnsi="仿宋_GB2312" w:cs="仿宋_GB2312" w:eastAsia="仿宋_GB2312"/>
                      <w:sz w:val="28"/>
                      <w:color w:val="0C0C0C"/>
                    </w:rPr>
                    <w:t>子</w:t>
                  </w:r>
                  <w:r>
                    <w:rPr>
                      <w:rFonts w:ascii="仿宋_GB2312" w:hAnsi="仿宋_GB2312" w:cs="仿宋_GB2312" w:eastAsia="仿宋_GB2312"/>
                      <w:sz w:val="28"/>
                      <w:color w:val="0C0C0C"/>
                    </w:rPr>
                    <w:t>系统</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2</w:t>
                  </w:r>
                </w:p>
              </w:tc>
              <w:tc>
                <w:tcPr>
                  <w:tcW w:type="dxa" w:w="8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互联网发行平台</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ETC网上营业厅</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三秦通微信小程序</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3</w:t>
                  </w:r>
                </w:p>
              </w:tc>
              <w:tc>
                <w:tcPr>
                  <w:tcW w:type="dxa" w:w="8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ETC结算系统</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清分结算</w:t>
                  </w:r>
                  <w:r>
                    <w:rPr>
                      <w:rFonts w:ascii="仿宋_GB2312" w:hAnsi="仿宋_GB2312" w:cs="仿宋_GB2312" w:eastAsia="仿宋_GB2312"/>
                      <w:sz w:val="28"/>
                      <w:color w:val="0C0C0C"/>
                    </w:rPr>
                    <w:t>子</w:t>
                  </w:r>
                  <w:r>
                    <w:rPr>
                      <w:rFonts w:ascii="仿宋_GB2312" w:hAnsi="仿宋_GB2312" w:cs="仿宋_GB2312" w:eastAsia="仿宋_GB2312"/>
                      <w:sz w:val="28"/>
                      <w:color w:val="0C0C0C"/>
                    </w:rPr>
                    <w:t>系统</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信息交互</w:t>
                  </w:r>
                  <w:r>
                    <w:rPr>
                      <w:rFonts w:ascii="仿宋_GB2312" w:hAnsi="仿宋_GB2312" w:cs="仿宋_GB2312" w:eastAsia="仿宋_GB2312"/>
                      <w:sz w:val="28"/>
                      <w:color w:val="0C0C0C"/>
                    </w:rPr>
                    <w:t>子</w:t>
                  </w:r>
                  <w:r>
                    <w:rPr>
                      <w:rFonts w:ascii="仿宋_GB2312" w:hAnsi="仿宋_GB2312" w:cs="仿宋_GB2312" w:eastAsia="仿宋_GB2312"/>
                      <w:sz w:val="28"/>
                      <w:color w:val="0C0C0C"/>
                    </w:rPr>
                    <w:t>系统</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数据传输子系统</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数据汇聚</w:t>
                  </w:r>
                  <w:r>
                    <w:rPr>
                      <w:rFonts w:ascii="仿宋_GB2312" w:hAnsi="仿宋_GB2312" w:cs="仿宋_GB2312" w:eastAsia="仿宋_GB2312"/>
                      <w:sz w:val="28"/>
                      <w:color w:val="0C0C0C"/>
                    </w:rPr>
                    <w:t>子</w:t>
                  </w:r>
                  <w:r>
                    <w:rPr>
                      <w:rFonts w:ascii="仿宋_GB2312" w:hAnsi="仿宋_GB2312" w:cs="仿宋_GB2312" w:eastAsia="仿宋_GB2312"/>
                      <w:sz w:val="28"/>
                      <w:color w:val="0C0C0C"/>
                    </w:rPr>
                    <w:t>系统</w:t>
                  </w:r>
                </w:p>
              </w:tc>
            </w:tr>
            <w:tr>
              <w:tc>
                <w:tcPr>
                  <w:tcW w:type="dxa" w:w="291"/>
                  <w:vMerge/>
                  <w:tcBorders>
                    <w:top w:val="none" w:color="000000" w:sz="4"/>
                    <w:left w:val="single" w:color="000000" w:sz="4"/>
                    <w:bottom w:val="single" w:color="000000" w:sz="4"/>
                    <w:right w:val="single" w:color="000000" w:sz="4"/>
                  </w:tcBorders>
                </w:tcPr>
                <w:p/>
              </w:tc>
              <w:tc>
                <w:tcPr>
                  <w:tcW w:type="dxa" w:w="841"/>
                  <w:vMerge/>
                  <w:tcBorders>
                    <w:top w:val="none" w:color="000000" w:sz="4"/>
                    <w:left w:val="none" w:color="000000" w:sz="4"/>
                    <w:bottom w:val="single" w:color="000000" w:sz="4"/>
                    <w:right w:val="single" w:color="000000" w:sz="4"/>
                  </w:tcBorders>
                </w:tc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收费站点管理系统</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交通网点培训及终端</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技术指导和日常</w:t>
                  </w:r>
                  <w:r>
                    <w:rPr>
                      <w:rFonts w:ascii="仿宋_GB2312" w:hAnsi="仿宋_GB2312" w:cs="仿宋_GB2312" w:eastAsia="仿宋_GB2312"/>
                      <w:sz w:val="28"/>
                      <w:color w:val="0C0C0C"/>
                    </w:rPr>
                    <w:t>培训</w:t>
                  </w:r>
                </w:p>
              </w:tc>
            </w:tr>
          </w:tbl>
          <w:p>
            <w:pPr>
              <w:pStyle w:val="null3"/>
              <w:jc w:val="both"/>
            </w:pPr>
            <w:r>
              <w:rPr>
                <w:rFonts w:ascii="仿宋_GB2312" w:hAnsi="仿宋_GB2312" w:cs="仿宋_GB2312" w:eastAsia="仿宋_GB2312"/>
                <w:sz w:val="32"/>
                <w:color w:val="0C0C0C"/>
              </w:rPr>
              <w:t>二、</w:t>
            </w:r>
            <w:r>
              <w:rPr>
                <w:rFonts w:ascii="仿宋_GB2312" w:hAnsi="仿宋_GB2312" w:cs="仿宋_GB2312" w:eastAsia="仿宋_GB2312"/>
                <w:sz w:val="32"/>
                <w:color w:val="0C0C0C"/>
              </w:rPr>
              <w:t>服务内容</w:t>
            </w:r>
          </w:p>
          <w:p>
            <w:pPr>
              <w:pStyle w:val="null3"/>
              <w:ind w:firstLine="640"/>
              <w:jc w:val="both"/>
            </w:pPr>
            <w:r>
              <w:rPr>
                <w:rFonts w:ascii="仿宋_GB2312" w:hAnsi="仿宋_GB2312" w:cs="仿宋_GB2312" w:eastAsia="仿宋_GB2312"/>
                <w:sz w:val="32"/>
                <w:color w:val="0C0C0C"/>
              </w:rPr>
              <w:t>服务商应能够提供针对ETC发行服务系统软件相对完整的现场技术保障工作。保障业务系统功能正常，性能稳定</w:t>
            </w:r>
            <w:r>
              <w:rPr>
                <w:rFonts w:ascii="仿宋_GB2312" w:hAnsi="仿宋_GB2312" w:cs="仿宋_GB2312" w:eastAsia="仿宋_GB2312"/>
                <w:sz w:val="32"/>
                <w:color w:val="0C0C0C"/>
              </w:rPr>
              <w:t>，信息</w:t>
            </w:r>
            <w:r>
              <w:rPr>
                <w:rFonts w:ascii="仿宋_GB2312" w:hAnsi="仿宋_GB2312" w:cs="仿宋_GB2312" w:eastAsia="仿宋_GB2312"/>
                <w:sz w:val="32"/>
                <w:color w:val="0C0C0C"/>
              </w:rPr>
              <w:t>安全有效</w:t>
            </w:r>
            <w:r>
              <w:rPr>
                <w:rFonts w:ascii="仿宋_GB2312" w:hAnsi="仿宋_GB2312" w:cs="仿宋_GB2312" w:eastAsia="仿宋_GB2312"/>
                <w:sz w:val="32"/>
                <w:color w:val="0C0C0C"/>
              </w:rPr>
              <w:t>交互</w:t>
            </w:r>
            <w:r>
              <w:rPr>
                <w:rFonts w:ascii="仿宋_GB2312" w:hAnsi="仿宋_GB2312" w:cs="仿宋_GB2312" w:eastAsia="仿宋_GB2312"/>
                <w:sz w:val="32"/>
                <w:color w:val="0C0C0C"/>
              </w:rPr>
              <w:t>、</w:t>
            </w:r>
            <w:r>
              <w:rPr>
                <w:rFonts w:ascii="仿宋_GB2312" w:hAnsi="仿宋_GB2312" w:cs="仿宋_GB2312" w:eastAsia="仿宋_GB2312"/>
                <w:sz w:val="32"/>
                <w:color w:val="0C0C0C"/>
              </w:rPr>
              <w:t>数据</w:t>
            </w:r>
            <w:r>
              <w:rPr>
                <w:rFonts w:ascii="仿宋_GB2312" w:hAnsi="仿宋_GB2312" w:cs="仿宋_GB2312" w:eastAsia="仿宋_GB2312"/>
                <w:sz w:val="32"/>
                <w:color w:val="0C0C0C"/>
              </w:rPr>
              <w:t>存储和备份安全。对于发生的软件故障能够及时修复，处置软件系统异常状态，以及提供相关业务软件的咨询与指导。主要内容如下：</w:t>
            </w:r>
          </w:p>
          <w:p>
            <w:pPr>
              <w:pStyle w:val="null3"/>
              <w:ind w:firstLine="640"/>
              <w:jc w:val="both"/>
            </w:pPr>
            <w:r>
              <w:rPr>
                <w:rFonts w:ascii="仿宋_GB2312" w:hAnsi="仿宋_GB2312" w:cs="仿宋_GB2312" w:eastAsia="仿宋_GB2312"/>
                <w:sz w:val="32"/>
                <w:color w:val="0C0C0C"/>
              </w:rPr>
              <w:t>（一）提供ETC发行服务系统应用软件正常运行所需的现场技术保障服务，定期组织软件功能巡检，检查软件的配置、日志文件等，及时发现并处理异常情况。定期对业务数据和软件配置进行备份，确保ETC发行业务能够正常、连续、稳定的开展，及时处理发行服务、认证监管、清分结算、争议处理等方面的软件问题。</w:t>
            </w:r>
          </w:p>
          <w:p>
            <w:pPr>
              <w:pStyle w:val="null3"/>
              <w:ind w:firstLine="640"/>
              <w:jc w:val="both"/>
            </w:pPr>
            <w:r>
              <w:rPr>
                <w:rFonts w:ascii="仿宋_GB2312" w:hAnsi="仿宋_GB2312" w:cs="仿宋_GB2312" w:eastAsia="仿宋_GB2312"/>
                <w:sz w:val="32"/>
                <w:color w:val="0C0C0C"/>
              </w:rPr>
              <w:t>（二）提供ETC发行服务系统软件系统监测和状态监控等，做好软件日常关键性业务的监测，合理调整优化，处置警告及报错状态。确保软件系统持续稳定运行。</w:t>
            </w:r>
          </w:p>
          <w:p>
            <w:pPr>
              <w:pStyle w:val="null3"/>
              <w:ind w:firstLine="640"/>
              <w:jc w:val="both"/>
            </w:pPr>
            <w:r>
              <w:rPr>
                <w:rFonts w:ascii="仿宋_GB2312" w:hAnsi="仿宋_GB2312" w:cs="仿宋_GB2312" w:eastAsia="仿宋_GB2312"/>
                <w:sz w:val="32"/>
                <w:color w:val="0C0C0C"/>
              </w:rPr>
              <w:t>（三）</w:t>
            </w:r>
            <w:r>
              <w:rPr>
                <w:rFonts w:ascii="仿宋_GB2312" w:hAnsi="仿宋_GB2312" w:cs="仿宋_GB2312" w:eastAsia="仿宋_GB2312"/>
                <w:sz w:val="32"/>
                <w:color w:val="0C0C0C"/>
              </w:rPr>
              <w:t>提供ETC清分结算系统数据传输交互、记账确认、争议判定等功能正常运行，修正因系统异常或人为因素导致的数据偏差，保障软件系统与部省中心、合作银行间数据核对、传输解析等业务正常开展。解决发现的部省清分结算和银行请款结算的数据差异问题。</w:t>
            </w:r>
          </w:p>
          <w:p>
            <w:pPr>
              <w:pStyle w:val="null3"/>
              <w:ind w:firstLine="640"/>
              <w:jc w:val="both"/>
            </w:pPr>
            <w:r>
              <w:rPr>
                <w:rFonts w:ascii="仿宋_GB2312" w:hAnsi="仿宋_GB2312" w:cs="仿宋_GB2312" w:eastAsia="仿宋_GB2312"/>
                <w:sz w:val="32"/>
                <w:color w:val="0C0C0C"/>
              </w:rPr>
              <w:t>（四）协助</w:t>
            </w:r>
            <w:r>
              <w:rPr>
                <w:rFonts w:ascii="仿宋_GB2312" w:hAnsi="仿宋_GB2312" w:cs="仿宋_GB2312" w:eastAsia="仿宋_GB2312"/>
                <w:sz w:val="32"/>
                <w:color w:val="0C0C0C"/>
              </w:rPr>
              <w:t>合作银行分对分接入、数据请求、验证等</w:t>
            </w:r>
            <w:r>
              <w:rPr>
                <w:rFonts w:ascii="仿宋_GB2312" w:hAnsi="仿宋_GB2312" w:cs="仿宋_GB2312" w:eastAsia="仿宋_GB2312"/>
                <w:sz w:val="32"/>
                <w:color w:val="0C0C0C"/>
              </w:rPr>
              <w:t>技术联调</w:t>
            </w:r>
            <w:r>
              <w:rPr>
                <w:rFonts w:ascii="仿宋_GB2312" w:hAnsi="仿宋_GB2312" w:cs="仿宋_GB2312" w:eastAsia="仿宋_GB2312"/>
                <w:sz w:val="32"/>
                <w:color w:val="0C0C0C"/>
              </w:rPr>
              <w:t>，及时处置对外发行认证、接口调用、功能服务等异常问题。确保合作银行系统与发行服务系统间清分结算、交易对账、名单交互等业务正常开展。保障软件系统查询统计功能，处理相关业务系统间非正常的数据差异。</w:t>
            </w:r>
          </w:p>
          <w:p>
            <w:pPr>
              <w:pStyle w:val="null3"/>
              <w:ind w:firstLine="640"/>
              <w:jc w:val="both"/>
            </w:pPr>
            <w:r>
              <w:rPr>
                <w:rFonts w:ascii="仿宋_GB2312" w:hAnsi="仿宋_GB2312" w:cs="仿宋_GB2312" w:eastAsia="仿宋_GB2312"/>
                <w:sz w:val="32"/>
                <w:color w:val="0C0C0C"/>
              </w:rPr>
              <w:t>（五）协助做好ETC发行服务系统的功能完善工作，针对系统出现的问题，做好需求功能设计、系统软件修复与系统升级等工作。</w:t>
            </w:r>
          </w:p>
          <w:p>
            <w:pPr>
              <w:pStyle w:val="null3"/>
              <w:numPr>
                <w:ilvl w:val="0"/>
                <w:numId w:val="1"/>
              </w:numPr>
              <w:jc w:val="both"/>
            </w:pPr>
            <w:r>
              <w:rPr>
                <w:rFonts w:ascii="仿宋_GB2312" w:hAnsi="仿宋_GB2312" w:cs="仿宋_GB2312" w:eastAsia="仿宋_GB2312"/>
                <w:sz w:val="32"/>
                <w:color w:val="0C0C0C"/>
              </w:rPr>
              <w:t>协助完成ETC发行服务系统的培训，主要面向相关业务人员及协作团队，开展软件功能的技术培训与业务指导。</w:t>
            </w:r>
          </w:p>
          <w:p>
            <w:pPr>
              <w:pStyle w:val="null3"/>
              <w:ind w:firstLine="640"/>
              <w:jc w:val="both"/>
            </w:pPr>
            <w:r>
              <w:rPr>
                <w:rFonts w:ascii="仿宋_GB2312" w:hAnsi="仿宋_GB2312" w:cs="仿宋_GB2312" w:eastAsia="仿宋_GB2312"/>
                <w:sz w:val="32"/>
                <w:color w:val="000000"/>
              </w:rPr>
              <w:t>（七）提供收费站点省级管理软件正常运行所需的保障性服务。确保站点上传的交易数据及时、准确的交互处理、保障收费站点省级收费管理平台安全稳定运行。</w:t>
            </w:r>
          </w:p>
          <w:p>
            <w:pPr>
              <w:pStyle w:val="null3"/>
              <w:ind w:firstLine="640"/>
              <w:jc w:val="both"/>
            </w:pPr>
            <w:r>
              <w:rPr>
                <w:rFonts w:ascii="仿宋_GB2312" w:hAnsi="仿宋_GB2312" w:cs="仿宋_GB2312" w:eastAsia="仿宋_GB2312"/>
                <w:sz w:val="32"/>
                <w:color w:val="0C0C0C"/>
              </w:rPr>
              <w:t>三、服务要求</w:t>
            </w:r>
          </w:p>
          <w:p>
            <w:pPr>
              <w:pStyle w:val="null3"/>
              <w:ind w:firstLine="640"/>
              <w:jc w:val="both"/>
            </w:pPr>
            <w:r>
              <w:rPr>
                <w:rFonts w:ascii="仿宋_GB2312" w:hAnsi="仿宋_GB2312" w:cs="仿宋_GB2312" w:eastAsia="仿宋_GB2312"/>
                <w:sz w:val="32"/>
                <w:color w:val="0C0C0C"/>
              </w:rPr>
              <w:t>（一）服务要求</w:t>
            </w:r>
          </w:p>
          <w:p>
            <w:pPr>
              <w:pStyle w:val="null3"/>
              <w:ind w:firstLine="640"/>
              <w:jc w:val="both"/>
            </w:pPr>
            <w:r>
              <w:rPr>
                <w:rFonts w:ascii="仿宋_GB2312" w:hAnsi="仿宋_GB2312" w:cs="仿宋_GB2312" w:eastAsia="仿宋_GB2312"/>
                <w:sz w:val="32"/>
                <w:color w:val="0C0C0C"/>
              </w:rPr>
              <w:t>1.服务时间</w:t>
            </w:r>
            <w:r>
              <w:rPr>
                <w:rFonts w:ascii="仿宋_GB2312" w:hAnsi="仿宋_GB2312" w:cs="仿宋_GB2312" w:eastAsia="仿宋_GB2312"/>
                <w:sz w:val="32"/>
                <w:color w:val="0C0C0C"/>
              </w:rPr>
              <w:t>：</w:t>
            </w:r>
            <w:r>
              <w:rPr>
                <w:rFonts w:ascii="仿宋_GB2312" w:hAnsi="仿宋_GB2312" w:cs="仿宋_GB2312" w:eastAsia="仿宋_GB2312"/>
                <w:sz w:val="32"/>
                <w:color w:val="0C0C0C"/>
              </w:rPr>
              <w:t>2</w:t>
            </w:r>
            <w:r>
              <w:rPr>
                <w:rFonts w:ascii="仿宋_GB2312" w:hAnsi="仿宋_GB2312" w:cs="仿宋_GB2312" w:eastAsia="仿宋_GB2312"/>
                <w:sz w:val="32"/>
                <w:color w:val="0C0C0C"/>
              </w:rPr>
              <w:t>02</w:t>
            </w:r>
            <w:r>
              <w:rPr>
                <w:rFonts w:ascii="仿宋_GB2312" w:hAnsi="仿宋_GB2312" w:cs="仿宋_GB2312" w:eastAsia="仿宋_GB2312"/>
                <w:sz w:val="32"/>
                <w:color w:val="0C0C0C"/>
              </w:rPr>
              <w:t>6年7</w:t>
            </w:r>
            <w:r>
              <w:rPr>
                <w:rFonts w:ascii="仿宋_GB2312" w:hAnsi="仿宋_GB2312" w:cs="仿宋_GB2312" w:eastAsia="仿宋_GB2312"/>
                <w:sz w:val="32"/>
                <w:color w:val="0C0C0C"/>
              </w:rPr>
              <w:t>月</w:t>
            </w:r>
            <w:r>
              <w:rPr>
                <w:rFonts w:ascii="仿宋_GB2312" w:hAnsi="仿宋_GB2312" w:cs="仿宋_GB2312" w:eastAsia="仿宋_GB2312"/>
                <w:sz w:val="32"/>
                <w:color w:val="0C0C0C"/>
              </w:rPr>
              <w:t>1</w:t>
            </w:r>
            <w:r>
              <w:rPr>
                <w:rFonts w:ascii="仿宋_GB2312" w:hAnsi="仿宋_GB2312" w:cs="仿宋_GB2312" w:eastAsia="仿宋_GB2312"/>
                <w:sz w:val="32"/>
                <w:color w:val="0C0C0C"/>
              </w:rPr>
              <w:t>日至2</w:t>
            </w:r>
            <w:r>
              <w:rPr>
                <w:rFonts w:ascii="仿宋_GB2312" w:hAnsi="仿宋_GB2312" w:cs="仿宋_GB2312" w:eastAsia="仿宋_GB2312"/>
                <w:sz w:val="32"/>
                <w:color w:val="0C0C0C"/>
              </w:rPr>
              <w:t>02</w:t>
            </w:r>
            <w:r>
              <w:rPr>
                <w:rFonts w:ascii="仿宋_GB2312" w:hAnsi="仿宋_GB2312" w:cs="仿宋_GB2312" w:eastAsia="仿宋_GB2312"/>
                <w:sz w:val="32"/>
                <w:color w:val="0C0C0C"/>
              </w:rPr>
              <w:t>7</w:t>
            </w:r>
            <w:r>
              <w:rPr>
                <w:rFonts w:ascii="仿宋_GB2312" w:hAnsi="仿宋_GB2312" w:cs="仿宋_GB2312" w:eastAsia="仿宋_GB2312"/>
                <w:sz w:val="32"/>
                <w:color w:val="0C0C0C"/>
              </w:rPr>
              <w:t>年</w:t>
            </w:r>
            <w:r>
              <w:rPr>
                <w:rFonts w:ascii="仿宋_GB2312" w:hAnsi="仿宋_GB2312" w:cs="仿宋_GB2312" w:eastAsia="仿宋_GB2312"/>
                <w:sz w:val="32"/>
                <w:color w:val="0C0C0C"/>
              </w:rPr>
              <w:t>6</w:t>
            </w:r>
            <w:r>
              <w:rPr>
                <w:rFonts w:ascii="仿宋_GB2312" w:hAnsi="仿宋_GB2312" w:cs="仿宋_GB2312" w:eastAsia="仿宋_GB2312"/>
                <w:sz w:val="32"/>
                <w:color w:val="0C0C0C"/>
              </w:rPr>
              <w:t>月30日。</w:t>
            </w:r>
          </w:p>
          <w:p>
            <w:pPr>
              <w:pStyle w:val="null3"/>
              <w:spacing w:before="105"/>
              <w:ind w:right="405" w:firstLine="640"/>
              <w:jc w:val="both"/>
            </w:pPr>
            <w:r>
              <w:rPr>
                <w:rFonts w:ascii="仿宋_GB2312" w:hAnsi="仿宋_GB2312" w:cs="仿宋_GB2312" w:eastAsia="仿宋_GB2312"/>
                <w:sz w:val="32"/>
                <w:color w:val="0C0C0C"/>
              </w:rPr>
              <w:t>2</w:t>
            </w:r>
            <w:r>
              <w:rPr>
                <w:rFonts w:ascii="仿宋_GB2312" w:hAnsi="仿宋_GB2312" w:cs="仿宋_GB2312" w:eastAsia="仿宋_GB2312"/>
                <w:sz w:val="32"/>
                <w:color w:val="0C0C0C"/>
              </w:rPr>
              <w:t>.</w:t>
            </w:r>
            <w:r>
              <w:rPr>
                <w:rFonts w:ascii="仿宋_GB2312" w:hAnsi="仿宋_GB2312" w:cs="仿宋_GB2312" w:eastAsia="仿宋_GB2312"/>
                <w:sz w:val="32"/>
                <w:color w:val="0C0C0C"/>
              </w:rPr>
              <w:t>服务方式</w:t>
            </w:r>
            <w:r>
              <w:rPr>
                <w:rFonts w:ascii="仿宋_GB2312" w:hAnsi="仿宋_GB2312" w:cs="仿宋_GB2312" w:eastAsia="仿宋_GB2312"/>
                <w:sz w:val="32"/>
                <w:color w:val="0C0C0C"/>
              </w:rPr>
              <w:t>：</w:t>
            </w:r>
            <w:r>
              <w:rPr>
                <w:rFonts w:ascii="仿宋_GB2312" w:hAnsi="仿宋_GB2312" w:cs="仿宋_GB2312" w:eastAsia="仿宋_GB2312"/>
                <w:sz w:val="32"/>
                <w:color w:val="0C0C0C"/>
              </w:rPr>
              <w:t>主要包括</w:t>
            </w:r>
            <w:r>
              <w:rPr>
                <w:rFonts w:ascii="仿宋_GB2312" w:hAnsi="仿宋_GB2312" w:cs="仿宋_GB2312" w:eastAsia="仿宋_GB2312"/>
                <w:sz w:val="32"/>
                <w:color w:val="0C0C0C"/>
              </w:rPr>
              <w:t>日常巡检、</w:t>
            </w:r>
            <w:r>
              <w:rPr>
                <w:rFonts w:ascii="仿宋_GB2312" w:hAnsi="仿宋_GB2312" w:cs="仿宋_GB2312" w:eastAsia="仿宋_GB2312"/>
                <w:sz w:val="32"/>
                <w:color w:val="0C0C0C"/>
              </w:rPr>
              <w:t>运行保障、缺陷修复与</w:t>
            </w:r>
            <w:r>
              <w:rPr>
                <w:rFonts w:ascii="仿宋_GB2312" w:hAnsi="仿宋_GB2312" w:cs="仿宋_GB2312" w:eastAsia="仿宋_GB2312"/>
                <w:sz w:val="32"/>
                <w:color w:val="0C0C0C"/>
              </w:rPr>
              <w:t>功能完善、应急处置。</w:t>
            </w:r>
          </w:p>
          <w:p>
            <w:pPr>
              <w:pStyle w:val="null3"/>
              <w:ind w:firstLine="640"/>
              <w:jc w:val="both"/>
            </w:pPr>
            <w:r>
              <w:rPr>
                <w:rFonts w:ascii="仿宋_GB2312" w:hAnsi="仿宋_GB2312" w:cs="仿宋_GB2312" w:eastAsia="仿宋_GB2312"/>
                <w:sz w:val="32"/>
                <w:color w:val="0C0C0C"/>
              </w:rPr>
              <w:t>（1）</w:t>
            </w:r>
            <w:r>
              <w:rPr>
                <w:rFonts w:ascii="仿宋_GB2312" w:hAnsi="仿宋_GB2312" w:cs="仿宋_GB2312" w:eastAsia="仿宋_GB2312"/>
                <w:sz w:val="32"/>
                <w:color w:val="0C0C0C"/>
              </w:rPr>
              <w:t>日常巡检</w:t>
            </w:r>
            <w:r>
              <w:rPr>
                <w:rFonts w:ascii="仿宋_GB2312" w:hAnsi="仿宋_GB2312" w:cs="仿宋_GB2312" w:eastAsia="仿宋_GB2312"/>
                <w:sz w:val="32"/>
                <w:color w:val="0C0C0C"/>
              </w:rPr>
              <w:t>。</w:t>
            </w:r>
            <w:r>
              <w:rPr>
                <w:rFonts w:ascii="仿宋_GB2312" w:hAnsi="仿宋_GB2312" w:cs="仿宋_GB2312" w:eastAsia="仿宋_GB2312"/>
                <w:sz w:val="32"/>
                <w:color w:val="0C0C0C"/>
              </w:rPr>
              <w:t>每日（至少</w:t>
            </w:r>
            <w:r>
              <w:rPr>
                <w:rFonts w:ascii="仿宋_GB2312" w:hAnsi="仿宋_GB2312" w:cs="仿宋_GB2312" w:eastAsia="仿宋_GB2312"/>
                <w:sz w:val="32"/>
                <w:color w:val="0C0C0C"/>
              </w:rPr>
              <w:t>1次）针对ETC发行服务系统应用软件、第三方中间件等开展常态化检查，确保发行认证、公共接口、网点服务、数据备份、运行监测等各项软件功能运转正常。及时处置各类软件突发故障和异常问题，发现并记录运行状态情况，及时反馈不良或隐患信息。</w:t>
            </w:r>
          </w:p>
          <w:p>
            <w:pPr>
              <w:pStyle w:val="null3"/>
              <w:ind w:firstLine="640"/>
              <w:jc w:val="both"/>
            </w:pPr>
            <w:r>
              <w:rPr>
                <w:rFonts w:ascii="仿宋_GB2312" w:hAnsi="仿宋_GB2312" w:cs="仿宋_GB2312" w:eastAsia="仿宋_GB2312"/>
                <w:sz w:val="32"/>
                <w:color w:val="0C0C0C"/>
              </w:rPr>
              <w:t>（2）</w:t>
            </w:r>
            <w:r>
              <w:rPr>
                <w:rFonts w:ascii="仿宋_GB2312" w:hAnsi="仿宋_GB2312" w:cs="仿宋_GB2312" w:eastAsia="仿宋_GB2312"/>
                <w:sz w:val="32"/>
                <w:color w:val="0C0C0C"/>
              </w:rPr>
              <w:t>运行保障</w:t>
            </w:r>
            <w:r>
              <w:rPr>
                <w:rFonts w:ascii="仿宋_GB2312" w:hAnsi="仿宋_GB2312" w:cs="仿宋_GB2312" w:eastAsia="仿宋_GB2312"/>
                <w:sz w:val="32"/>
                <w:color w:val="0C0C0C"/>
              </w:rPr>
              <w:t>。</w:t>
            </w:r>
            <w:r>
              <w:rPr>
                <w:rFonts w:ascii="仿宋_GB2312" w:hAnsi="仿宋_GB2312" w:cs="仿宋_GB2312" w:eastAsia="仿宋_GB2312"/>
                <w:sz w:val="32"/>
                <w:color w:val="0C0C0C"/>
              </w:rPr>
              <w:t>针对</w:t>
            </w:r>
            <w:r>
              <w:rPr>
                <w:rFonts w:ascii="仿宋_GB2312" w:hAnsi="仿宋_GB2312" w:cs="仿宋_GB2312" w:eastAsia="仿宋_GB2312"/>
                <w:sz w:val="32"/>
                <w:color w:val="0C0C0C"/>
              </w:rPr>
              <w:t>ETC发行服务系统、ETC</w:t>
            </w:r>
            <w:r>
              <w:rPr>
                <w:rFonts w:ascii="仿宋_GB2312" w:hAnsi="仿宋_GB2312" w:cs="仿宋_GB2312" w:eastAsia="仿宋_GB2312"/>
                <w:sz w:val="32"/>
                <w:color w:val="0C0C0C"/>
              </w:rPr>
              <w:t>发行</w:t>
            </w:r>
            <w:r>
              <w:rPr>
                <w:rFonts w:ascii="仿宋_GB2312" w:hAnsi="仿宋_GB2312" w:cs="仿宋_GB2312" w:eastAsia="仿宋_GB2312"/>
                <w:sz w:val="32"/>
                <w:color w:val="0C0C0C"/>
              </w:rPr>
              <w:t>服务网点、合作银行、</w:t>
            </w:r>
            <w:r>
              <w:rPr>
                <w:rFonts w:ascii="仿宋_GB2312" w:hAnsi="仿宋_GB2312" w:cs="仿宋_GB2312" w:eastAsia="仿宋_GB2312"/>
                <w:sz w:val="32"/>
                <w:color w:val="0C0C0C"/>
              </w:rPr>
              <w:t>ETC拓展应用运营商在与ETC日常使用、异常处理等方面提供现场或远程技术支持，解决相关软件和数据的异常问题。为ETC</w:t>
            </w:r>
            <w:r>
              <w:rPr>
                <w:rFonts w:ascii="仿宋_GB2312" w:hAnsi="仿宋_GB2312" w:cs="仿宋_GB2312" w:eastAsia="仿宋_GB2312"/>
                <w:sz w:val="32"/>
                <w:color w:val="0C0C0C"/>
              </w:rPr>
              <w:t>发行服务</w:t>
            </w:r>
            <w:r>
              <w:rPr>
                <w:rFonts w:ascii="仿宋_GB2312" w:hAnsi="仿宋_GB2312" w:cs="仿宋_GB2312" w:eastAsia="仿宋_GB2312"/>
                <w:sz w:val="32"/>
                <w:color w:val="0C0C0C"/>
              </w:rPr>
              <w:t>系统运行中产生的各类软件异常提供技术支持，包括功能故障诊断、数据异常排查、系统状态恢复等，协助相关团队定位并解决技术问题，同时配合完成数据查询与验证。确保</w:t>
            </w:r>
            <w:r>
              <w:rPr>
                <w:rFonts w:ascii="仿宋_GB2312" w:hAnsi="仿宋_GB2312" w:cs="仿宋_GB2312" w:eastAsia="仿宋_GB2312"/>
                <w:sz w:val="32"/>
                <w:color w:val="0C0C0C"/>
              </w:rPr>
              <w:t>ETC交易传输解析、结算记账、争议判定、请款划拨功能正常使用；完成特殊时期交易判定、拦截和争议处理技术支持。协助做好争议交易处理和证据提交等工作。协助合作银行请款确认和对账核算的技术支持工作。</w:t>
            </w:r>
          </w:p>
          <w:p>
            <w:pPr>
              <w:pStyle w:val="null3"/>
              <w:ind w:firstLine="640"/>
              <w:jc w:val="both"/>
            </w:pPr>
            <w:r>
              <w:rPr>
                <w:rFonts w:ascii="仿宋_GB2312" w:hAnsi="仿宋_GB2312" w:cs="仿宋_GB2312" w:eastAsia="仿宋_GB2312"/>
                <w:sz w:val="32"/>
                <w:color w:val="0C0C0C"/>
              </w:rPr>
              <w:t>（3）软件修复。</w:t>
            </w:r>
            <w:r>
              <w:rPr>
                <w:rFonts w:ascii="仿宋_GB2312" w:hAnsi="仿宋_GB2312" w:cs="仿宋_GB2312" w:eastAsia="仿宋_GB2312"/>
                <w:sz w:val="32"/>
                <w:color w:val="0C0C0C"/>
              </w:rPr>
              <w:t>针对</w:t>
            </w:r>
            <w:r>
              <w:rPr>
                <w:rFonts w:ascii="仿宋_GB2312" w:hAnsi="仿宋_GB2312" w:cs="仿宋_GB2312" w:eastAsia="仿宋_GB2312"/>
                <w:sz w:val="32"/>
                <w:color w:val="0C0C0C"/>
              </w:rPr>
              <w:t>ETC</w:t>
            </w:r>
            <w:r>
              <w:rPr>
                <w:rFonts w:ascii="仿宋_GB2312" w:hAnsi="仿宋_GB2312" w:cs="仿宋_GB2312" w:eastAsia="仿宋_GB2312"/>
                <w:sz w:val="32"/>
                <w:color w:val="0C0C0C"/>
              </w:rPr>
              <w:t>发行服务</w:t>
            </w:r>
            <w:r>
              <w:rPr>
                <w:rFonts w:ascii="仿宋_GB2312" w:hAnsi="仿宋_GB2312" w:cs="仿宋_GB2312" w:eastAsia="仿宋_GB2312"/>
                <w:sz w:val="32"/>
                <w:color w:val="0C0C0C"/>
              </w:rPr>
              <w:t>业务运行中遇到的系统问题，开展软件功能</w:t>
            </w:r>
            <w:r>
              <w:rPr>
                <w:rFonts w:ascii="仿宋_GB2312" w:hAnsi="仿宋_GB2312" w:cs="仿宋_GB2312" w:eastAsia="仿宋_GB2312"/>
                <w:sz w:val="32"/>
                <w:color w:val="0C0C0C"/>
              </w:rPr>
              <w:t>修复</w:t>
            </w:r>
            <w:r>
              <w:rPr>
                <w:rFonts w:ascii="仿宋_GB2312" w:hAnsi="仿宋_GB2312" w:cs="仿宋_GB2312" w:eastAsia="仿宋_GB2312"/>
                <w:sz w:val="32"/>
                <w:color w:val="0C0C0C"/>
              </w:rPr>
              <w:t>工作，负责相关模块的设计、测试验证及生产环境部署。持续优化系统架构，提升功能模块内聚，降低模块间耦合，增强软件模块化水平与整体运行效率。</w:t>
            </w:r>
          </w:p>
          <w:p>
            <w:pPr>
              <w:pStyle w:val="null3"/>
              <w:ind w:firstLine="640"/>
              <w:jc w:val="both"/>
            </w:pPr>
            <w:r>
              <w:rPr>
                <w:rFonts w:ascii="仿宋_GB2312" w:hAnsi="仿宋_GB2312" w:cs="仿宋_GB2312" w:eastAsia="仿宋_GB2312"/>
                <w:sz w:val="32"/>
                <w:color w:val="0C0C0C"/>
              </w:rPr>
              <w:t>（4）</w:t>
            </w:r>
            <w:r>
              <w:rPr>
                <w:rFonts w:ascii="仿宋_GB2312" w:hAnsi="仿宋_GB2312" w:cs="仿宋_GB2312" w:eastAsia="仿宋_GB2312"/>
                <w:sz w:val="32"/>
                <w:color w:val="0C0C0C"/>
              </w:rPr>
              <w:t>应急响应与处理</w:t>
            </w:r>
            <w:r>
              <w:rPr>
                <w:rFonts w:ascii="仿宋_GB2312" w:hAnsi="仿宋_GB2312" w:cs="仿宋_GB2312" w:eastAsia="仿宋_GB2312"/>
                <w:sz w:val="32"/>
                <w:color w:val="0C0C0C"/>
              </w:rPr>
              <w:t>。</w:t>
            </w:r>
            <w:r>
              <w:rPr>
                <w:rFonts w:ascii="仿宋_GB2312" w:hAnsi="仿宋_GB2312" w:cs="仿宋_GB2312" w:eastAsia="仿宋_GB2312"/>
                <w:sz w:val="32"/>
                <w:color w:val="0C0C0C"/>
              </w:rPr>
              <w:t>结合日常巡检和运行保障情况，提供软件宕机、服务中断、网络异常等</w:t>
            </w:r>
            <w:r>
              <w:rPr>
                <w:rFonts w:ascii="仿宋_GB2312" w:hAnsi="仿宋_GB2312" w:cs="仿宋_GB2312" w:eastAsia="仿宋_GB2312"/>
                <w:sz w:val="32"/>
                <w:color w:val="0C0C0C"/>
              </w:rPr>
              <w:t>意见与处置建议</w:t>
            </w:r>
            <w:r>
              <w:rPr>
                <w:rFonts w:ascii="仿宋_GB2312" w:hAnsi="仿宋_GB2312" w:cs="仿宋_GB2312" w:eastAsia="仿宋_GB2312"/>
                <w:sz w:val="32"/>
                <w:color w:val="0C0C0C"/>
              </w:rPr>
              <w:t>。协助开展软件系统快速恢复和正常运行，制定详尽有效的解决方案和措施。协助相关单位做好硬件故障修复后的软件测试和验证。</w:t>
            </w:r>
          </w:p>
          <w:p>
            <w:pPr>
              <w:pStyle w:val="null3"/>
              <w:ind w:firstLine="640"/>
              <w:jc w:val="both"/>
            </w:pPr>
            <w:r>
              <w:rPr>
                <w:rFonts w:ascii="仿宋_GB2312" w:hAnsi="仿宋_GB2312" w:cs="仿宋_GB2312" w:eastAsia="仿宋_GB2312"/>
                <w:sz w:val="32"/>
                <w:color w:val="0C0C0C"/>
              </w:rPr>
              <w:t>（5）故障维护响应处理。能够及时响应处理软件系统出现的故障，响应时效要求如下：</w:t>
            </w:r>
          </w:p>
          <w:tbl>
            <w:tblPr>
              <w:tblInd w:type="dxa" w:w="210"/>
              <w:tblBorders>
                <w:top w:val="none" w:color="000000" w:sz="4"/>
                <w:left w:val="none" w:color="000000" w:sz="4"/>
                <w:bottom w:val="none" w:color="000000" w:sz="4"/>
                <w:right w:val="none" w:color="000000" w:sz="4"/>
                <w:insideH w:val="none"/>
                <w:insideV w:val="none"/>
              </w:tblBorders>
            </w:tblPr>
            <w:tblGrid>
              <w:gridCol w:w="1125"/>
              <w:gridCol w:w="718"/>
              <w:gridCol w:w="704"/>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系统功能</w:t>
                  </w:r>
                </w:p>
              </w:tc>
              <w:tc>
                <w:tcPr>
                  <w:tcW w:type="dxa" w:w="7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响应时间</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处理时间</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C0C0C"/>
                    </w:rPr>
                    <w:t>ETC发行服务系统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30分钟内</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3小时内</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C0C0C"/>
                    </w:rPr>
                    <w:t>清分结算系统（包括结算相关业务系统）</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30分钟内</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3小时内</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C0C0C"/>
                    </w:rPr>
                    <w:t>三秦通小程序、网厅</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30分钟内</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3小时内</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C0C0C"/>
                    </w:rPr>
                    <w:t>运行监控</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30分钟内</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C0C0C"/>
                    </w:rPr>
                    <w:t>3小时内</w:t>
                  </w:r>
                </w:p>
              </w:tc>
            </w:tr>
          </w:tbl>
          <w:p>
            <w:pPr>
              <w:pStyle w:val="null3"/>
              <w:ind w:firstLine="640"/>
              <w:jc w:val="both"/>
            </w:pPr>
            <w:r>
              <w:rPr>
                <w:rFonts w:ascii="仿宋_GB2312" w:hAnsi="仿宋_GB2312" w:cs="仿宋_GB2312" w:eastAsia="仿宋_GB2312"/>
                <w:sz w:val="32"/>
                <w:color w:val="0C0C0C"/>
              </w:rPr>
              <w:t>3.服务报告的要求</w:t>
            </w:r>
          </w:p>
          <w:p>
            <w:pPr>
              <w:pStyle w:val="null3"/>
              <w:ind w:firstLine="640"/>
              <w:jc w:val="both"/>
            </w:pPr>
            <w:r>
              <w:rPr>
                <w:rFonts w:ascii="仿宋_GB2312" w:hAnsi="仿宋_GB2312" w:cs="仿宋_GB2312" w:eastAsia="仿宋_GB2312"/>
                <w:sz w:val="32"/>
                <w:color w:val="0C0C0C"/>
              </w:rPr>
              <w:t>本服务项目的交付物包含但不限于以下内容：</w:t>
            </w:r>
          </w:p>
          <w:p>
            <w:pPr>
              <w:pStyle w:val="null3"/>
              <w:ind w:firstLine="640"/>
              <w:jc w:val="both"/>
            </w:pPr>
            <w:r>
              <w:rPr>
                <w:rFonts w:ascii="仿宋_GB2312" w:hAnsi="仿宋_GB2312" w:cs="仿宋_GB2312" w:eastAsia="仿宋_GB2312"/>
                <w:sz w:val="32"/>
                <w:color w:val="0C0C0C"/>
              </w:rPr>
              <w:t>《***系统软件日常巡检记录表》</w:t>
            </w:r>
          </w:p>
          <w:p>
            <w:pPr>
              <w:pStyle w:val="null3"/>
              <w:ind w:firstLine="640"/>
              <w:jc w:val="both"/>
            </w:pPr>
            <w:r>
              <w:rPr>
                <w:rFonts w:ascii="仿宋_GB2312" w:hAnsi="仿宋_GB2312" w:cs="仿宋_GB2312" w:eastAsia="仿宋_GB2312"/>
                <w:sz w:val="32"/>
                <w:color w:val="0C0C0C"/>
              </w:rPr>
              <w:t>《***系统软件月度运维报告》</w:t>
            </w:r>
          </w:p>
          <w:p>
            <w:pPr>
              <w:pStyle w:val="null3"/>
              <w:ind w:firstLine="640"/>
              <w:jc w:val="both"/>
            </w:pPr>
            <w:r>
              <w:rPr>
                <w:rFonts w:ascii="仿宋_GB2312" w:hAnsi="仿宋_GB2312" w:cs="仿宋_GB2312" w:eastAsia="仿宋_GB2312"/>
                <w:sz w:val="32"/>
                <w:color w:val="0C0C0C"/>
              </w:rPr>
              <w:t>《***系统软件运维服务总结报告》</w:t>
            </w:r>
          </w:p>
          <w:p>
            <w:pPr>
              <w:pStyle w:val="null3"/>
              <w:ind w:firstLine="640"/>
              <w:jc w:val="both"/>
            </w:pPr>
            <w:r>
              <w:rPr>
                <w:rFonts w:ascii="仿宋_GB2312" w:hAnsi="仿宋_GB2312" w:cs="仿宋_GB2312" w:eastAsia="仿宋_GB2312"/>
                <w:sz w:val="32"/>
                <w:color w:val="0C0C0C"/>
              </w:rPr>
              <w:t>《***系统软件故障处理记录表》（若有）</w:t>
            </w:r>
          </w:p>
          <w:p>
            <w:pPr>
              <w:pStyle w:val="null3"/>
              <w:ind w:firstLine="640"/>
              <w:jc w:val="both"/>
            </w:pPr>
            <w:r>
              <w:rPr>
                <w:rFonts w:ascii="仿宋_GB2312" w:hAnsi="仿宋_GB2312" w:cs="仿宋_GB2312" w:eastAsia="仿宋_GB2312"/>
                <w:sz w:val="32"/>
                <w:color w:val="0C0C0C"/>
              </w:rPr>
              <w:t>以及</w:t>
            </w:r>
            <w:r>
              <w:rPr>
                <w:rFonts w:ascii="仿宋_GB2312" w:hAnsi="仿宋_GB2312" w:cs="仿宋_GB2312" w:eastAsia="仿宋_GB2312"/>
                <w:sz w:val="32"/>
                <w:color w:val="0C0C0C"/>
              </w:rPr>
              <w:t>其他需要的材料。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为确保服务工作的顺利开展，服务商应对服务人员素质及能力整体把关，原则上应满足以下条件： 1.服务商拟投入本项目的专业技术服务团队应不少于5人，需提供人员真实且详细信息与从业经历。其中，指定1名项目负责人，项目负责人员应具体负责项目统筹管理、资源协调、服务质量。 2.项目技术服务人员应熟悉高速公路ETC发行服务系统软件架构、熟悉高速公路ETC发行服务业务流程、熟悉高速公路ETC发行服务和清分结算业务现状，具备软件系统故障快速修复能力。具有ETC发行服务系统技术培训和业务咨询经历，并具有丰富的系统运维经验。服务商须提供项目技术服务人员不少于 6个月的社保缴纳材料。 3.服务商应保证提供不少于3人的5×8小时工作日驻场技术服务。重大会议、活动、节假日（春节、国庆、两会）及专项护网期间，应提供7×24小时应急响应服务。驻场服务产生的一切费用由服务商自行承担。 4.服务商须提供项目所投入维护人员6个月社保缴纳证明材料。未经采购方书面同意，服务商不得擅自变更和替换项目驻场维护人员。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（一）安全要求 服务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服务商未发生过重大网络安全事件。服务商能够按照中心项目的统一要求签署《网络安全责任协议》。 （二）保密要求 项目实施过程中所收集、产生的所有与本项目相关的文档、资料，包括文字、图片、表格、数字等各种形式所属权均归属甲方。服务商必须对所涉及到的内容保密，服务商及服务人员应按照中心项目的统一要求签署《保密协议》。 （三）付款要求 服务期间服务总费用不变，采购人无须另向服务单位支付合同约定之外的其它任何费用。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服务商按照合同约定每月完成服务并提交服务报告，经采购人审核后10个工作日内支付上月服务费，满足服务期限的第一个月后，首次支付供应商须向采购人出具合法有效的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合同剩余价款的92%，满足服务期限的第二个月后，服务商按照合同约定每月完成服务并提交服务报告，经采购人审核后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合同剩余价款的84%，满足服务期限的第三个月后，服务商按照合同约定每月完成服务并提交服务报告，经采购人审核后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合同剩余价款的76%，满足服务期限的第四个月后，服务商按照合同约定每月完成服务并提交服务报告，经采购人审核后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合同剩余价款的68%，服务商按照合同约定每月完成服务并提交服务报告，2026年12月申请年度最后一次支付时，服务商需提供剩余款项的有效银行保函，采购人一次性支付剩余款项，待项目验收通过后退还保函</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68.00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1.按《中华人民共和国民法典》中的相关条款执行。 2.未按合同要求提供服务或服务质量不能满足技术要求的，甲方有权终止合同。对擅自开展合同内涉及的系统软件开展功能修改调整、版本升级等操作影响全省业务正常运行，根据造成的实际损失及影响进行责任追究。 3.因乙方违约造成甲方损失的，由乙方承担全部的损失赔偿责任，包括但不限于直接经济损失及甲方因此开支的交通费、公证费、鉴定费、诉讼费、仲裁费、律师费、保全费、保险费等一切费用。 4.服务商如不能及时开具全额发票或采购人要求的保函，采购人有权延时付款且不承担违约责任，直至服务商开具全额发票或采购人要求的保函后再进行付款。 （二）解决争议的方法：双方本着友好合作的态度,对合同履行过程中发生的纠纷应及时协商解决，协商不成的，向采购人所在地有管辖权的人民法院诉讼解决。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3.4.1落实的政府采购政策： （1）《国务院办公厅关于建立政府强制采购节能产品制度的通知》（国办发〔2007〕51号）； （2）《财政部司法部关于政府采购支持监狱企业发展有关问题的通知》（财库〔2014〕68号）； （3）《关于促进残疾人就业政府采购政策的通知》（财库〔2017〕141号）； （4）《陕西省财政厅关于印发&lt;陕西省中小企业政府采购信用融资办法&gt;的通知》（陕财办采〔2018〕23 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（8）《关于发布参与实施政府采购节能产品、环境标志产品认证机构名录的公告》—2019年第16号； （9）《陕西省财政厅关于加快推进我省中小企业政府采购信用融资工作的通知》（陕财办采〔2020〕15号）； （10）《政府采购促进中小企业发展管理办法》（财库〔2020〕46号）； （11）关于印发《商品包装政府采购需求标准（试行）》（财办库〔2020〕123号）； （12）《陕西省财政厅陕西省工业和信息化厅关于运用政府采购政策支持首台（套）及创新产品有关事项的通知》（陕财办采〔2021〕17号）； （13）《关于运用政府采购政策支持乡村产业振兴的通知》（财库〔2021〕19号）； （14）《关于进一步加大政府采购支持中小企业力度的通知》（财库〔2022〕19号）； （15）《关于进一步加强政府绿色采购有关问题的通知》（陕财办采〔2021〕29号）； （16）《关于扩大政府采购支持绿色建材促进建筑品质提升政策实施范围的通知》（财库〔2022〕35号）； （17）《国家互联网信息办公室 工业和信息化部 公安部 财政部 国家认证认可监督管理委员会关于调整网络安全专用产品安全管理有关事项的公告》（2023年第1号）； （18）《财政部办公厅 住房城乡建设部办公厅 工业和信息化部办公厅关于印发&lt;政府采购支持绿色建材促进建筑品质提升政策项目实施指南&gt;的通知》（ 财办库〔2023〕52号）； （19）《国务院办公厅关于在政府采购中实施本国产品标准及相关政策的通知》（国办发〔2025〕34号）； （20）《关于推动解决政府采购异常低价问题的通知》（财库〔2026〕2号）； （21）其他需要落实的政府采购政策。如有最新颁布的政府采购政策，按最新的文件执行。 3.4.2本项目为非专门面向中小企业采购。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本采购包不接受联合体磋商，供应商提供非联合体磋商承诺书。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响应文件、磋商响应函加盖供应商公章并经法定代表人或被授权委托人签字或盖章。</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符合技术、服务、商务要求</w:t>
            </w:r>
          </w:p>
        </w:tc>
        <w:tc>
          <w:tcPr>
            <w:tcW w:type="dxa" w:w="3322"/>
          </w:tcPr>
          <w:p>
            <w:pPr>
              <w:pStyle w:val="null3"/>
            </w:pPr>
            <w:r>
              <w:rPr>
                <w:rFonts w:ascii="仿宋_GB2312" w:hAnsi="仿宋_GB2312" w:cs="仿宋_GB2312" w:eastAsia="仿宋_GB2312"/>
              </w:rPr>
              <w:t>完全响应技术、服务、商务要求。</w:t>
            </w:r>
          </w:p>
        </w:tc>
        <w:tc>
          <w:tcPr>
            <w:tcW w:type="dxa" w:w="1661"/>
          </w:tcPr>
          <w:p>
            <w:pPr>
              <w:pStyle w:val="null3"/>
            </w:pPr>
            <w:r>
              <w:rPr>
                <w:rFonts w:ascii="仿宋_GB2312" w:hAnsi="仿宋_GB2312" w:cs="仿宋_GB2312" w:eastAsia="仿宋_GB2312"/>
              </w:rPr>
              <w:t>服务内容及服务邀请应答表 商务应答表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符合磋商文件规定的其他实质性要求的</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一、评审内容 针对本项目的服务内容及要求，供应商应对项目背景理解及需求分析，内容包括： 1、对项目背景的理解； 2、对项目的需求分析。 二、评审标准 1、完整性：项目背景及需求分析必须全面，对评审内容中的各项要求有详细描述； 2、可实施性：切合本项目实际情况，项目背景及需求分析具体、合理、可行； 3、针对性：项目背景及需求能够紧扣项目实际需求，内容科学合理。 三、赋分标准（满分3分） 1、对项目背景的理解：每完全满足一个评审标准得0.5分，满分1.5分； 2、对项目的需求分析：每完全满足一个评审标准得0.5分，满分1.5分。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针对本项目服务内容及要求，详细列明总体服务方案，方案内容包括： 1、服务目标； 2、服务计划； 3、重难点分析； 4、服务措施。 二、评审标准 1、完整性：方案必须全面，对评审内容中的各项要求有详细描述； 2、可实施性：切合本项目实际情况，实施步骤清晰、合理、可行； 3、针对性：服务方案能够紧扣项目实际需求，内容科学合理。 三、赋分标准（满分12分） 1、服务目标：每完全满足一个评审标准得1分，满分3分； 2、服务计划：每完全满足一个评审标准得1分，满分3分； 3、重难点分析：每完全满足一个评审标准得1分，满分3分； 4、服务措施：每完全满足一个评审标准得1分，满分3分。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 结合对本项目的服务内容及要求的人员配置及管理要求，提供拟投入本项目人员，内容包括： 1、人员组织结构； 2、拟投入本项目的人员配置（提供简历表等，格式自拟，包括但不限于姓名、职务、年龄、工作经验、年限、学历等相关信息）； 3、人员专业技术能力。 二、评审标准 1、完整性：人员配置必须全面，对评审内容中的各项要求有详细描述； 2、可实施性：切合本项目实际情况，人员分工明确，岗位设置合理、可行； 3、针对性：人员配置及专业技术能力能够紧扣项目实际需求，科学合理。 三、赋分标准（满分7.5分） 1、人员组织结构：每完全满足一个评审标准得0.5分，满分1.5分； 2、拟投入本项目的人员配置（提供简历表等，格式自拟，包括但不限于姓名、职务、年龄、工作经验、年限、学历等相关信息）：每完全满足一个评审标准得 1 分，满分3 分； 3、人员专业技术能力：每完全满足一个评审标准得1分，满分 3分。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为提供系统软件的技术保障服务，本项目技术方案内容包括： 1、日常巡检； 2、运行保障； 3、缺陷修复与功能完善； 4、数据差异处理； 5、应急响应与处理； 6、故障维护响应处理； 7、软件运行与技术保障措施； 8、合理化建议。 二、评审标准 1、完整性：内容必须全面，对评审内容中的各项要求有详细描述； 2、可实施性：切合本项目实际情况，实施步骤清晰、合理、可行； 3、针对性：描述能够紧扣项目实际需求，内容科学合理。 三、赋分标准（满分24分） 1、日常巡检：每完全满足一个评审标准得 1分，满分 3分； 2、运行保障：每完全满足一个评审标准得 1 分，满分3 分； 3、缺陷修复与功能完善：每完全满足一个评审标准得 1 分，满分3 分； 4、数据差异处理：每完全满足一个评审标准得 1 分，满分3 分； 5、应急响应与处理：每完全满足一个评审标准得 1 分，满分3 分； 6、故障维护响应处理：每完全满足一个评审标准得 1 分，满分3 分； 7、软件运行与技术保障措施：每完全满足一个评审标准得 1 分，满分3 分； 8、合理化建议：每完全满足一个评审标准得1分，满分3分。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供应商需针对服务内容及要求，提供服务保障方案，内容包括： 1、服务计划和质量保障方案； 2、安全保障方案及措施； 3、异常数据处理保障措施。 二、评审标准 1、完整性：内容必须全面，对评审内容中的各项要求有详细描述； 2、可实施性：切合本项目实际情况，实施步骤清晰、合理、可行； 3、针对性：描述能够紧扣项目实际需求，内容科学合理。 三、赋分标准（满分9分） 1、服务计划和质量保障方案：每完全满足一个评审标准得1分，满分3分； 2、安全保障方案及措施：每完全满足一个评审标准得1分，满分3分； 3、异常数据处理保障措施：每完全满足一个评审标准得 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培训指导方案</w:t>
            </w:r>
          </w:p>
        </w:tc>
        <w:tc>
          <w:tcPr>
            <w:tcW w:type="dxa" w:w="2492"/>
          </w:tcPr>
          <w:p>
            <w:pPr>
              <w:pStyle w:val="null3"/>
            </w:pPr>
            <w:r>
              <w:rPr>
                <w:rFonts w:ascii="仿宋_GB2312" w:hAnsi="仿宋_GB2312" w:cs="仿宋_GB2312" w:eastAsia="仿宋_GB2312"/>
              </w:rPr>
              <w:t>一、评审内容 为满足服务期内的项目需求，提供必要的培训指导服务，方案内容包括： 1、技术培训的内容及方式； 2、技术指导的步骤及方法。 二、评审标准 1、完整性：方案必须全面，对评审内容中的各项要求有详细描述； 2、可实施性：切合本项目实际情况，实施步骤清晰、合理、可行； 3、针对性：描述能够紧扣项目实际需求，内容科学合理。 三、赋分标准（满分3分） 1、技术培训的内容及方式：每完全满足一个评审标准得0.5分，满分1.5分； 2、技术指导的步骤及方法：每完全满足一个评审标准得0.5分，满分1.5分。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针对预防网络安全应对的保障方案，包括： 1、人员安全管理； 2、权限管理； 3、数据安全； 4、系统安全； 5、网络安全； 6、管理制度。 二、评审标准 1、完整性：对评审内容中的各项内容要求有全面、详细描述； 2、可实施性：切合项目实际情况，各项方案内容清晰、合理、可行； 3、针对性：各项描述能够满足项目及采购人实际需求，内容科学合理。 三、赋分标准（满分9分） 1、人员安全管理：每完全满足一个评审标准得0.5分，满分1.5分； 2、权限管理：每完全满足一个评审标准得0.5分，满分1.5分； 3、数据安全：每完全满足一个评审标准得0.5分，满分1.5分； 4、系统安全：每完全满足一个评审标准得0.5分，满分1.5分； 5、网络安全：每完全满足一个评审标准得0.5分，满分1.5分； 6、管理制度：每完全满足一个评审标准得0.5分，满分1.5分。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突发事件处置及应急措施</w:t>
            </w:r>
          </w:p>
        </w:tc>
        <w:tc>
          <w:tcPr>
            <w:tcW w:type="dxa" w:w="2492"/>
          </w:tcPr>
          <w:p>
            <w:pPr>
              <w:pStyle w:val="null3"/>
            </w:pPr>
            <w:r>
              <w:rPr>
                <w:rFonts w:ascii="仿宋_GB2312" w:hAnsi="仿宋_GB2312" w:cs="仿宋_GB2312" w:eastAsia="仿宋_GB2312"/>
              </w:rPr>
              <w:t>一、评审内容 供应商应提供具有完善可行的突发事件处置及应急措施，包括： 1、突发事件响应时间； 2、突发事件处置流程； 3、突发事件应急措施。 二、评审标准 1、完整性：对评审内容中的各项要求有全面、详细描述； 2、可实施性：切合项目实际情况，各项内容清晰、合理、可行； 3、针对性：各项内容能够满足项目及采购人实际需求，内容科学合理。 三、赋分标准（满分4.5分） 1、突发事件响应时间：每完全满足一个评审标准得0.5分，满分1.5分； 2、突发事件处置流程：每完全满足一个评审标准得0.5分，满分1.5分； 3、突发事件应急措施：每完全满足一个评审标准得0.5分，满分1.5分。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供应商应提供2023年1月1日起至今类似项目业绩，每提供1份业绩得2分，满分8分。 注：1、供应商提供的业绩以合同签订时间为准； 2、业绩资料需提供合同（合同关键页含客户名称、项目内容、签订日期、金额）等资料（需有甲方的签字或盖章）的复印件或扫描件，并加盖公章。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对满足价格扣除条件且在响应文件中提交了《中小企业声明函》、《残疾人福利性单位声明函》或省级以上监狱管理局、戒毒管理局（含新疆生产建设兵团）出具的属于监狱企业的证明文件的供应商，其响应报价扣除 10% 后参与评审。对于同时属于小微企业、监狱企业或残疾人福利性单位的，不重复进行响应报价扣除。）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