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版本号：陕融招字-2026-0505号20260522001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紫外-可见-近红外光谱系统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陕融招字-2026-0505号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紫外-可见-近红外光谱系统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陕融招字-2026-0505号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紫外-可见-近红外光谱系统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紫外-可见-近红外光谱系统采购项目，包含采购紫外-可见-近红外分光光度计一台和共焦显微拉曼光谱仪一台。其中，分光光度计需满足液体吸光度、透射率测试，固体样品需满足透过率、反射率（应附带积分球）测试；拉曼系统需满足材料散射光谱测试和拉曼成像功能。两台设备均需高分辨率，以满足材料、化学、新能源等学科的研究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陕西省西安市雁塔区南二环东段凯森盛世1号B座2606室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15002974213、029-82295130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开户银行：中国建设银行股份有限公司西安交大支行</w:t>
            </w:r>
          </w:p>
          <w:p>
            <w:pPr>
              <w:pStyle w:val="null3"/>
            </w:pPr>
            <w:r>
              <w:rPr>
                <w:rFonts w:ascii="仿宋_GB2312" w:hAnsi="仿宋_GB2312" w:cs="仿宋_GB2312" w:eastAsia="仿宋_GB2312"/>
              </w:rPr>
              <w:t>银行账号：6105 0172 4100 0000 1522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说明：项目服务期结束后无违约情形，缴纳的履约保证金无息退还。交纳形式为银行转账等非现金形式，供应商以银行、保险公司出具保函形式提交履约保证金的，采购单位不得拒收。 （备注项目编号＋采购包号＋项目名称）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代理服务费收费标准：代理项目金额80万元以下收取定额3000元；代理项目金额80万以上-400万以下，按照《招标代理服务收费管理暂行办法》（计价格[2002]1980 号）及（发改办价格[2011]534号）规定的计费标准*55%计取。中标单位在领取中标通知书前，须向采购代理机构一次性支付招标代理服务费；代理服务费以转账、电汇或现金等形式交纳。 缴纳账户： 开户名称：陕西思迈融工程建设项目管理有限公司 开户银行：招商银行股份有限公司西安西影路支行 银行账号：1299 0860 5410 801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符合招标文件及采购人要求，符合合同约定。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联系人：高雪娇、贾轩博</w:t>
      </w:r>
    </w:p>
    <w:p>
      <w:pPr>
        <w:pStyle w:val="null3"/>
      </w:pPr>
      <w:r>
        <w:rPr>
          <w:rFonts w:ascii="仿宋_GB2312" w:hAnsi="仿宋_GB2312" w:cs="仿宋_GB2312" w:eastAsia="仿宋_GB2312"/>
        </w:rPr>
        <w:t>联系电话：029-82295130</w:t>
      </w:r>
    </w:p>
    <w:p>
      <w:pPr>
        <w:pStyle w:val="null3"/>
      </w:pPr>
      <w:r>
        <w:rPr>
          <w:rFonts w:ascii="仿宋_GB2312" w:hAnsi="仿宋_GB2312" w:cs="仿宋_GB2312" w:eastAsia="仿宋_GB2312"/>
        </w:rPr>
        <w:t>地址：陕西省西安市雁塔区南二环东段凯森盛世1号B座2606室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紫外-可见-近红外光谱系统采购项目，包含采购紫外-可见-近红外分光光度计一台和共焦显微拉曼光谱仪一台。其中，分光光度计需满足液体吸光度、透射率测试，固体样品需满足透过率、反射率（应附带积分球）测试；拉曼系统需满足材料散射光谱测试和拉曼成像功能。两台设备均需高分辨率，以满足材料、化学、新能源等学科的研究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紫外-可见-近红外光谱系统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标的名称：紫外-可见-近红外光谱系统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305"/>
              <w:gridCol w:w="781"/>
              <w:gridCol w:w="828"/>
              <w:gridCol w:w="640"/>
            </w:tblGrid>
            <w:tr>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类别</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r>
            <w:tr>
              <w:tc>
                <w:tcPr>
                  <w:tcW w:type="dxa" w:w="3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7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紫外</w:t>
                  </w:r>
                  <w:r>
                    <w:rPr>
                      <w:rFonts w:ascii="仿宋_GB2312" w:hAnsi="仿宋_GB2312" w:cs="仿宋_GB2312" w:eastAsia="仿宋_GB2312"/>
                      <w:sz w:val="21"/>
                    </w:rPr>
                    <w:t>-可见-近红外分光光度计部分</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分光光度计</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r>
            <w:tr>
              <w:tc>
                <w:tcPr>
                  <w:tcW w:type="dxa" w:w="305"/>
                  <w:vMerge/>
                  <w:tcBorders>
                    <w:top w:val="none" w:color="000000" w:sz="4"/>
                    <w:left w:val="single" w:color="000000" w:sz="4"/>
                    <w:bottom w:val="single" w:color="000000" w:sz="4"/>
                    <w:right w:val="single" w:color="000000" w:sz="4"/>
                  </w:tcBorders>
                </w:tcPr>
                <w:p/>
              </w:tc>
              <w:tc>
                <w:tcPr>
                  <w:tcW w:type="dxa" w:w="781"/>
                  <w:vMerge/>
                  <w:tcBorders>
                    <w:top w:val="none" w:color="000000" w:sz="4"/>
                    <w:left w:val="single" w:color="000000" w:sz="4"/>
                    <w:bottom w:val="single" w:color="000000" w:sz="4"/>
                    <w:right w:val="single" w:color="000000" w:sz="4"/>
                  </w:tcBorders>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积分球附件</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305"/>
                  <w:vMerge/>
                  <w:tcBorders>
                    <w:top w:val="none" w:color="000000" w:sz="4"/>
                    <w:left w:val="single" w:color="000000" w:sz="4"/>
                    <w:bottom w:val="single" w:color="000000" w:sz="4"/>
                    <w:right w:val="single" w:color="000000" w:sz="4"/>
                  </w:tcBorders>
                </w:tcPr>
                <w:p/>
              </w:tc>
              <w:tc>
                <w:tcPr>
                  <w:tcW w:type="dxa" w:w="781"/>
                  <w:vMerge/>
                  <w:tcBorders>
                    <w:top w:val="none" w:color="000000" w:sz="4"/>
                    <w:left w:val="single" w:color="000000" w:sz="4"/>
                    <w:bottom w:val="single" w:color="000000" w:sz="4"/>
                    <w:right w:val="single" w:color="000000" w:sz="4"/>
                  </w:tcBorders>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操作软件</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3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7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共聚焦显微拉曼光谱仪部分</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分光光谱仪</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r>
            <w:tr>
              <w:tc>
                <w:tcPr>
                  <w:tcW w:type="dxa" w:w="305"/>
                  <w:vMerge/>
                  <w:tcBorders>
                    <w:top w:val="none" w:color="000000" w:sz="4"/>
                    <w:left w:val="single" w:color="000000" w:sz="4"/>
                    <w:bottom w:val="single" w:color="000000" w:sz="4"/>
                    <w:right w:val="single" w:color="000000" w:sz="4"/>
                  </w:tcBorders>
                </w:tcPr>
                <w:p/>
              </w:tc>
              <w:tc>
                <w:tcPr>
                  <w:tcW w:type="dxa" w:w="781"/>
                  <w:vMerge/>
                  <w:tcBorders>
                    <w:top w:val="none" w:color="000000" w:sz="4"/>
                    <w:left w:val="single" w:color="000000" w:sz="4"/>
                    <w:bottom w:val="single" w:color="000000" w:sz="4"/>
                    <w:right w:val="single" w:color="000000" w:sz="4"/>
                  </w:tcBorders>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激光器</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2台</w:t>
                  </w:r>
                </w:p>
              </w:tc>
            </w:tr>
            <w:tr>
              <w:tc>
                <w:tcPr>
                  <w:tcW w:type="dxa" w:w="305"/>
                  <w:vMerge/>
                  <w:tcBorders>
                    <w:top w:val="none" w:color="000000" w:sz="4"/>
                    <w:left w:val="single" w:color="000000" w:sz="4"/>
                    <w:bottom w:val="single" w:color="000000" w:sz="4"/>
                    <w:right w:val="single" w:color="000000" w:sz="4"/>
                  </w:tcBorders>
                </w:tcPr>
                <w:p/>
              </w:tc>
              <w:tc>
                <w:tcPr>
                  <w:tcW w:type="dxa" w:w="781"/>
                  <w:vMerge/>
                  <w:tcBorders>
                    <w:top w:val="none" w:color="000000" w:sz="4"/>
                    <w:left w:val="single" w:color="000000" w:sz="4"/>
                    <w:bottom w:val="single" w:color="000000" w:sz="4"/>
                    <w:right w:val="single" w:color="000000" w:sz="4"/>
                  </w:tcBorders>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高精度自动扫描样品台</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r>
            <w:tr>
              <w:tc>
                <w:tcPr>
                  <w:tcW w:type="dxa" w:w="305"/>
                  <w:vMerge/>
                  <w:tcBorders>
                    <w:top w:val="none" w:color="000000" w:sz="4"/>
                    <w:left w:val="single" w:color="000000" w:sz="4"/>
                    <w:bottom w:val="single" w:color="000000" w:sz="4"/>
                    <w:right w:val="single" w:color="000000" w:sz="4"/>
                  </w:tcBorders>
                </w:tcPr>
                <w:p/>
              </w:tc>
              <w:tc>
                <w:tcPr>
                  <w:tcW w:type="dxa" w:w="781"/>
                  <w:vMerge/>
                  <w:tcBorders>
                    <w:top w:val="none" w:color="000000" w:sz="4"/>
                    <w:left w:val="single" w:color="000000" w:sz="4"/>
                    <w:bottom w:val="single" w:color="000000" w:sz="4"/>
                    <w:right w:val="single" w:color="000000" w:sz="4"/>
                  </w:tcBorders>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物镜</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305"/>
                  <w:vMerge/>
                  <w:tcBorders>
                    <w:top w:val="none" w:color="000000" w:sz="4"/>
                    <w:left w:val="single" w:color="000000" w:sz="4"/>
                    <w:bottom w:val="single" w:color="000000" w:sz="4"/>
                    <w:right w:val="single" w:color="000000" w:sz="4"/>
                  </w:tcBorders>
                </w:tcPr>
                <w:p/>
              </w:tc>
              <w:tc>
                <w:tcPr>
                  <w:tcW w:type="dxa" w:w="781"/>
                  <w:vMerge/>
                  <w:tcBorders>
                    <w:top w:val="none" w:color="000000" w:sz="4"/>
                    <w:left w:val="single" w:color="000000" w:sz="4"/>
                    <w:bottom w:val="single" w:color="000000" w:sz="4"/>
                    <w:right w:val="single" w:color="000000" w:sz="4"/>
                  </w:tcBorders>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操作软件</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控制终端</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紫外</w:t>
            </w:r>
            <w:r>
              <w:rPr>
                <w:rFonts w:ascii="仿宋_GB2312" w:hAnsi="仿宋_GB2312" w:cs="仿宋_GB2312" w:eastAsia="仿宋_GB2312"/>
                <w:sz w:val="21"/>
              </w:rPr>
              <w:t>-可见-近红外分光光度计部分</w:t>
            </w:r>
            <w:r>
              <w:rPr>
                <w:rFonts w:ascii="仿宋_GB2312" w:hAnsi="仿宋_GB2312" w:cs="仿宋_GB2312" w:eastAsia="仿宋_GB2312"/>
                <w:sz w:val="21"/>
              </w:rPr>
              <w:t>分数要求：</w:t>
            </w:r>
          </w:p>
          <w:p>
            <w:pPr>
              <w:pStyle w:val="null3"/>
              <w:ind w:left="360"/>
              <w:jc w:val="both"/>
            </w:pPr>
            <w:r>
              <w:rPr>
                <w:rFonts w:ascii="仿宋_GB2312" w:hAnsi="仿宋_GB2312" w:cs="仿宋_GB2312" w:eastAsia="仿宋_GB2312"/>
                <w:sz w:val="21"/>
              </w:rPr>
              <w:t>（一）分光光度计主机：</w:t>
            </w:r>
          </w:p>
          <w:p>
            <w:pPr>
              <w:pStyle w:val="null3"/>
              <w:ind w:left="360"/>
              <w:jc w:val="both"/>
            </w:pPr>
            <w:r>
              <w:rPr>
                <w:rFonts w:ascii="仿宋_GB2312" w:hAnsi="仿宋_GB2312" w:cs="仿宋_GB2312" w:eastAsia="仿宋_GB2312"/>
                <w:sz w:val="21"/>
              </w:rPr>
              <w:t>1、光谱范围：覆盖190～3300nm；</w:t>
            </w:r>
          </w:p>
          <w:p>
            <w:pPr>
              <w:pStyle w:val="null3"/>
              <w:ind w:left="360"/>
              <w:jc w:val="both"/>
            </w:pPr>
            <w:r>
              <w:rPr>
                <w:rFonts w:ascii="仿宋_GB2312" w:hAnsi="仿宋_GB2312" w:cs="仿宋_GB2312" w:eastAsia="仿宋_GB2312"/>
                <w:sz w:val="21"/>
              </w:rPr>
              <w:t>2、波长准确度：紫外-可见区</w:t>
            </w:r>
            <w:r>
              <w:rPr>
                <w:rFonts w:ascii="仿宋_GB2312" w:hAnsi="仿宋_GB2312" w:cs="仿宋_GB2312" w:eastAsia="仿宋_GB2312"/>
                <w:sz w:val="21"/>
              </w:rPr>
              <w:t>≦±0.3 nm (UV-Vis)；近红外区≦±1.5nm (NIR)</w:t>
            </w:r>
          </w:p>
          <w:p>
            <w:pPr>
              <w:pStyle w:val="null3"/>
              <w:ind w:left="36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、波长重复性：同一波长点连续测量十次，紫外</w:t>
            </w:r>
            <w:r>
              <w:rPr>
                <w:rFonts w:ascii="仿宋_GB2312" w:hAnsi="仿宋_GB2312" w:cs="仿宋_GB2312" w:eastAsia="仿宋_GB2312"/>
                <w:sz w:val="21"/>
              </w:rPr>
              <w:t>-可见区</w:t>
            </w:r>
            <w:r>
              <w:rPr>
                <w:rFonts w:ascii="仿宋_GB2312" w:hAnsi="仿宋_GB2312" w:cs="仿宋_GB2312" w:eastAsia="仿宋_GB2312"/>
                <w:sz w:val="21"/>
              </w:rPr>
              <w:t>≦±0.05 nm (UV-Vis)；近红外区≦±0.3nm (NIR)</w:t>
            </w:r>
          </w:p>
          <w:p>
            <w:pPr>
              <w:pStyle w:val="null3"/>
              <w:ind w:left="360"/>
              <w:jc w:val="both"/>
            </w:pPr>
            <w:r>
              <w:rPr>
                <w:rFonts w:ascii="仿宋_GB2312" w:hAnsi="仿宋_GB2312" w:cs="仿宋_GB2312" w:eastAsia="仿宋_GB2312"/>
                <w:sz w:val="21"/>
              </w:rPr>
              <w:t>4、光度范围：≥6Abs；</w:t>
            </w:r>
          </w:p>
          <w:p>
            <w:pPr>
              <w:pStyle w:val="null3"/>
              <w:ind w:left="360"/>
              <w:jc w:val="both"/>
            </w:pPr>
            <w:r>
              <w:rPr>
                <w:rFonts w:ascii="仿宋_GB2312" w:hAnsi="仿宋_GB2312" w:cs="仿宋_GB2312" w:eastAsia="仿宋_GB2312"/>
                <w:sz w:val="21"/>
              </w:rPr>
              <w:t>5、测光模式及功能：具备吸光度（Abs）、透射率（T%）、反射率（R%）等测试模式，支持液体、固体、薄膜、粉末等多种形态样品检测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光谱带宽：</w:t>
            </w:r>
            <w:r>
              <w:rPr>
                <w:rFonts w:ascii="仿宋_GB2312" w:hAnsi="仿宋_GB2312" w:cs="仿宋_GB2312" w:eastAsia="仿宋_GB2312"/>
                <w:sz w:val="21"/>
              </w:rPr>
              <w:t>具备多模式切换。紫外</w:t>
            </w:r>
            <w:r>
              <w:rPr>
                <w:rFonts w:ascii="仿宋_GB2312" w:hAnsi="仿宋_GB2312" w:cs="仿宋_GB2312" w:eastAsia="仿宋_GB2312"/>
                <w:sz w:val="21"/>
              </w:rPr>
              <w:t>/可见区支持0.1nm、0.2nm、0.5 nm、1nm、2nm、5nm、10nm 常规带宽；并配备低杂散光测量模式（L2nm、L5nm、L10 nm）及微量池测量模式（M1nm、M2nm）。近红外区支持0.4nm、0.8nm、2nm、4nm、8nm、20nm、40nm 常规带宽；并配备低杂散光测量模式（L8nm、L20nm、L40nm）及微量池测量模式（M4nm、M8nm）；</w:t>
            </w:r>
          </w:p>
          <w:p>
            <w:pPr>
              <w:pStyle w:val="null3"/>
              <w:jc w:val="both"/>
            </w:pPr>
            <w:r>
              <w:rPr>
                <w:rFonts w:ascii="仿宋_GB2312" w:hAnsi="仿宋_GB2312" w:cs="仿宋_GB2312" w:eastAsia="仿宋_GB2312"/>
                <w:sz w:val="21"/>
              </w:rPr>
              <w:t>7、光学系统：双光束光学系统；</w:t>
            </w:r>
          </w:p>
          <w:p>
            <w:pPr>
              <w:pStyle w:val="null3"/>
              <w:jc w:val="both"/>
            </w:pPr>
            <w:r>
              <w:rPr>
                <w:rFonts w:ascii="仿宋_GB2312" w:hAnsi="仿宋_GB2312" w:cs="仿宋_GB2312" w:eastAsia="仿宋_GB2312"/>
                <w:sz w:val="21"/>
              </w:rPr>
              <w:t>8、光源：氘灯、卤素灯；</w:t>
            </w:r>
          </w:p>
          <w:p>
            <w:pPr>
              <w:pStyle w:val="null3"/>
              <w:jc w:val="both"/>
            </w:pPr>
            <w:r>
              <w:rPr>
                <w:rFonts w:ascii="仿宋_GB2312" w:hAnsi="仿宋_GB2312" w:cs="仿宋_GB2312" w:eastAsia="仿宋_GB2312"/>
                <w:sz w:val="21"/>
              </w:rPr>
              <w:t>9、单色仪：采用高性能平面全息光栅单色仪，具备良好的杂散光抑制能力和波长线性；</w:t>
            </w:r>
          </w:p>
          <w:p>
            <w:pPr>
              <w:pStyle w:val="null3"/>
              <w:jc w:val="both"/>
            </w:pPr>
            <w:r>
              <w:rPr>
                <w:rFonts w:ascii="仿宋_GB2312" w:hAnsi="仿宋_GB2312" w:cs="仿宋_GB2312" w:eastAsia="仿宋_GB2312"/>
                <w:sz w:val="21"/>
              </w:rPr>
              <w:t>10、扫描速度：10～4000nm/min；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11、基线稳定性：</w:t>
            </w:r>
            <w:r>
              <w:rPr>
                <w:rFonts w:ascii="仿宋_GB2312" w:hAnsi="仿宋_GB2312" w:cs="仿宋_GB2312" w:eastAsia="仿宋_GB2312"/>
                <w:sz w:val="21"/>
              </w:rPr>
              <w:t>≤±0.0003Abs/hour；</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12、基线平直度：≤±0.0002Abs；</w:t>
            </w:r>
          </w:p>
          <w:p>
            <w:pPr>
              <w:pStyle w:val="null3"/>
              <w:jc w:val="both"/>
            </w:pPr>
            <w:r>
              <w:rPr>
                <w:rFonts w:ascii="仿宋_GB2312" w:hAnsi="仿宋_GB2312" w:cs="仿宋_GB2312" w:eastAsia="仿宋_GB2312"/>
                <w:sz w:val="21"/>
              </w:rPr>
              <w:t>▲13、吸光度准确度：</w:t>
            </w:r>
            <w:r>
              <w:rPr>
                <w:rFonts w:ascii="仿宋_GB2312" w:hAnsi="仿宋_GB2312" w:cs="仿宋_GB2312" w:eastAsia="仿宋_GB2312"/>
                <w:sz w:val="21"/>
              </w:rPr>
              <w:t>≦±0.0016 Abs；</w:t>
            </w:r>
          </w:p>
          <w:p>
            <w:pPr>
              <w:pStyle w:val="null3"/>
              <w:jc w:val="both"/>
            </w:pPr>
            <w:r>
              <w:rPr>
                <w:rFonts w:ascii="仿宋_GB2312" w:hAnsi="仿宋_GB2312" w:cs="仿宋_GB2312" w:eastAsia="仿宋_GB2312"/>
                <w:sz w:val="21"/>
              </w:rPr>
              <w:t>14、检测器：配备高灵敏度光电倍增管（PMT）用于紫外-可见区；配备制冷型硫化铅（PbS）或性能相当的后端检测器用于近红外区；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15、噪声水平：基线噪声（RMS）≦0.00003Abs；</w:t>
            </w:r>
          </w:p>
          <w:p>
            <w:pPr>
              <w:pStyle w:val="null3"/>
              <w:jc w:val="left"/>
            </w:pPr>
            <w:r>
              <w:rPr>
                <w:rFonts w:ascii="仿宋_GB2312" w:hAnsi="仿宋_GB2312" w:cs="仿宋_GB2312" w:eastAsia="仿宋_GB2312"/>
                <w:sz w:val="21"/>
              </w:rPr>
              <w:t>（二）积分球附件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直径</w:t>
            </w:r>
            <w:r>
              <w:rPr>
                <w:rFonts w:ascii="仿宋_GB2312" w:hAnsi="仿宋_GB2312" w:cs="仿宋_GB2312" w:eastAsia="仿宋_GB2312"/>
                <w:sz w:val="21"/>
              </w:rPr>
              <w:t>≥60mm，内壁采用硫酸钡或聚四氟乙烯等高反射率漫反射涂层；</w:t>
            </w:r>
          </w:p>
          <w:p>
            <w:pPr>
              <w:pStyle w:val="null3"/>
              <w:jc w:val="left"/>
            </w:pPr>
            <w:r>
              <w:rPr>
                <w:rFonts w:ascii="仿宋_GB2312" w:hAnsi="仿宋_GB2312" w:cs="仿宋_GB2312" w:eastAsia="仿宋_GB2312"/>
                <w:sz w:val="21"/>
              </w:rPr>
              <w:t>2、波长适配：覆盖200～2500nm范围；</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、满足漫反射及漫透过测试，积分球配置膜及粉末样品夹具，满足液体、薄膜、粉末样品测试；</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操作软件</w:t>
            </w:r>
          </w:p>
          <w:p>
            <w:pPr>
              <w:pStyle w:val="null3"/>
              <w:jc w:val="both"/>
            </w:pPr>
            <w:r>
              <w:rPr>
                <w:rFonts w:ascii="仿宋_GB2312" w:hAnsi="仿宋_GB2312" w:cs="仿宋_GB2312" w:eastAsia="仿宋_GB2312"/>
                <w:sz w:val="21"/>
              </w:rPr>
              <w:t>1、操作软件需</w:t>
            </w:r>
            <w:r>
              <w:rPr>
                <w:rFonts w:ascii="仿宋_GB2312" w:hAnsi="仿宋_GB2312" w:cs="仿宋_GB2312" w:eastAsia="仿宋_GB2312"/>
                <w:sz w:val="21"/>
              </w:rPr>
              <w:t>内置动力学时间程序测试模块，支持固定波长下吸光度随时间变化的连续监测，采集时间间隔</w:t>
            </w:r>
            <w:r>
              <w:rPr>
                <w:rFonts w:ascii="仿宋_GB2312" w:hAnsi="仿宋_GB2312" w:cs="仿宋_GB2312" w:eastAsia="仿宋_GB2312"/>
                <w:sz w:val="21"/>
              </w:rPr>
              <w:t>0.05</w:t>
            </w:r>
            <w:r>
              <w:rPr>
                <w:rFonts w:ascii="仿宋_GB2312" w:hAnsi="仿宋_GB2312" w:cs="仿宋_GB2312" w:eastAsia="仿宋_GB2312"/>
                <w:sz w:val="21"/>
              </w:rPr>
              <w:t>～</w:t>
            </w:r>
            <w:r>
              <w:rPr>
                <w:rFonts w:ascii="仿宋_GB2312" w:hAnsi="仿宋_GB2312" w:cs="仿宋_GB2312" w:eastAsia="仿宋_GB2312"/>
                <w:sz w:val="21"/>
              </w:rPr>
              <w:t>60 sec（不少于10档）可调；</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测试数据需支持</w:t>
            </w:r>
            <w:r>
              <w:rPr>
                <w:rFonts w:ascii="仿宋_GB2312" w:hAnsi="仿宋_GB2312" w:cs="仿宋_GB2312" w:eastAsia="仿宋_GB2312"/>
                <w:sz w:val="21"/>
              </w:rPr>
              <w:t>.txt</w:t>
            </w:r>
            <w:r>
              <w:rPr>
                <w:rFonts w:ascii="仿宋_GB2312" w:hAnsi="仿宋_GB2312" w:cs="仿宋_GB2312" w:eastAsia="仿宋_GB2312"/>
                <w:sz w:val="21"/>
              </w:rPr>
              <w:t>、</w:t>
            </w:r>
            <w:r>
              <w:rPr>
                <w:rFonts w:ascii="仿宋_GB2312" w:hAnsi="仿宋_GB2312" w:cs="仿宋_GB2312" w:eastAsia="仿宋_GB2312"/>
                <w:sz w:val="21"/>
              </w:rPr>
              <w:t>.csv等通用文本格式导出；</w:t>
            </w:r>
          </w:p>
          <w:p>
            <w:pPr>
              <w:pStyle w:val="null3"/>
            </w:pPr>
            <w:r>
              <w:rPr>
                <w:rFonts w:ascii="仿宋_GB2312" w:hAnsi="仿宋_GB2312" w:cs="仿宋_GB2312" w:eastAsia="仿宋_GB2312"/>
                <w:sz w:val="21"/>
              </w:rPr>
              <w:t>3、</w:t>
            </w:r>
            <w:r>
              <w:rPr>
                <w:rFonts w:ascii="仿宋_GB2312" w:hAnsi="仿宋_GB2312" w:cs="仿宋_GB2312" w:eastAsia="仿宋_GB2312"/>
                <w:sz w:val="21"/>
              </w:rPr>
              <w:t>设备控制软件具备光谱测试及分析数据处理，包括</w:t>
            </w:r>
            <w:r>
              <w:rPr>
                <w:rFonts w:ascii="仿宋_GB2312" w:hAnsi="仿宋_GB2312" w:cs="仿宋_GB2312" w:eastAsia="仿宋_GB2312"/>
                <w:sz w:val="21"/>
              </w:rPr>
              <w:t>但</w:t>
            </w:r>
            <w:r>
              <w:rPr>
                <w:rFonts w:ascii="仿宋_GB2312" w:hAnsi="仿宋_GB2312" w:cs="仿宋_GB2312" w:eastAsia="仿宋_GB2312"/>
                <w:sz w:val="21"/>
              </w:rPr>
              <w:t>不限于谱图平滑、峰位查找、基线校正、数学运算及多谱图叠加显示等。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left="360"/>
              <w:jc w:val="both"/>
            </w:pPr>
            <w:r>
              <w:rPr>
                <w:rFonts w:ascii="仿宋_GB2312" w:hAnsi="仿宋_GB2312" w:cs="仿宋_GB2312" w:eastAsia="仿宋_GB2312"/>
                <w:sz w:val="21"/>
              </w:rPr>
              <w:t>二、</w:t>
            </w:r>
            <w:r>
              <w:rPr>
                <w:rFonts w:ascii="仿宋_GB2312" w:hAnsi="仿宋_GB2312" w:cs="仿宋_GB2312" w:eastAsia="仿宋_GB2312"/>
                <w:sz w:val="21"/>
              </w:rPr>
              <w:t>共聚焦显微拉曼光谱仪部分参数要求：</w:t>
            </w:r>
          </w:p>
          <w:p>
            <w:pPr>
              <w:pStyle w:val="null3"/>
              <w:ind w:left="360"/>
              <w:jc w:val="both"/>
            </w:pPr>
            <w:r>
              <w:rPr>
                <w:rFonts w:ascii="仿宋_GB2312" w:hAnsi="仿宋_GB2312" w:cs="仿宋_GB2312" w:eastAsia="仿宋_GB2312"/>
                <w:sz w:val="21"/>
              </w:rPr>
              <w:t>（一）分光光谱仪主机：</w:t>
            </w:r>
          </w:p>
          <w:p>
            <w:pPr>
              <w:pStyle w:val="null3"/>
              <w:ind w:left="360"/>
              <w:jc w:val="both"/>
            </w:pPr>
            <w:r>
              <w:rPr>
                <w:rFonts w:ascii="仿宋_GB2312" w:hAnsi="仿宋_GB2312" w:cs="仿宋_GB2312" w:eastAsia="仿宋_GB2312"/>
                <w:sz w:val="21"/>
              </w:rPr>
              <w:t>1、焦距：≥510mm；</w:t>
            </w:r>
          </w:p>
          <w:p>
            <w:pPr>
              <w:pStyle w:val="null3"/>
              <w:ind w:left="360"/>
              <w:jc w:val="both"/>
            </w:pPr>
            <w:r>
              <w:rPr>
                <w:rFonts w:ascii="仿宋_GB2312" w:hAnsi="仿宋_GB2312" w:cs="仿宋_GB2312" w:eastAsia="仿宋_GB2312"/>
                <w:sz w:val="21"/>
              </w:rPr>
              <w:t>2、光栅：内置不少于3块不同刻线密度的光栅（需包含600线/毫米、1200线/毫米、1800线/毫米或以上规格），</w:t>
            </w:r>
            <w:r>
              <w:rPr>
                <w:rFonts w:ascii="仿宋_GB2312" w:hAnsi="仿宋_GB2312" w:cs="仿宋_GB2312" w:eastAsia="仿宋_GB2312"/>
                <w:sz w:val="21"/>
              </w:rPr>
              <w:t>单片光栅面积</w:t>
            </w:r>
            <w:r>
              <w:rPr>
                <w:rFonts w:ascii="仿宋_GB2312" w:hAnsi="仿宋_GB2312" w:cs="仿宋_GB2312" w:eastAsia="仿宋_GB2312"/>
                <w:sz w:val="21"/>
              </w:rPr>
              <w:t>≥70mm×70 mm</w:t>
            </w:r>
            <w:r>
              <w:rPr>
                <w:rFonts w:ascii="仿宋_GB2312" w:hAnsi="仿宋_GB2312" w:cs="仿宋_GB2312" w:eastAsia="仿宋_GB2312"/>
                <w:sz w:val="21"/>
              </w:rPr>
              <w:t>，</w:t>
            </w:r>
            <w:r>
              <w:rPr>
                <w:rFonts w:ascii="仿宋_GB2312" w:hAnsi="仿宋_GB2312" w:cs="仿宋_GB2312" w:eastAsia="仿宋_GB2312"/>
                <w:sz w:val="21"/>
              </w:rPr>
              <w:t>可自动切换；</w:t>
            </w:r>
          </w:p>
          <w:p>
            <w:pPr>
              <w:pStyle w:val="null3"/>
              <w:ind w:left="360"/>
              <w:jc w:val="both"/>
            </w:pPr>
            <w:r>
              <w:rPr>
                <w:rFonts w:ascii="仿宋_GB2312" w:hAnsi="仿宋_GB2312" w:cs="仿宋_GB2312" w:eastAsia="仿宋_GB2312"/>
                <w:sz w:val="21"/>
              </w:rPr>
              <w:t>★</w:t>
            </w:r>
            <w:r>
              <w:rPr>
                <w:rFonts w:ascii="仿宋_GB2312" w:hAnsi="仿宋_GB2312" w:cs="仿宋_GB2312" w:eastAsia="仿宋_GB2312"/>
                <w:sz w:val="21"/>
              </w:rPr>
              <w:t>3、光谱分辨率：在使用高刻线密度光栅（≥1800线/mm）与氖灯标准源测试条件下，585nm发射线的半高全宽（FWHM）≤1.5 cm</w:t>
            </w:r>
            <w:r>
              <w:rPr>
                <w:rFonts w:ascii="仿宋_GB2312" w:hAnsi="仿宋_GB2312" w:cs="仿宋_GB2312" w:eastAsia="仿宋_GB2312"/>
                <w:sz w:val="21"/>
                <w:vertAlign w:val="superscript"/>
              </w:rPr>
              <w:t>-1</w:t>
            </w:r>
            <w:r>
              <w:rPr>
                <w:rFonts w:ascii="仿宋_GB2312" w:hAnsi="仿宋_GB2312" w:cs="仿宋_GB2312" w:eastAsia="仿宋_GB2312"/>
                <w:sz w:val="21"/>
              </w:rPr>
              <w:t>；</w:t>
            </w:r>
          </w:p>
          <w:p>
            <w:pPr>
              <w:pStyle w:val="null3"/>
              <w:ind w:left="36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波数范围：覆盖</w:t>
            </w:r>
            <w:r>
              <w:rPr>
                <w:rFonts w:ascii="仿宋_GB2312" w:hAnsi="仿宋_GB2312" w:cs="仿宋_GB2312" w:eastAsia="仿宋_GB2312"/>
                <w:sz w:val="21"/>
              </w:rPr>
              <w:t>150～4000cm</w:t>
            </w:r>
            <w:r>
              <w:rPr>
                <w:rFonts w:ascii="仿宋_GB2312" w:hAnsi="仿宋_GB2312" w:cs="仿宋_GB2312" w:eastAsia="仿宋_GB2312"/>
                <w:sz w:val="21"/>
                <w:vertAlign w:val="superscript"/>
              </w:rPr>
              <w:t>-1</w:t>
            </w:r>
            <w:r>
              <w:rPr>
                <w:rFonts w:ascii="仿宋_GB2312" w:hAnsi="仿宋_GB2312" w:cs="仿宋_GB2312" w:eastAsia="仿宋_GB2312"/>
                <w:sz w:val="21"/>
              </w:rPr>
              <w:t>；</w:t>
            </w:r>
          </w:p>
          <w:p>
            <w:pPr>
              <w:pStyle w:val="null3"/>
              <w:ind w:left="360"/>
              <w:jc w:val="both"/>
            </w:pPr>
            <w:r>
              <w:rPr>
                <w:rFonts w:ascii="仿宋_GB2312" w:hAnsi="仿宋_GB2312" w:cs="仿宋_GB2312" w:eastAsia="仿宋_GB2312"/>
                <w:sz w:val="21"/>
              </w:rPr>
              <w:t>5、光路设计：全自由空间光路，无光纤导光，不可使用光纤传输组件。</w:t>
            </w:r>
          </w:p>
          <w:p>
            <w:pPr>
              <w:pStyle w:val="null3"/>
              <w:ind w:left="360"/>
              <w:jc w:val="both"/>
            </w:pPr>
            <w:r>
              <w:rPr>
                <w:rFonts w:ascii="仿宋_GB2312" w:hAnsi="仿宋_GB2312" w:cs="仿宋_GB2312" w:eastAsia="仿宋_GB2312"/>
                <w:sz w:val="21"/>
              </w:rPr>
              <w:t>6、强度重复性：在相同条件下连续测量10次，特征峰强度相对标准偏差（RSD）≤0.5%；</w:t>
            </w:r>
          </w:p>
          <w:p>
            <w:pPr>
              <w:pStyle w:val="null3"/>
              <w:ind w:left="360"/>
              <w:jc w:val="both"/>
            </w:pPr>
            <w:r>
              <w:rPr>
                <w:rFonts w:ascii="仿宋_GB2312" w:hAnsi="仿宋_GB2312" w:cs="仿宋_GB2312" w:eastAsia="仿宋_GB2312"/>
                <w:sz w:val="21"/>
              </w:rPr>
              <w:t>7、长期稳定性：8小时连续测量的光谱变化量≤2%。</w:t>
            </w:r>
          </w:p>
          <w:p>
            <w:pPr>
              <w:pStyle w:val="null3"/>
              <w:ind w:left="360"/>
              <w:jc w:val="both"/>
            </w:pPr>
            <w:r>
              <w:rPr>
                <w:rFonts w:ascii="仿宋_GB2312" w:hAnsi="仿宋_GB2312" w:cs="仿宋_GB2312" w:eastAsia="仿宋_GB2312"/>
                <w:sz w:val="21"/>
              </w:rPr>
              <w:t>▲8、峰值查找：系统须支持基于局部信噪比（SNR）的智能峰识别，可自动定位SNR≥3的拉曼峰；硅三阶峰（</w:t>
            </w:r>
            <w:r>
              <w:rPr>
                <w:rFonts w:ascii="仿宋_GB2312" w:hAnsi="仿宋_GB2312" w:cs="仿宋_GB2312" w:eastAsia="仿宋_GB2312"/>
                <w:sz w:val="21"/>
              </w:rPr>
              <w:t>约</w:t>
            </w:r>
            <w:r>
              <w:rPr>
                <w:rFonts w:ascii="仿宋_GB2312" w:hAnsi="仿宋_GB2312" w:cs="仿宋_GB2312" w:eastAsia="仿宋_GB2312"/>
                <w:sz w:val="21"/>
              </w:rPr>
              <w:t>1440 cm</w:t>
            </w:r>
            <w:r>
              <w:rPr>
                <w:rFonts w:ascii="仿宋_GB2312" w:hAnsi="仿宋_GB2312" w:cs="仿宋_GB2312" w:eastAsia="仿宋_GB2312"/>
                <w:sz w:val="21"/>
                <w:vertAlign w:val="superscript"/>
              </w:rPr>
              <w:t>-1</w:t>
            </w:r>
            <w:r>
              <w:rPr>
                <w:rFonts w:ascii="仿宋_GB2312" w:hAnsi="仿宋_GB2312" w:cs="仿宋_GB2312" w:eastAsia="仿宋_GB2312"/>
                <w:sz w:val="21"/>
              </w:rPr>
              <w:t>）信噪比</w:t>
            </w:r>
            <w:r>
              <w:rPr>
                <w:rFonts w:ascii="仿宋_GB2312" w:hAnsi="仿宋_GB2312" w:cs="仿宋_GB2312" w:eastAsia="仿宋_GB2312"/>
                <w:sz w:val="21"/>
              </w:rPr>
              <w:t>≥ 25:1，四阶峰（</w:t>
            </w:r>
            <w:r>
              <w:rPr>
                <w:rFonts w:ascii="仿宋_GB2312" w:hAnsi="仿宋_GB2312" w:cs="仿宋_GB2312" w:eastAsia="仿宋_GB2312"/>
                <w:sz w:val="21"/>
              </w:rPr>
              <w:t>约</w:t>
            </w:r>
            <w:r>
              <w:rPr>
                <w:rFonts w:ascii="仿宋_GB2312" w:hAnsi="仿宋_GB2312" w:cs="仿宋_GB2312" w:eastAsia="仿宋_GB2312"/>
                <w:sz w:val="21"/>
              </w:rPr>
              <w:t>2000cm</w:t>
            </w:r>
            <w:r>
              <w:rPr>
                <w:rFonts w:ascii="仿宋_GB2312" w:hAnsi="仿宋_GB2312" w:cs="仿宋_GB2312" w:eastAsia="仿宋_GB2312"/>
                <w:sz w:val="21"/>
                <w:vertAlign w:val="superscript"/>
              </w:rPr>
              <w:t>-1</w:t>
            </w:r>
            <w:r>
              <w:rPr>
                <w:rFonts w:ascii="仿宋_GB2312" w:hAnsi="仿宋_GB2312" w:cs="仿宋_GB2312" w:eastAsia="仿宋_GB2312"/>
                <w:sz w:val="21"/>
              </w:rPr>
              <w:t>）须清晰可辨；</w:t>
            </w:r>
          </w:p>
          <w:p>
            <w:pPr>
              <w:pStyle w:val="null3"/>
              <w:ind w:left="360"/>
              <w:jc w:val="both"/>
            </w:pPr>
            <w:r>
              <w:rPr>
                <w:rFonts w:ascii="仿宋_GB2312" w:hAnsi="仿宋_GB2312" w:cs="仿宋_GB2312" w:eastAsia="仿宋_GB2312"/>
                <w:sz w:val="21"/>
              </w:rPr>
              <w:t>9、谱图操作：可同时显示多张谱图，显示数量可设定；支持一次性复制、保存显示界面上所有谱图原始数据（不少于5条）；打印输出必须包含激光功率、积分时间等关键的测试条件参数。</w:t>
            </w:r>
          </w:p>
          <w:p>
            <w:pPr>
              <w:pStyle w:val="null3"/>
              <w:ind w:left="360"/>
              <w:jc w:val="both"/>
            </w:pPr>
            <w:r>
              <w:rPr>
                <w:rFonts w:ascii="仿宋_GB2312" w:hAnsi="仿宋_GB2312" w:cs="仿宋_GB2312" w:eastAsia="仿宋_GB2312"/>
                <w:sz w:val="21"/>
              </w:rPr>
              <w:t>10、波长矫正：支持自行完成波长校准。</w:t>
            </w:r>
          </w:p>
          <w:p>
            <w:pPr>
              <w:pStyle w:val="null3"/>
              <w:ind w:left="360"/>
              <w:jc w:val="both"/>
            </w:pPr>
            <w:r>
              <w:rPr>
                <w:rFonts w:ascii="仿宋_GB2312" w:hAnsi="仿宋_GB2312" w:cs="仿宋_GB2312" w:eastAsia="仿宋_GB2312"/>
                <w:sz w:val="21"/>
              </w:rPr>
              <w:t>（二）激光器</w:t>
            </w:r>
          </w:p>
          <w:p>
            <w:pPr>
              <w:pStyle w:val="null3"/>
              <w:ind w:left="360"/>
              <w:jc w:val="both"/>
            </w:pPr>
            <w:r>
              <w:rPr>
                <w:rFonts w:ascii="仿宋_GB2312" w:hAnsi="仿宋_GB2312" w:cs="仿宋_GB2312" w:eastAsia="仿宋_GB2312"/>
                <w:sz w:val="21"/>
              </w:rPr>
              <w:t>1、532nm窄线宽激光器，最大激光输出功率≥80mW；</w:t>
            </w:r>
          </w:p>
          <w:p>
            <w:pPr>
              <w:pStyle w:val="null3"/>
              <w:ind w:left="360"/>
              <w:jc w:val="both"/>
            </w:pPr>
            <w:r>
              <w:rPr>
                <w:rFonts w:ascii="仿宋_GB2312" w:hAnsi="仿宋_GB2312" w:cs="仿宋_GB2312" w:eastAsia="仿宋_GB2312"/>
                <w:sz w:val="21"/>
              </w:rPr>
              <w:t>2、</w:t>
            </w:r>
            <w:r>
              <w:rPr>
                <w:rFonts w:ascii="仿宋_GB2312" w:hAnsi="仿宋_GB2312" w:cs="仿宋_GB2312" w:eastAsia="仿宋_GB2312"/>
                <w:sz w:val="21"/>
              </w:rPr>
              <w:t>785nm激光器，最大激光输出功率≥350mW；</w:t>
            </w:r>
          </w:p>
          <w:p>
            <w:pPr>
              <w:pStyle w:val="null3"/>
              <w:ind w:left="360"/>
              <w:jc w:val="both"/>
            </w:pPr>
            <w:r>
              <w:rPr>
                <w:rFonts w:ascii="仿宋_GB2312" w:hAnsi="仿宋_GB2312" w:cs="仿宋_GB2312" w:eastAsia="仿宋_GB2312"/>
                <w:sz w:val="21"/>
              </w:rPr>
              <w:t>3、系统光路设计预留扩展接口，可支持≥4路激光；</w:t>
            </w:r>
          </w:p>
          <w:p>
            <w:pPr>
              <w:pStyle w:val="null3"/>
              <w:ind w:left="360"/>
              <w:jc w:val="both"/>
            </w:pPr>
            <w:r>
              <w:rPr>
                <w:rFonts w:ascii="仿宋_GB2312" w:hAnsi="仿宋_GB2312" w:cs="仿宋_GB2312" w:eastAsia="仿宋_GB2312"/>
                <w:sz w:val="21"/>
              </w:rPr>
              <w:t>（三）高精度自动扫描样品台</w:t>
            </w:r>
          </w:p>
          <w:p>
            <w:pPr>
              <w:pStyle w:val="null3"/>
              <w:ind w:left="360"/>
              <w:jc w:val="both"/>
            </w:pPr>
            <w:r>
              <w:rPr>
                <w:rFonts w:ascii="仿宋_GB2312" w:hAnsi="仿宋_GB2312" w:cs="仿宋_GB2312" w:eastAsia="仿宋_GB2312"/>
                <w:sz w:val="21"/>
              </w:rPr>
              <w:t>1、</w:t>
            </w:r>
            <w:r>
              <w:rPr>
                <w:rFonts w:ascii="仿宋_GB2312" w:hAnsi="仿宋_GB2312" w:cs="仿宋_GB2312" w:eastAsia="仿宋_GB2312"/>
                <w:sz w:val="21"/>
              </w:rPr>
              <w:t>电控移动平台范围</w:t>
            </w:r>
            <w:r>
              <w:rPr>
                <w:rFonts w:ascii="仿宋_GB2312" w:hAnsi="仿宋_GB2312" w:cs="仿宋_GB2312" w:eastAsia="仿宋_GB2312"/>
                <w:sz w:val="21"/>
              </w:rPr>
              <w:t>≥50mm×50mm，扫描时进行实时图像拼接，定位精度：</w:t>
            </w:r>
            <w:r>
              <w:rPr>
                <w:rFonts w:ascii="仿宋_GB2312" w:hAnsi="仿宋_GB2312" w:cs="仿宋_GB2312" w:eastAsia="仿宋_GB2312"/>
                <w:sz w:val="21"/>
              </w:rPr>
              <w:t>最小步进</w:t>
            </w:r>
            <w:r>
              <w:rPr>
                <w:rFonts w:ascii="仿宋_GB2312" w:hAnsi="仿宋_GB2312" w:cs="仿宋_GB2312" w:eastAsia="仿宋_GB2312"/>
                <w:sz w:val="21"/>
              </w:rPr>
              <w:t>≤1μm；</w:t>
            </w:r>
          </w:p>
          <w:p>
            <w:pPr>
              <w:pStyle w:val="null3"/>
              <w:ind w:left="360"/>
              <w:jc w:val="both"/>
            </w:pPr>
            <w:r>
              <w:rPr>
                <w:rFonts w:ascii="仿宋_GB2312" w:hAnsi="仿宋_GB2312" w:cs="仿宋_GB2312" w:eastAsia="仿宋_GB2312"/>
                <w:sz w:val="21"/>
              </w:rPr>
              <w:t>2、摄像系统：</w:t>
            </w:r>
            <w:r>
              <w:rPr>
                <w:rFonts w:ascii="仿宋_GB2312" w:hAnsi="仿宋_GB2312" w:cs="仿宋_GB2312" w:eastAsia="仿宋_GB2312"/>
                <w:sz w:val="21"/>
              </w:rPr>
              <w:t>相机及表面成像相机分辨率</w:t>
            </w:r>
            <w:r>
              <w:rPr>
                <w:rFonts w:ascii="仿宋_GB2312" w:hAnsi="仿宋_GB2312" w:cs="仿宋_GB2312" w:eastAsia="仿宋_GB2312"/>
                <w:sz w:val="21"/>
              </w:rPr>
              <w:t>≥500万像素；使用100</w:t>
            </w:r>
            <w:r>
              <w:rPr>
                <w:rFonts w:ascii="仿宋_GB2312" w:hAnsi="仿宋_GB2312" w:cs="仿宋_GB2312" w:eastAsia="仿宋_GB2312"/>
                <w:sz w:val="21"/>
                <w:b/>
              </w:rPr>
              <w:t>×</w:t>
            </w:r>
            <w:r>
              <w:rPr>
                <w:rFonts w:ascii="仿宋_GB2312" w:hAnsi="仿宋_GB2312" w:cs="仿宋_GB2312" w:eastAsia="仿宋_GB2312"/>
                <w:sz w:val="21"/>
              </w:rPr>
              <w:t>高倍物镜时，可对高度差</w:t>
            </w:r>
            <w:r>
              <w:rPr>
                <w:rFonts w:ascii="仿宋_GB2312" w:hAnsi="仿宋_GB2312" w:cs="仿宋_GB2312" w:eastAsia="仿宋_GB2312"/>
                <w:sz w:val="21"/>
              </w:rPr>
              <w:t>≥2mm的非平面样品进行扫描，同一张图片中各高度样品均须清晰成像，无模糊区域。</w:t>
            </w:r>
          </w:p>
          <w:p>
            <w:pPr>
              <w:pStyle w:val="null3"/>
              <w:ind w:left="360"/>
              <w:jc w:val="both"/>
            </w:pPr>
            <w:r>
              <w:rPr>
                <w:rFonts w:ascii="仿宋_GB2312" w:hAnsi="仿宋_GB2312" w:cs="仿宋_GB2312" w:eastAsia="仿宋_GB2312"/>
                <w:sz w:val="21"/>
              </w:rPr>
              <w:t>3、采集模式：需支持快速采集、精确采集、高精采集等多种工作模式。</w:t>
            </w:r>
          </w:p>
          <w:p>
            <w:pPr>
              <w:pStyle w:val="null3"/>
              <w:ind w:left="360"/>
              <w:jc w:val="both"/>
            </w:pPr>
            <w:r>
              <w:rPr>
                <w:rFonts w:ascii="仿宋_GB2312" w:hAnsi="仿宋_GB2312" w:cs="仿宋_GB2312" w:eastAsia="仿宋_GB2312"/>
                <w:sz w:val="21"/>
              </w:rPr>
              <w:t>★4、样品仓：封闭式遮光样品仓，测试时舱门须可关闭，防止环境光干扰，保障暗室测试环境；</w:t>
            </w:r>
          </w:p>
          <w:p>
            <w:pPr>
              <w:pStyle w:val="null3"/>
              <w:ind w:left="360"/>
              <w:jc w:val="both"/>
            </w:pPr>
            <w:r>
              <w:rPr>
                <w:rFonts w:ascii="仿宋_GB2312" w:hAnsi="仿宋_GB2312" w:cs="仿宋_GB2312" w:eastAsia="仿宋_GB2312"/>
                <w:sz w:val="21"/>
              </w:rPr>
              <w:t>▲5、探测器：采用超低温制冷面阵探测器，探测器分辨率≥2048×256 pixels，制冷温度≤-70℃。</w:t>
            </w:r>
          </w:p>
          <w:p>
            <w:pPr>
              <w:pStyle w:val="null3"/>
              <w:ind w:left="360"/>
              <w:jc w:val="both"/>
            </w:pPr>
            <w:r>
              <w:rPr>
                <w:rFonts w:ascii="仿宋_GB2312" w:hAnsi="仿宋_GB2312" w:cs="仿宋_GB2312" w:eastAsia="仿宋_GB2312"/>
                <w:sz w:val="21"/>
              </w:rPr>
              <w:t>▲6、共聚焦功能：内置多级针孔，针孔直径范围覆盖30μm～500μm，可通过软件实时切换，选择针孔大小。</w:t>
            </w:r>
          </w:p>
          <w:p>
            <w:pPr>
              <w:pStyle w:val="null3"/>
              <w:ind w:left="360"/>
              <w:jc w:val="both"/>
            </w:pPr>
            <w:r>
              <w:rPr>
                <w:rFonts w:ascii="仿宋_GB2312" w:hAnsi="仿宋_GB2312" w:cs="仿宋_GB2312" w:eastAsia="仿宋_GB2312"/>
                <w:sz w:val="21"/>
              </w:rPr>
              <w:t>7、仪器结构：显微镜与光谱仪一体化刚性连接。</w:t>
            </w:r>
          </w:p>
          <w:p>
            <w:pPr>
              <w:pStyle w:val="null3"/>
              <w:ind w:left="360"/>
              <w:jc w:val="both"/>
            </w:pPr>
            <w:r>
              <w:rPr>
                <w:rFonts w:ascii="仿宋_GB2312" w:hAnsi="仿宋_GB2312" w:cs="仿宋_GB2312" w:eastAsia="仿宋_GB2312"/>
                <w:sz w:val="21"/>
              </w:rPr>
              <w:t>（四）物镜</w:t>
            </w:r>
          </w:p>
          <w:p>
            <w:pPr>
              <w:pStyle w:val="null3"/>
              <w:ind w:left="360"/>
              <w:jc w:val="both"/>
            </w:pPr>
            <w:r>
              <w:rPr>
                <w:rFonts w:ascii="仿宋_GB2312" w:hAnsi="仿宋_GB2312" w:cs="仿宋_GB2312" w:eastAsia="仿宋_GB2312"/>
                <w:sz w:val="21"/>
              </w:rPr>
              <w:t>1、配备不少于</w:t>
            </w:r>
            <w:r>
              <w:rPr>
                <w:rFonts w:ascii="仿宋_GB2312" w:hAnsi="仿宋_GB2312" w:cs="仿宋_GB2312" w:eastAsia="仿宋_GB2312"/>
                <w:sz w:val="21"/>
              </w:rPr>
              <w:t>5倍、20倍、100倍三</w:t>
            </w:r>
            <w:r>
              <w:rPr>
                <w:rFonts w:ascii="仿宋_GB2312" w:hAnsi="仿宋_GB2312" w:cs="仿宋_GB2312" w:eastAsia="仿宋_GB2312"/>
                <w:sz w:val="21"/>
              </w:rPr>
              <w:t>种放大倍数的物镜。</w:t>
            </w:r>
          </w:p>
          <w:p>
            <w:pPr>
              <w:pStyle w:val="null3"/>
              <w:ind w:left="360"/>
              <w:jc w:val="both"/>
            </w:pPr>
            <w:r>
              <w:rPr>
                <w:rFonts w:ascii="仿宋_GB2312" w:hAnsi="仿宋_GB2312" w:cs="仿宋_GB2312" w:eastAsia="仿宋_GB2312"/>
                <w:sz w:val="21"/>
              </w:rPr>
              <w:t>（五）</w:t>
            </w:r>
            <w:r>
              <w:rPr>
                <w:rFonts w:ascii="仿宋_GB2312" w:hAnsi="仿宋_GB2312" w:cs="仿宋_GB2312" w:eastAsia="仿宋_GB2312"/>
                <w:sz w:val="21"/>
              </w:rPr>
              <w:t>操作软件</w:t>
            </w:r>
          </w:p>
          <w:p>
            <w:pPr>
              <w:pStyle w:val="null3"/>
              <w:ind w:left="360"/>
              <w:jc w:val="both"/>
            </w:pPr>
            <w:r>
              <w:rPr>
                <w:rFonts w:ascii="仿宋_GB2312" w:hAnsi="仿宋_GB2312" w:cs="仿宋_GB2312" w:eastAsia="仿宋_GB2312"/>
                <w:sz w:val="21"/>
              </w:rPr>
              <w:t>1、MSDS查询功能：</w:t>
            </w:r>
            <w:r>
              <w:rPr>
                <w:rFonts w:ascii="仿宋_GB2312" w:hAnsi="仿宋_GB2312" w:cs="仿宋_GB2312" w:eastAsia="仿宋_GB2312"/>
                <w:sz w:val="21"/>
                <w:b/>
              </w:rPr>
              <w:t>【</w:t>
            </w:r>
            <w:r>
              <w:rPr>
                <w:rFonts w:ascii="仿宋_GB2312" w:hAnsi="仿宋_GB2312" w:cs="仿宋_GB2312" w:eastAsia="仿宋_GB2312"/>
                <w:sz w:val="21"/>
                <w:b/>
              </w:rPr>
              <w:t>需提供现场演示</w:t>
            </w:r>
            <w:r>
              <w:rPr>
                <w:rFonts w:ascii="仿宋_GB2312" w:hAnsi="仿宋_GB2312" w:cs="仿宋_GB2312" w:eastAsia="仿宋_GB2312"/>
                <w:sz w:val="21"/>
                <w:b/>
              </w:rPr>
              <w:t>】</w:t>
            </w:r>
          </w:p>
          <w:p>
            <w:pPr>
              <w:pStyle w:val="null3"/>
              <w:ind w:left="360"/>
              <w:jc w:val="both"/>
            </w:pPr>
            <w:r>
              <w:rPr>
                <w:rFonts w:ascii="仿宋_GB2312" w:hAnsi="仿宋_GB2312" w:cs="仿宋_GB2312" w:eastAsia="仿宋_GB2312"/>
                <w:sz w:val="21"/>
              </w:rPr>
              <w:t>(1)仪器配套软件必须内置完整化学品数据库，涵盖2015版《危险化学品目录》全部2828种危化品的MSDS文件；</w:t>
            </w:r>
          </w:p>
          <w:p>
            <w:pPr>
              <w:pStyle w:val="null3"/>
              <w:ind w:left="360"/>
              <w:jc w:val="both"/>
            </w:pPr>
            <w:r>
              <w:rPr>
                <w:rFonts w:ascii="仿宋_GB2312" w:hAnsi="仿宋_GB2312" w:cs="仿宋_GB2312" w:eastAsia="仿宋_GB2312"/>
                <w:sz w:val="21"/>
              </w:rPr>
              <w:t>(2)支持</w:t>
            </w:r>
            <w:r>
              <w:rPr>
                <w:rFonts w:ascii="仿宋_GB2312" w:hAnsi="仿宋_GB2312" w:cs="仿宋_GB2312" w:eastAsia="仿宋_GB2312"/>
                <w:sz w:val="21"/>
              </w:rPr>
              <w:t>对危化品</w:t>
            </w:r>
            <w:r>
              <w:rPr>
                <w:rFonts w:ascii="仿宋_GB2312" w:hAnsi="仿宋_GB2312" w:cs="仿宋_GB2312" w:eastAsia="仿宋_GB2312"/>
                <w:sz w:val="21"/>
              </w:rPr>
              <w:t>中文名称、精确名称、英文名称、</w:t>
            </w:r>
            <w:r>
              <w:rPr>
                <w:rFonts w:ascii="仿宋_GB2312" w:hAnsi="仿宋_GB2312" w:cs="仿宋_GB2312" w:eastAsia="仿宋_GB2312"/>
                <w:sz w:val="21"/>
              </w:rPr>
              <w:t>CAS号进行检索；</w:t>
            </w:r>
          </w:p>
          <w:p>
            <w:pPr>
              <w:pStyle w:val="null3"/>
              <w:ind w:left="360"/>
              <w:jc w:val="both"/>
            </w:pPr>
            <w:r>
              <w:rPr>
                <w:rFonts w:ascii="仿宋_GB2312" w:hAnsi="仿宋_GB2312" w:cs="仿宋_GB2312" w:eastAsia="仿宋_GB2312"/>
                <w:sz w:val="21"/>
              </w:rPr>
              <w:t>(3)支持上传MSDS文件，支持单个文件上传及压缩文件批量导入；</w:t>
            </w:r>
          </w:p>
          <w:p>
            <w:pPr>
              <w:pStyle w:val="null3"/>
              <w:ind w:left="360"/>
              <w:jc w:val="both"/>
            </w:pPr>
            <w:r>
              <w:rPr>
                <w:rFonts w:ascii="仿宋_GB2312" w:hAnsi="仿宋_GB2312" w:cs="仿宋_GB2312" w:eastAsia="仿宋_GB2312"/>
                <w:sz w:val="21"/>
              </w:rPr>
              <w:t>(4)MSDS文件支持下载，在高危化学品使用区域打印张贴。</w:t>
            </w:r>
          </w:p>
          <w:p>
            <w:pPr>
              <w:pStyle w:val="null3"/>
              <w:ind w:left="360"/>
              <w:jc w:val="both"/>
            </w:pPr>
            <w:r>
              <w:rPr>
                <w:rFonts w:ascii="仿宋_GB2312" w:hAnsi="仿宋_GB2312" w:cs="仿宋_GB2312" w:eastAsia="仿宋_GB2312"/>
                <w:sz w:val="21"/>
              </w:rPr>
              <w:t>(5)MSDS文件须将伤害紧急处置关键部位进行醒目标注，避免人员操作时忽略关键步骤；</w:t>
            </w:r>
          </w:p>
          <w:p>
            <w:pPr>
              <w:pStyle w:val="null3"/>
              <w:ind w:left="360"/>
              <w:jc w:val="both"/>
            </w:pPr>
            <w:r>
              <w:rPr>
                <w:rFonts w:ascii="仿宋_GB2312" w:hAnsi="仿宋_GB2312" w:cs="仿宋_GB2312" w:eastAsia="仿宋_GB2312"/>
                <w:sz w:val="21"/>
              </w:rPr>
              <w:t>(6)支持PC端Web界面与移动端APP双平台访问；</w:t>
            </w:r>
          </w:p>
          <w:p>
            <w:pPr>
              <w:pStyle w:val="null3"/>
            </w:pPr>
            <w:r>
              <w:rPr>
                <w:rFonts w:ascii="仿宋_GB2312" w:hAnsi="仿宋_GB2312" w:cs="仿宋_GB2312" w:eastAsia="仿宋_GB2312"/>
                <w:sz w:val="21"/>
              </w:rPr>
              <w:t>▲2、自动化及成像：具备自动对焦、自动扫描、Mapping成像功能，可实时进行Mapping成像；软件包含被测样本区域实拍图、Mapping成像区、光谱显示区、伪彩色评价值显示区，支持单次采集及扫描成像选项；采集方式支持选取区域自动采集和任意选点模式采集；Mapping成像区可根据光谱图选择不同特征峰，并根据特征峰浓度差异，以伪彩色方式显示成像，进行浓度分布分析。</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三、控制终端参数要求：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处理器：主频及核心数满足仪器控制及大数据量光谱处理需求</w:t>
            </w:r>
            <w:r>
              <w:rPr>
                <w:rFonts w:ascii="仿宋_GB2312" w:hAnsi="仿宋_GB2312" w:cs="仿宋_GB2312" w:eastAsia="仿宋_GB2312"/>
                <w:sz w:val="21"/>
              </w:rPr>
              <w:t>，</w:t>
            </w:r>
            <w:r>
              <w:rPr>
                <w:rFonts w:ascii="仿宋_GB2312" w:hAnsi="仿宋_GB2312" w:cs="仿宋_GB2312" w:eastAsia="仿宋_GB2312"/>
                <w:sz w:val="21"/>
              </w:rPr>
              <w:t>处理器</w:t>
            </w:r>
            <w:r>
              <w:rPr>
                <w:rFonts w:ascii="仿宋_GB2312" w:hAnsi="仿宋_GB2312" w:cs="仿宋_GB2312" w:eastAsia="仿宋_GB2312"/>
                <w:sz w:val="21"/>
              </w:rPr>
              <w:t>≥8核、主频≥2.10GHZ</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存储与内存：固态硬盘容量</w:t>
            </w:r>
            <w:r>
              <w:rPr>
                <w:rFonts w:ascii="仿宋_GB2312" w:hAnsi="仿宋_GB2312" w:cs="仿宋_GB2312" w:eastAsia="仿宋_GB2312"/>
                <w:sz w:val="21"/>
              </w:rPr>
              <w:t>≥512G，内存≥16G；</w:t>
            </w:r>
          </w:p>
          <w:p>
            <w:pPr>
              <w:pStyle w:val="null3"/>
            </w:pPr>
            <w:r>
              <w:rPr>
                <w:rFonts w:ascii="仿宋_GB2312" w:hAnsi="仿宋_GB2312" w:cs="仿宋_GB2312" w:eastAsia="仿宋_GB2312"/>
                <w:sz w:val="21"/>
              </w:rPr>
              <w:t>3、</w:t>
            </w:r>
            <w:r>
              <w:rPr>
                <w:rFonts w:ascii="仿宋_GB2312" w:hAnsi="仿宋_GB2312" w:cs="仿宋_GB2312" w:eastAsia="仿宋_GB2312"/>
                <w:sz w:val="21"/>
              </w:rPr>
              <w:t>可视化终端：尺寸</w:t>
            </w:r>
            <w:r>
              <w:rPr>
                <w:rFonts w:ascii="仿宋_GB2312" w:hAnsi="仿宋_GB2312" w:cs="仿宋_GB2312" w:eastAsia="仿宋_GB2312"/>
                <w:sz w:val="21"/>
              </w:rPr>
              <w:t>≥27英寸。</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接采购人通知后90个日历日完成供货、安装、调试并交付使用。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西安理工大学金花校区学科一号楼（以采购人指定位置为准）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进度款，设备运抵采购人指定地点并经采购人初步查验无误，达到付款条件起7个工作日内，支付合同总金额的30.0%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进度款，设备安装调试完成，经采购人验收合格并签署《验收合格报告》后，供应商开具全额合法有效的增值税专用发票，达到付款条件起7个工作日内，支付合同总金额的30.0%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招标文件、投标文件及技术澄清文件（函）；国家/行业标准、规范。（2）验收条件：①供应商已按照合同规定提供了全部产品及完整的技术资料。②所供货物符合招标文件和投标文件技术规格要求，性能满足要求。③所供货物具备产品合格证。（3）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4）验收流程：①到货初检（采购人、供应商共同参与）：检查外包装完整性、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72小时无故障；关键参数与投标文件承诺值对比，符合文件相关规定。③最终验收：签署《验收合格报告》，产品保修期自最终验收合格之日起算，由供应商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要求：质保期1年（自验收合格出具验收报告之日起算）。质保期内出现任何非人为故意损坏的质量问题，由供应商包换或包退，并承担调换或退货的全部费用。其他按照国家新三包规定执行。①质量标准：供应商的产品质量应当符合国家行业规定的标准，并无任何瑕疵；供应商应按配置清单要求提供原装产品，除人为因素损坏外，对该产品实行三包（即包修、包退、包换），及时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提供质保，采购人报修后采购人报修后1小时内快速响应，24小时内提供解决方案，48小时内解决，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任何事故而引发的纠纷，由供应商全额负责赔偿，并为采购人修复瑕疵或更新换代，其间产生的费用均由供应商承担。（2）安装调试及售后服务要求：①安装调试要求：安装标准：执行GB50231-2009《机械设备安装工程施工及验收通用规范》；调试周期：连续72小时无故障运行测试；人员培训：提供相关操作人员培训资料，对产品软硬件操作培训。②配套工程：包含安装设备所需工具（需提前2日做好准备）。③质量保证：按采购人及招标文件要求，为采购人提供全新的货物（包括零部件），对提供的货物在质保期内，因产品质量而导致的缺陷，供应商须及时提供包修、包换、包退服务；超出质保期后，提供上门维修服务，仅收取成本费。④售后服务：响应时限：采购人报修后1小时内快速响应，24小时内提供解决方案，48小时内解决；定期维护：质保期内每年提供清洗保养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应于结果公告发布后3日内提交纸质投标文件肆份（正本壹份、副本叁份），纸质版投标文件需包含目录、无少页、缺页、连续页码（要求首封面为第1页，从第2页开始连续编辑页码），封面加盖投标人公章及骑缝章。纸质版文件内容应与电子版文件内容保持一致。递交地点：西安市雁塔区南二环东段凯森盛世1号B座2606室；（2）以保函形式交纳投标保证金的，投标人应在投标截止时间前将保函扫描成清晰的PDF文件，发送至邮箱3210945469@qq.com（邮件命名：项目编号+采购包号+项目名称），并将保函原件单独递交至代理机构财务；投标人应在投标文件中附保函复印件或扫描件。保函必须由具有开具投标保函资格的单位开具；若投标人违约，开具保函单位承担连带责任。（3）本项目使用电子化交易系统，现场功能演示内容需投标人派遣专业技术人员（自行携带笔记本电脑）自行搭建演示环境，于开标现场进行功能演示。若开标未到场演示或使用PPT、截图、录屏等其他演示方式者视为该项未响应。投标人可在开标截止时间前48小时内联系代理公司单独进行现场演示环境测试（如需）。因投标人自身原因导致演示环节无法进行，后果自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投标文件封面 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供应商企业关系关联承诺书 供应商认为有必要补充说明的事项 投标函 保证金缴纳凭证</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“★”项参数响应</w:t>
            </w:r>
          </w:p>
        </w:tc>
        <w:tc>
          <w:tcPr>
            <w:tcW w:type="dxa" w:w="3322"/>
          </w:tcPr>
          <w:p>
            <w:pPr>
              <w:pStyle w:val="null3"/>
            </w:pPr>
            <w:r>
              <w:rPr>
                <w:rFonts w:ascii="仿宋_GB2312" w:hAnsi="仿宋_GB2312" w:cs="仿宋_GB2312" w:eastAsia="仿宋_GB2312"/>
              </w:rPr>
              <w:t>对技术要求中“★”项参数（共5项）响应不得负偏离，并提供佐证材料（佐证材料包括：国家认可的第三方检测机构出具的检测报告、技术白皮书、产品彩页、官网功能截图任意一种），参数负偏离或未提供证明材料，视为未响应。</w:t>
            </w:r>
          </w:p>
        </w:tc>
        <w:tc>
          <w:tcPr>
            <w:tcW w:type="dxa" w:w="1661"/>
          </w:tcPr>
          <w:p>
            <w:pPr>
              <w:pStyle w:val="null3"/>
            </w:pPr>
            <w:r>
              <w:rPr>
                <w:rFonts w:ascii="仿宋_GB2312" w:hAnsi="仿宋_GB2312" w:cs="仿宋_GB2312" w:eastAsia="仿宋_GB2312"/>
              </w:rPr>
              <w:t>产品技术参数表 投标方案说明书</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根据投标人提供的产品技术参数表及相应的证明材料，经评审专家审定得分。“★”项为实质性要求，不满足视为未响应投标无效，不参与后续评分。 完全符合、响应招标文件要求，没有负偏离的得33分；“▲”参数（共8项）负偏离一项扣2分，非“▲”参数（共34项）负偏离一项扣0.5分，扣完为止。 【备注：所有标注“▲”的参数均须提供佐证材料，佐证材料包括：国家认可的第三方检测机构出具的检测报告、技术白皮书、产品彩页、官网功能截图任意一种，经评审专家审定得分。未提供不得分。】</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根据项目实际需求，提供完整详细的项目实施方案。内容包含①供货组织及进度安排②对接及运输方案③安装调试方案。 二、评审标准 1、完整性：方案须全面，对评审内容中的各项要求有详细描述； 2、可实施性及针对性：切合本项目实际情况，实施步骤清晰、内容科学合理。 三、赋分依据（满分6分） ①供货组织及进度安排：每完全满足一个评审标准得1分，满分2分； ②对接及运输方案:每完全满足一个评审标准得1分，满分2分。 ③安装调试方案：每完全满足一个评审标准得1分，满分2分;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根据项目实际需求，提供完整详细的项目质量保证方案。内容包含①产品性能②质量保证措施。 二、评审标准 1、完整性：方案须全面，对评审内容中的各项要求有详细描述； 2、可实施性及针对性：切合本项目实际情况，实施步骤清晰、内容科学合理。 三、赋分依据（满分5分） ①产品性能：每完全满足一个评审标准得1.5分，满分3分；内容有缺陷扣0.75分，缺项或未提供得0分。 ②质量保证措施：每完全满足一个评审标准得1分，满分2分;内容有缺陷扣0.5分，缺项或未提供得0分。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根据项目实际需求提供售后服务方案。内容包含①售后服务内容及响应时间、方式②故障处理、补救措施③定期回访维护。 二、评审标准 1、完整性：方案须全面，对评审内容中的各项要求描述详细； 2、可实施性及针对性：切合本项目实际情况，实施步骤清晰、内容科学合理。 三、赋分依据（满分3分） ①售后服务内容及响应时间、方式：每完全满足一个评审标准得0.5分，满分1分； ②故障处理、补救措施:每完全满足一个评审标准得0.5分，满分1分。 ③定期回访维护:每完全满足一个评审标准得0.5分，满分1分。 缺项或未提供得0分。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根据项目实际需求提供增值服务承诺。内容包含①硬件、软件更新服务②配件更换服务及其他服务。 二、评审标准 1、完整性：方案须全面，对评审内容中的各项要求描述详细； 2、可实施性及针对性：切合本项目实际情况，实施步骤清晰、内容科学合理。 三、赋分依据（满分2分） ①硬件、软件更新服务：每完全满足一个评审标准得0.5分，满分1分； ②配件更换服务及其他服务:每完全满足一个评审标准得0.5分，满分1分。 缺项或未提供得0分。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质保期高于采购文件要求（1年）的，每增加一年得0.5分，最高得1分。无承诺不得分。 【提供承诺书并加盖公章】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研发及升级能力</w:t>
            </w:r>
          </w:p>
        </w:tc>
        <w:tc>
          <w:tcPr>
            <w:tcW w:type="dxa" w:w="2492"/>
          </w:tcPr>
          <w:p>
            <w:pPr>
              <w:pStyle w:val="null3"/>
            </w:pPr>
            <w:r>
              <w:rPr>
                <w:rFonts w:ascii="仿宋_GB2312" w:hAnsi="仿宋_GB2312" w:cs="仿宋_GB2312" w:eastAsia="仿宋_GB2312"/>
              </w:rPr>
              <w:t>具备拉曼光谱产品独立研发及后续升级能力（满分2分）： 1、提供与拉曼光谱仪结构、算法、检测方法相关发明专利，得0.5分； 2、提供与光路设计、探头结构、散热装置相关实用新型专利，得0.5分； 3、提供与仪器外壳、人机交互界面相关外观设计专利，得0.5分； 4、提供与光谱分析、数据处理、控制程序相关软件著作权，得0.5分； 【需提供相关证书或截图并加盖投标人公章，未提供得0分】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一、演示内容： MSDS查询功能包含以下内容： 1、检索维度：对危化品中文名称、精确名称、英文名称、CAS号进行检索； 2、多端适配：分别在PC端和移动端展示完整检索结果； 3、文件下载：正常下载并打开检索结果文件； 4、安全警示：针对伤害紧急处置的关键部位，系统界面有醒目标注。 二、演示要求： 需进行实机操作演示，展示关键操作路径与最终结果画面，确保与真实业务场景一致。严禁使用预制视频或图片替代。每项演示内容按要求完整呈现得1分，演示内容包含全部项目但完整性一般得0.5分，未演示不得分，共4分。 三、评审依据： 1.需投标人派遣专业技术人员自行携带笔记本电脑等相关设备及连接线于投标截止时间前抵达开标现场进行演示 2.未演示、演示失败或演示内容不符合要求的，该项不得分。 3.演示时间需控制在10分钟之内，10分钟时间到需停止演示。</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提供2023年1月1日至今类似项目业绩（仅限投标人本身业绩，以合同签订日期为准），每份合格业绩合同计1分，满分4分。 【需提供业绩完整合同及对应货款发票复印件（任意一张），并加盖投标人公章，以上两种证明材料同时提供方可得分，否则不得分】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2、有效最低报价（落实政府采购政策进行价格调整的，以调整后的价格计算）为基准价得40分。 3、按（评标基准价/评审价格）×40的公式计算报价得分。 4、投标报价不完整的，不进入评标基准价的计算，本项得0分。 备注：本项目不允许进口产品进行投标，全部为国产产品，不再进行价格折扣。</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