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版本号：2026-（185）1589-CG-（18）11020260902002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2026年镇巴县永乐镇核桃树社区庙坝农村人居环境整治项目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2026-（185）1589-CG-（18）110</w:t>
      </w:r>
      <w:r>
        <w:br/>
      </w:r>
      <w:r>
        <w:br/>
      </w:r>
      <w:r>
        <w:br/>
      </w:r>
    </w:p>
    <w:p>
      <w:pPr>
        <w:pStyle w:val="null3"/>
        <w:jc w:val="center"/>
        <w:outlineLvl w:val="2"/>
      </w:pPr>
      <w:r>
        <w:rPr>
          <w:rFonts w:ascii="仿宋_GB2312" w:hAnsi="仿宋_GB2312" w:cs="仿宋_GB2312" w:eastAsia="仿宋_GB2312"/>
          <w:sz w:val="28"/>
          <w:b/>
        </w:rPr>
        <w:t>镇巴县永乐镇人民政府</w:t>
      </w:r>
    </w:p>
    <w:p>
      <w:pPr>
        <w:pStyle w:val="null3"/>
        <w:jc w:val="center"/>
        <w:outlineLvl w:val="2"/>
      </w:pPr>
      <w:r>
        <w:rPr>
          <w:rFonts w:ascii="仿宋_GB2312" w:hAnsi="仿宋_GB2312" w:cs="仿宋_GB2312" w:eastAsia="仿宋_GB2312"/>
          <w:sz w:val="28"/>
          <w:b/>
        </w:rPr>
        <w:t>陕西汇鑫林丰项目管理有限责任公司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陕西汇鑫林丰项目管理有限责任公司</w:t>
      </w:r>
      <w:r>
        <w:rPr>
          <w:rFonts w:ascii="仿宋_GB2312" w:hAnsi="仿宋_GB2312" w:cs="仿宋_GB2312" w:eastAsia="仿宋_GB2312"/>
        </w:rPr>
        <w:t>（以下简称“代理机构”）受</w:t>
      </w:r>
      <w:r>
        <w:rPr>
          <w:rFonts w:ascii="仿宋_GB2312" w:hAnsi="仿宋_GB2312" w:cs="仿宋_GB2312" w:eastAsia="仿宋_GB2312"/>
        </w:rPr>
        <w:t>镇巴县永乐镇人民政府</w:t>
      </w:r>
      <w:r>
        <w:rPr>
          <w:rFonts w:ascii="仿宋_GB2312" w:hAnsi="仿宋_GB2312" w:cs="仿宋_GB2312" w:eastAsia="仿宋_GB2312"/>
        </w:rPr>
        <w:t>委托，拟对</w:t>
      </w:r>
      <w:r>
        <w:rPr>
          <w:rFonts w:ascii="仿宋_GB2312" w:hAnsi="仿宋_GB2312" w:cs="仿宋_GB2312" w:eastAsia="仿宋_GB2312"/>
        </w:rPr>
        <w:t>2026年镇巴县永乐镇核桃树社区庙坝农村人居环境整治项目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2026-（185）1589-CG-（18）110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2026年镇巴县永乐镇核桃树社区庙坝农村人居环境整治项目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新建C25混凝土钢筋盖板排水沟850米，宽0.5米，深0.6米;改建排水管涵1处，修缮排水渠295米；拆除重建盖板涵1处长6米宽1米高1米；新建浅蝶形水沟长800米，具体内容详见工程量清单。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采购包1（2026年镇巴县永乐镇核桃树社区庙坝农村人居环境整治项目）：属于专门面向中小企业采购。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1、特殊资格要求：具有独立承担民事责任能力的法人、其他组织或自然人，并出具合法有效的营业执照或事业单位法人证书等国家规定的相关证明，自然人参与的提供其身份证明。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特殊资格要求2：供应商应授权合法的人员参与磋商，其中法定代表人直接参加磋商的，须出具法定代表人身份证明，并与营业执照上信息一致。法定代表人授权代表参与磋商的，须出具法定代表人授权书、授权代表身份证。</w:t>
      </w:r>
    </w:p>
    <w:p>
      <w:pPr>
        <w:pStyle w:val="null3"/>
      </w:pPr>
      <w:r>
        <w:rPr>
          <w:rFonts w:ascii="仿宋_GB2312" w:hAnsi="仿宋_GB2312" w:cs="仿宋_GB2312" w:eastAsia="仿宋_GB2312"/>
        </w:rPr>
        <w:t>3、特殊资格要求3：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p>
      <w:pPr>
        <w:pStyle w:val="null3"/>
      </w:pPr>
      <w:r>
        <w:rPr>
          <w:rFonts w:ascii="仿宋_GB2312" w:hAnsi="仿宋_GB2312" w:cs="仿宋_GB2312" w:eastAsia="仿宋_GB2312"/>
        </w:rPr>
        <w:t>4、特殊资格要求4：供应商须具备建设行政主管部门核发的公路工程施工总承包三级及以上资质或市政公用工程施工总承包三级及以上资质，并具备有效的安全生产许可证；拟派项目经理须具备公路工程专业二级及以上（对应公路工程施工总承包资质）或市政公用工程专业二级及以上（对应市政公用工程施工总承包资质）注册建造师执业资格和有效的安全生产考核合格证书（交安B证或建安B证），且在本单位注册、无在建工程，提供相关证书及项目经理无在建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镇巴县永乐镇人民政府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永乐镇核桃树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镇巴县永乐镇人民政府经办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15029667678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陕西汇鑫林丰项目管理有限责任公司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陕西省汉中市汉台区东一环路盛世国际写字楼2107号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晏女士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0916-8820189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采购包1：493,987.02元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开户名称：陕西汇鑫林丰项目管理有限责任公司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银行账号：61050165500000000788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代理服务费收费标准：参照《招标代理服务收费管理暂行办法》的通知（计价格[2002]1980号）和《关于招标代理服务收费有关问题的通知》（发改办价格[2003]857号）文件有关规定的标准计取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镇巴县永乐镇人民政府</w:t>
      </w:r>
      <w:r>
        <w:rPr>
          <w:rFonts w:ascii="仿宋_GB2312" w:hAnsi="仿宋_GB2312" w:cs="仿宋_GB2312" w:eastAsia="仿宋_GB2312"/>
        </w:rPr>
        <w:t>和</w:t>
      </w:r>
      <w:r>
        <w:rPr>
          <w:rFonts w:ascii="仿宋_GB2312" w:hAnsi="仿宋_GB2312" w:cs="仿宋_GB2312" w:eastAsia="仿宋_GB2312"/>
        </w:rPr>
        <w:t>陕西汇鑫林丰项目管理有限责任公司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镇巴县永乐镇人民政府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陕西汇鑫林丰项目管理有限责任公司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镇巴县永乐镇人民政府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陕西汇鑫林丰项目管理有限责任公司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参照合同约定与强制性规范执行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陕西汇鑫林丰项目管理有限责任公司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陕西汇鑫林丰项目管理有限责任公司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陕西汇鑫林丰项目管理有限责任公司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联系人：晏女士</w:t>
      </w:r>
    </w:p>
    <w:p>
      <w:pPr>
        <w:pStyle w:val="null3"/>
      </w:pPr>
      <w:r>
        <w:rPr>
          <w:rFonts w:ascii="仿宋_GB2312" w:hAnsi="仿宋_GB2312" w:cs="仿宋_GB2312" w:eastAsia="仿宋_GB2312"/>
        </w:rPr>
        <w:t>联系电话：0916-8820189</w:t>
      </w:r>
    </w:p>
    <w:p>
      <w:pPr>
        <w:pStyle w:val="null3"/>
      </w:pPr>
      <w:r>
        <w:rPr>
          <w:rFonts w:ascii="仿宋_GB2312" w:hAnsi="仿宋_GB2312" w:cs="仿宋_GB2312" w:eastAsia="仿宋_GB2312"/>
        </w:rPr>
        <w:t>地址：陕西省汉中市汉台区东一环路盛世国际写字楼2107号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493,987.02</w:t>
      </w:r>
    </w:p>
    <w:p>
      <w:pPr>
        <w:pStyle w:val="null3"/>
      </w:pPr>
      <w:r>
        <w:rPr>
          <w:rFonts w:ascii="仿宋_GB2312" w:hAnsi="仿宋_GB2312" w:cs="仿宋_GB2312" w:eastAsia="仿宋_GB2312"/>
        </w:rPr>
        <w:t>采购包最高限价（元）: 493,987.02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2026年镇巴县永乐镇核桃树社区庙坝农村人居环境整治项目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493,987.02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标的名称：2026年镇巴县永乐镇核桃树社区庙坝农村人居环境整治项目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工程概况：</w:t>
            </w:r>
          </w:p>
          <w:p>
            <w:pPr>
              <w:pStyle w:val="null3"/>
            </w:pPr>
            <w:r>
              <w:rPr>
                <w:rFonts w:ascii="仿宋_GB2312" w:hAnsi="仿宋_GB2312" w:cs="仿宋_GB2312" w:eastAsia="仿宋_GB2312"/>
                <w:sz w:val="21"/>
              </w:rPr>
              <w:t>新建C25混凝土钢筋盖板排水沟850米，宽0.5米，深0.6米;改建排水管涵1处，修缮排水渠295米；拆除重建盖板涵1处长6米宽1米高1米；新建浅蝶形水沟长800米，具体内容详见工程量清单。</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工期：60日历天</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质量要求：</w:t>
            </w:r>
          </w:p>
          <w:p>
            <w:pPr>
              <w:pStyle w:val="null3"/>
            </w:pPr>
            <w:r>
              <w:rPr>
                <w:rFonts w:ascii="仿宋_GB2312" w:hAnsi="仿宋_GB2312" w:cs="仿宋_GB2312" w:eastAsia="仿宋_GB2312"/>
                <w:sz w:val="21"/>
              </w:rPr>
              <w:t>交（竣）工验收的质量评定：合格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工期：60日历天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充分考虑采购文件的各项条款、项目现场实际情况、供应商所掌握的市场情况及现行有关政策法规的要求，按照采购人提供的工程量清单依照相关文件结合企业自身情况自主做出报价；2、缴纳磋商保证金时请备注项目名称，并将缴纳凭证附在响应文件中，未按时缴纳成功磋商保证金的，将视为无效响应。如提交保函，请在开标时间前将保函正本送至采购代理机构，如提供电子保函，请将电子保函发送至代理机构指定邮箱1129432496@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特殊资格要求2</w:t>
            </w:r>
          </w:p>
        </w:tc>
        <w:tc>
          <w:tcPr>
            <w:tcW w:type="dxa" w:w="3322"/>
          </w:tcPr>
          <w:p>
            <w:pPr>
              <w:pStyle w:val="null3"/>
            </w:pPr>
            <w:r>
              <w:rPr>
                <w:rFonts w:ascii="仿宋_GB2312" w:hAnsi="仿宋_GB2312" w:cs="仿宋_GB2312" w:eastAsia="仿宋_GB2312"/>
              </w:rPr>
              <w:t>供应商应授权合法的人员参与磋商，其中法定代表人直接参加磋商的，须出具法定代表人身份证明，并与营业执照上信息一致。法定代表人授权代表参与磋商的，须出具法定代表人授权书、授权代表身份证。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特殊资格要求3</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以上内容仅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特殊资格要求4</w:t>
            </w:r>
          </w:p>
        </w:tc>
        <w:tc>
          <w:tcPr>
            <w:tcW w:type="dxa" w:w="3322"/>
          </w:tcPr>
          <w:p>
            <w:pPr>
              <w:pStyle w:val="null3"/>
            </w:pPr>
            <w:r>
              <w:rPr>
                <w:rFonts w:ascii="仿宋_GB2312" w:hAnsi="仿宋_GB2312" w:cs="仿宋_GB2312" w:eastAsia="仿宋_GB2312"/>
              </w:rPr>
              <w:t>供应商须具备建设行政主管部门核发的公路工程施工总承包三级及以上资质或市政公用工程施工总承包三级及以上资质，并具备有效的安全生产许可证；拟派项目经理须具备公路工程专业二级及以上（对应公路工程施工总承包资质）或市政公用工程专业二级及以上（对应市政公用工程施工总承包资质）注册建造师执业资格和有效的安全生产考核合格证书（交安B证或建安B证），且在本单位注册、无在建工程，提供相关证书及项目经理无在建证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（一）政府采购评审中出现下列情形之一的，磋商小组应当启动异常低价投标（响应）审查程序：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4.磋商小组基于专业判断，认为供应商报价过低，有可能影响产品质量或者不能诚信履约的其他情形。 （二）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w:t>
            </w:r>
          </w:p>
        </w:tc>
        <w:tc>
          <w:tcPr>
            <w:tcW w:type="dxa" w:w="3322"/>
          </w:tcPr>
          <w:p>
            <w:pPr>
              <w:pStyle w:val="null3"/>
            </w:pPr>
            <w:r>
              <w:rPr>
                <w:rFonts w:ascii="仿宋_GB2312" w:hAnsi="仿宋_GB2312" w:cs="仿宋_GB2312" w:eastAsia="仿宋_GB2312"/>
              </w:rPr>
              <w:t>响应文件签字、盖章及投标（响应）有效期符合采购文件要求。</w:t>
            </w:r>
          </w:p>
        </w:tc>
        <w:tc>
          <w:tcPr>
            <w:tcW w:type="dxa" w:w="1661"/>
          </w:tcPr>
          <w:p>
            <w:pPr>
              <w:pStyle w:val="null3"/>
            </w:pPr>
            <w:r>
              <w:rPr>
                <w:rFonts w:ascii="仿宋_GB2312" w:hAnsi="仿宋_GB2312" w:cs="仿宋_GB2312" w:eastAsia="仿宋_GB2312"/>
              </w:rPr>
              <w:t>响应文件封面 已标价工程量清单 项目管理机构组成表 中小企业声明函 残疾人福利性单位声明函 报价函 技术服务合同条款及其他商务要求应答表 标的清单 供应商类似项目业绩一览表 响应函 监狱企业的证明文件 强制优先采购产品承诺函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w:t>
            </w:r>
          </w:p>
        </w:tc>
        <w:tc>
          <w:tcPr>
            <w:tcW w:type="dxa" w:w="3322"/>
          </w:tcPr>
          <w:p>
            <w:pPr>
              <w:pStyle w:val="null3"/>
            </w:pPr>
            <w:r>
              <w:rPr>
                <w:rFonts w:ascii="仿宋_GB2312" w:hAnsi="仿宋_GB2312" w:cs="仿宋_GB2312" w:eastAsia="仿宋_GB2312"/>
              </w:rPr>
              <w:t>符合采购文件要求，响应文件内容齐全、无遗漏</w:t>
            </w:r>
          </w:p>
        </w:tc>
        <w:tc>
          <w:tcPr>
            <w:tcW w:type="dxa" w:w="1661"/>
          </w:tcPr>
          <w:p>
            <w:pPr>
              <w:pStyle w:val="null3"/>
            </w:pPr>
            <w:r>
              <w:rPr>
                <w:rFonts w:ascii="仿宋_GB2312" w:hAnsi="仿宋_GB2312" w:cs="仿宋_GB2312" w:eastAsia="仿宋_GB2312"/>
              </w:rPr>
              <w:t>已标价工程量清单 报价函 技术服务合同条款及其他商务要求应答表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没有出现法律法规或采购文件明确规定的其他被视为“无效响应”的情形及未实质性响应采购文件的情况</w:t>
            </w:r>
          </w:p>
        </w:tc>
        <w:tc>
          <w:tcPr>
            <w:tcW w:type="dxa" w:w="1661"/>
          </w:tcPr>
          <w:p>
            <w:pPr>
              <w:pStyle w:val="null3"/>
            </w:pPr>
            <w:r>
              <w:rPr>
                <w:rFonts w:ascii="仿宋_GB2312" w:hAnsi="仿宋_GB2312" w:cs="仿宋_GB2312" w:eastAsia="仿宋_GB2312"/>
              </w:rPr>
              <w:t>已标价工程量清单 磋商保证金.docx 报价函 技术服务合同条款及其他商务要求应答表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提供近三年（自2023年1月1日至今）类似项目业绩，响应文件中应附有其业绩证明材料，业绩以合同协议书或项目验收合格证明资料加盖公章的复印件为依据，提供一个业绩得3分，满分3分。供应商、项目经理、项目技术负责人业绩不重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1.项目经理具有工程类相关专业中级职称得1分；具有工程类相关专业高级及以上职称得2分；需提供职称证书复印件。 2.项目经理提供近三年（自2023年1月1日至今）担任项目经理的类似项目业绩，响应文件中应附有其业绩证明材料，业绩以合同协议书或项目验收合格证明资料加盖公章的复印件为依据，如以上资料无法体现项目经理姓名，供应商需自行补充相关证明资料。提供1个业绩得3分，满分3分 。供应商、项目经理、项目技术负责人业绩不重复计分。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项目技术负责人</w:t>
            </w:r>
          </w:p>
        </w:tc>
        <w:tc>
          <w:tcPr>
            <w:tcW w:type="dxa" w:w="2492"/>
          </w:tcPr>
          <w:p>
            <w:pPr>
              <w:pStyle w:val="null3"/>
            </w:pPr>
            <w:r>
              <w:rPr>
                <w:rFonts w:ascii="仿宋_GB2312" w:hAnsi="仿宋_GB2312" w:cs="仿宋_GB2312" w:eastAsia="仿宋_GB2312"/>
              </w:rPr>
              <w:t>1.项目技术负责人具有工程类相关专业中级职称得1分；具有工程类相关专业高级及以上职称得2分；需提供职称证书复印件。2.项目技术负责人提供近三年（自2023年1月1日至今）担任项目技术责任人的类似项目业绩，响应文件中应附有其业绩证明材料，业绩以合同协议书或项目验收合格证明资料加盖公章的复印件为依据，如以上资料无法体现项目技术负责人姓名，供应商需自行补充相关证明资料。1个业绩得3分，满分3分 。供应商、项目经理、项目技术负责人业绩不重复计分。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供应商针对本项目需配备相关技术人员，配备施工员、质量员、安全员、资料员、材料员等专业技术人员，提供技术人员身份证、岗位相关证明资料（同时提供，否则不得分）；每有一个得0.5分，最多得2.5分；2.团队成员（不含项目经理、项目技术负责人）：每有一人具有工程类相关专业中级及以上职称得0.5分，最多得2.5分；需提供职称证书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拟派项目部人员在岗履职保证</w:t>
            </w:r>
          </w:p>
        </w:tc>
        <w:tc>
          <w:tcPr>
            <w:tcW w:type="dxa" w:w="2492"/>
          </w:tcPr>
          <w:p>
            <w:pPr>
              <w:pStyle w:val="null3"/>
            </w:pPr>
            <w:r>
              <w:rPr>
                <w:rFonts w:ascii="仿宋_GB2312" w:hAnsi="仿宋_GB2312" w:cs="仿宋_GB2312" w:eastAsia="仿宋_GB2312"/>
              </w:rPr>
              <w:t>项目部成员能够按要求全程到岗、常驻施工现场，在岗履职，未经建设单位及监理单位同意不擅自离岗、脱岗或擅自更换人员，提供以上保证的得2分，不提供不得分。响应在附件—其他资料里。</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供应商针对本项目制定的合理化建议。合理化建议内容贴合项目实际、完整详实、落地可行，每提供一个得1.5分，满分3分，不提供不得分。响应在附件—其他资料里。</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工程质量承诺书</w:t>
            </w:r>
          </w:p>
        </w:tc>
        <w:tc>
          <w:tcPr>
            <w:tcW w:type="dxa" w:w="2492"/>
          </w:tcPr>
          <w:p>
            <w:pPr>
              <w:pStyle w:val="null3"/>
            </w:pPr>
            <w:r>
              <w:rPr>
                <w:rFonts w:ascii="仿宋_GB2312" w:hAnsi="仿宋_GB2312" w:cs="仿宋_GB2312" w:eastAsia="仿宋_GB2312"/>
              </w:rPr>
              <w:t>供应商应编制适⽤于本项⽬的⼯程质量承诺书，内容应包含①保修范围；②保修期限；③售后服务团队配置；④质量保修责任；⑤售后响应时间。评分标准：承诺内容包含以上全部内容得5分，以上内容每有⼀项缺失扣1分，不提供不得分。响应在附件—其他资料里。</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供应商针对本项目提供有利于采购人的服务承诺，供应商根据自身情况进行响应。每提供一个承诺得1分，最多得2分，重复不计分，不提供不得分。响应在附件—其他资料里。</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tc>
      </w:tr>
      <w:tr>
        <w:tc>
          <w:tcPr>
            <w:tcW w:type="dxa" w:w="831"/>
            <w:vMerge/>
          </w:tcP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一、评审内容： 供应商针对本项⽬制定的施工总体方案,内容至少包括：①施工准备;②施工进度安排;③施工方法;④重点难点工程分析及解决措施;⑤对易发生质量通病，易出现安全问题、施工难度大、技术含量高的部分进行说明并给出施工保障措施和专项技术方案(含主要施工方法，组织措施，检验手段等)； 二、评审标准： 1.完整性：方案必须全面，对评审内容中的各项要求有详细描述； 2.可实施性：方案流程完善，实施步骤清晰、科学合理，具有可实施性。 3. 针对性：方案能够完全切合本项目、紧贴项目实际情况，内容科学合理，具有针对性。 三、赋分标准（满分15分）：共5项内容，每项内容满分3分，缺一项扣3分。按照“评审标准”，每项内容每完全满足一个评审标准得1分。每有一处内容不完整或存在缺陷的扣0.5分，扣完为止。注：“缺陷”是指项目名称错误、内容与本项目需求无关、仅有框架或标题、内容过于简单、明显复制其他项目内容、内容不完整或缺少关键点、非专门针对本项目或不适用本项目特性、科学原理或常识错误、涉及的规范及标准(方法)错误、地点区域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技术措施</w:t>
            </w:r>
          </w:p>
        </w:tc>
        <w:tc>
          <w:tcPr>
            <w:tcW w:type="dxa" w:w="2492"/>
          </w:tcPr>
          <w:p>
            <w:pPr>
              <w:pStyle w:val="null3"/>
            </w:pPr>
            <w:r>
              <w:rPr>
                <w:rFonts w:ascii="仿宋_GB2312" w:hAnsi="仿宋_GB2312" w:cs="仿宋_GB2312" w:eastAsia="仿宋_GB2312"/>
              </w:rPr>
              <w:t>一、评审内容： 供应商针对本项⽬制定的技术措施,内容至少包括：①确保工程质量的技术措施（含工程质量控制措施、材料和构配件的质量控制、施工质量的检验制度）；②确保工程安全施工的技术措施（含安全施工管理制度、安全施工保证措施、安全应急预案）；③确保工程文明施工的技术措施（含文明施工管理制度、文明施工保证措施、施工现场管理）；④确保工期的技术措施（含施工进度目标及进度计划表、工期保证措施、节点工期的控制措施）；⑤环境保护措施（含防尘降噪措施、节能减排措施、建筑垃圾处理方案）； 二、评审标准： 1.完整性：方案必须全面，对评审内容中的各项要求有详细描述； 2.可实施性：方案流程完善，实施步骤清晰、科学合理，具有可实施性。 3. 针对性：方案能够完全切合本项目、紧贴项目实际情况，内容科学合理，具有针对性。 三、赋分标准（满分25分）：共5项内容，每项内容满分5分，缺一项扣5分。按照“评审标准”，响应内容完全满足“1.完整性”评审标准得1分，响应内容完全满足“2.可实施性”评审标准得2分，响应内容完全满足“3.针对性”评审标准得2分，每有一处内容不完整或存在缺陷的扣0.5分，扣完为止。注：“缺陷”是指项目名称错误、内容与本项目需求无关、仅有框架或标题、内容过于简单、明显复制其他项目内容、内容不完整或缺少关键点、非专门针对本项目或不适用本项目特性、科学原理或常识错误、涉及的规范及标准(方法)错误、地点区域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1、上限为最高限价，即报价大于上限价视为报价无效； 2、以满足本次磋商文件要求的最终价格最低报价为磋商基准价，其价格为满分； 3、供应商报价得分=（磋商基准价/最终磋商报价）×30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详见附件：磋商保证金.docx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