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7540AF5">
      <w:pPr>
        <w:spacing w:line="360" w:lineRule="auto"/>
        <w:jc w:val="center"/>
        <w:rPr>
          <w:rFonts w:hint="eastAsia"/>
          <w:b/>
          <w:bCs/>
          <w:sz w:val="28"/>
          <w:szCs w:val="36"/>
          <w:lang w:val="en-US" w:eastAsia="zh-CN"/>
        </w:rPr>
      </w:pPr>
      <w:r>
        <w:rPr>
          <w:rFonts w:hint="eastAsia"/>
          <w:b/>
          <w:bCs/>
          <w:sz w:val="28"/>
          <w:szCs w:val="36"/>
          <w:lang w:val="en-US" w:eastAsia="zh-CN"/>
        </w:rPr>
        <w:t>采购需求</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97"/>
        <w:gridCol w:w="723"/>
        <w:gridCol w:w="7002"/>
      </w:tblGrid>
      <w:tr w14:paraId="239C03B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97" w:type="dxa"/>
          </w:tcPr>
          <w:p w14:paraId="0A49634D">
            <w:pPr>
              <w:pStyle w:val="4"/>
            </w:pPr>
            <w:r>
              <w:rPr>
                <w:rFonts w:ascii="仿宋_GB2312" w:hAnsi="仿宋_GB2312" w:eastAsia="仿宋_GB2312" w:cs="仿宋_GB2312"/>
              </w:rPr>
              <w:t xml:space="preserve"> 序号</w:t>
            </w:r>
          </w:p>
        </w:tc>
        <w:tc>
          <w:tcPr>
            <w:tcW w:w="723" w:type="dxa"/>
          </w:tcPr>
          <w:p w14:paraId="641F1436">
            <w:pPr>
              <w:pStyle w:val="4"/>
            </w:pPr>
            <w:r>
              <w:rPr>
                <w:rFonts w:ascii="仿宋_GB2312" w:hAnsi="仿宋_GB2312" w:eastAsia="仿宋_GB2312" w:cs="仿宋_GB2312"/>
              </w:rPr>
              <w:t>参数性质</w:t>
            </w:r>
          </w:p>
        </w:tc>
        <w:tc>
          <w:tcPr>
            <w:tcW w:w="7002" w:type="dxa"/>
          </w:tcPr>
          <w:p w14:paraId="52E4AAB1">
            <w:pPr>
              <w:pStyle w:val="4"/>
            </w:pPr>
            <w:r>
              <w:rPr>
                <w:rFonts w:ascii="仿宋_GB2312" w:hAnsi="仿宋_GB2312" w:eastAsia="仿宋_GB2312" w:cs="仿宋_GB2312"/>
              </w:rPr>
              <w:t xml:space="preserve"> 技术参数与性能指标</w:t>
            </w:r>
          </w:p>
        </w:tc>
      </w:tr>
      <w:tr w14:paraId="3B34D7B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97" w:type="dxa"/>
          </w:tcPr>
          <w:p w14:paraId="21D7BCC8">
            <w:pPr>
              <w:pStyle w:val="4"/>
            </w:pPr>
            <w:r>
              <w:rPr>
                <w:rFonts w:ascii="仿宋_GB2312" w:hAnsi="仿宋_GB2312" w:eastAsia="仿宋_GB2312" w:cs="仿宋_GB2312"/>
              </w:rPr>
              <w:t>1</w:t>
            </w:r>
          </w:p>
        </w:tc>
        <w:tc>
          <w:tcPr>
            <w:tcW w:w="723" w:type="dxa"/>
          </w:tcPr>
          <w:p w14:paraId="1ABEEE7D"/>
        </w:tc>
        <w:tc>
          <w:tcPr>
            <w:tcW w:w="7002" w:type="dxa"/>
          </w:tcPr>
          <w:tbl>
            <w:tblPr>
              <w:tblStyle w:val="2"/>
              <w:tblW w:w="4998" w:type="pct"/>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834"/>
              <w:gridCol w:w="835"/>
              <w:gridCol w:w="3232"/>
              <w:gridCol w:w="1047"/>
              <w:gridCol w:w="835"/>
            </w:tblGrid>
            <w:tr w14:paraId="6EB5978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15"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6CD8E51">
                  <w:pPr>
                    <w:pStyle w:val="4"/>
                    <w:jc w:val="left"/>
                  </w:pPr>
                  <w:r>
                    <w:rPr>
                      <w:rFonts w:ascii="仿宋_GB2312" w:hAnsi="仿宋_GB2312" w:eastAsia="仿宋_GB2312" w:cs="仿宋_GB2312"/>
                      <w:b/>
                      <w:color w:val="000000"/>
                      <w:sz w:val="22"/>
                    </w:rPr>
                    <w:t>序号</w:t>
                  </w:r>
                </w:p>
              </w:tc>
              <w:tc>
                <w:tcPr>
                  <w:tcW w:w="615"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141C978">
                  <w:pPr>
                    <w:pStyle w:val="4"/>
                    <w:jc w:val="left"/>
                  </w:pPr>
                  <w:r>
                    <w:rPr>
                      <w:rFonts w:ascii="仿宋_GB2312" w:hAnsi="仿宋_GB2312" w:eastAsia="仿宋_GB2312" w:cs="仿宋_GB2312"/>
                      <w:b/>
                      <w:color w:val="000000"/>
                      <w:sz w:val="22"/>
                    </w:rPr>
                    <w:t>名称</w:t>
                  </w:r>
                </w:p>
              </w:tc>
              <w:tc>
                <w:tcPr>
                  <w:tcW w:w="2381"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C733DC5">
                  <w:pPr>
                    <w:pStyle w:val="4"/>
                    <w:jc w:val="left"/>
                  </w:pPr>
                  <w:r>
                    <w:rPr>
                      <w:rFonts w:ascii="仿宋_GB2312" w:hAnsi="仿宋_GB2312" w:eastAsia="仿宋_GB2312" w:cs="仿宋_GB2312"/>
                      <w:b/>
                      <w:color w:val="000000"/>
                      <w:sz w:val="22"/>
                    </w:rPr>
                    <w:t>技术参数</w:t>
                  </w:r>
                </w:p>
              </w:tc>
              <w:tc>
                <w:tcPr>
                  <w:tcW w:w="771"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8895881">
                  <w:pPr>
                    <w:pStyle w:val="4"/>
                    <w:jc w:val="left"/>
                  </w:pPr>
                  <w:r>
                    <w:rPr>
                      <w:rFonts w:ascii="仿宋_GB2312" w:hAnsi="仿宋_GB2312" w:eastAsia="仿宋_GB2312" w:cs="仿宋_GB2312"/>
                      <w:b/>
                      <w:color w:val="000000"/>
                      <w:sz w:val="22"/>
                    </w:rPr>
                    <w:t>数量</w:t>
                  </w:r>
                </w:p>
              </w:tc>
              <w:tc>
                <w:tcPr>
                  <w:tcW w:w="615"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4AB190D">
                  <w:pPr>
                    <w:pStyle w:val="4"/>
                    <w:jc w:val="left"/>
                  </w:pPr>
                  <w:r>
                    <w:rPr>
                      <w:rFonts w:ascii="仿宋_GB2312" w:hAnsi="仿宋_GB2312" w:eastAsia="仿宋_GB2312" w:cs="仿宋_GB2312"/>
                      <w:b/>
                      <w:color w:val="000000"/>
                      <w:sz w:val="22"/>
                    </w:rPr>
                    <w:t>单位</w:t>
                  </w:r>
                </w:p>
              </w:tc>
            </w:tr>
            <w:tr w14:paraId="66AD3F5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1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86D319F">
                  <w:pPr>
                    <w:pStyle w:val="4"/>
                    <w:jc w:val="right"/>
                  </w:pPr>
                  <w:r>
                    <w:rPr>
                      <w:rFonts w:ascii="仿宋_GB2312" w:hAnsi="仿宋_GB2312" w:eastAsia="仿宋_GB2312" w:cs="仿宋_GB2312"/>
                      <w:color w:val="000000"/>
                      <w:sz w:val="22"/>
                    </w:rPr>
                    <w:t>1</w:t>
                  </w:r>
                </w:p>
              </w:tc>
              <w:tc>
                <w:tcPr>
                  <w:tcW w:w="615" w:type="pct"/>
                  <w:tcBorders>
                    <w:top w:val="nil"/>
                    <w:left w:val="nil"/>
                    <w:bottom w:val="single" w:color="000000" w:sz="4" w:space="0"/>
                    <w:right w:val="single" w:color="000000" w:sz="4" w:space="0"/>
                  </w:tcBorders>
                  <w:tcMar>
                    <w:top w:w="0" w:type="dxa"/>
                    <w:left w:w="105" w:type="dxa"/>
                    <w:bottom w:w="0" w:type="dxa"/>
                    <w:right w:w="105" w:type="dxa"/>
                  </w:tcMar>
                  <w:vAlign w:val="top"/>
                </w:tcPr>
                <w:p w14:paraId="4740D01C">
                  <w:pPr>
                    <w:pStyle w:val="4"/>
                    <w:jc w:val="left"/>
                  </w:pPr>
                  <w:r>
                    <w:rPr>
                      <w:rFonts w:ascii="仿宋_GB2312" w:hAnsi="仿宋_GB2312" w:eastAsia="仿宋_GB2312" w:cs="仿宋_GB2312"/>
                      <w:color w:val="000000"/>
                      <w:sz w:val="22"/>
                    </w:rPr>
                    <w:t>办公电脑</w:t>
                  </w:r>
                </w:p>
              </w:tc>
              <w:tc>
                <w:tcPr>
                  <w:tcW w:w="2381" w:type="pct"/>
                  <w:tcBorders>
                    <w:top w:val="nil"/>
                    <w:left w:val="nil"/>
                    <w:bottom w:val="single" w:color="000000" w:sz="4" w:space="0"/>
                    <w:right w:val="single" w:color="000000" w:sz="4" w:space="0"/>
                  </w:tcBorders>
                  <w:tcMar>
                    <w:top w:w="0" w:type="dxa"/>
                    <w:left w:w="105" w:type="dxa"/>
                    <w:bottom w:w="0" w:type="dxa"/>
                    <w:right w:w="105" w:type="dxa"/>
                  </w:tcMar>
                  <w:vAlign w:val="top"/>
                </w:tcPr>
                <w:p w14:paraId="0E7607D8">
                  <w:pPr>
                    <w:pStyle w:val="4"/>
                    <w:jc w:val="left"/>
                  </w:pPr>
                  <w:r>
                    <w:rPr>
                      <w:rFonts w:ascii="仿宋_GB2312" w:hAnsi="仿宋_GB2312" w:eastAsia="仿宋_GB2312" w:cs="仿宋_GB2312"/>
                      <w:color w:val="000000"/>
                      <w:sz w:val="22"/>
                    </w:rPr>
                    <w:t>1、基本要求：处理器性能满足中小学信息科技课程教学、电子教室、在线学习、基础编程软件稳定运行；</w:t>
                  </w:r>
                  <w:r>
                    <w:br w:type="textWrapping"/>
                  </w:r>
                  <w:r>
                    <w:rPr>
                      <w:rFonts w:ascii="仿宋_GB2312" w:hAnsi="仿宋_GB2312" w:eastAsia="仿宋_GB2312" w:cs="仿宋_GB2312"/>
                      <w:color w:val="000000"/>
                      <w:sz w:val="22"/>
                    </w:rPr>
                    <w:t>2、机箱：≥13.6L，支持全高全长扩展卡；</w:t>
                  </w:r>
                  <w:r>
                    <w:br w:type="textWrapping"/>
                  </w:r>
                  <w:r>
                    <w:rPr>
                      <w:rFonts w:ascii="仿宋_GB2312" w:hAnsi="仿宋_GB2312" w:eastAsia="仿宋_GB2312" w:cs="仿宋_GB2312"/>
                      <w:color w:val="000000"/>
                      <w:sz w:val="22"/>
                    </w:rPr>
                    <w:t>★3、处理器：≥1颗通过安全可靠测评要求处理器，核数≥8核，主频≥2.8GHz；</w:t>
                  </w:r>
                  <w:r>
                    <w:br w:type="textWrapping"/>
                  </w:r>
                  <w:r>
                    <w:rPr>
                      <w:rFonts w:ascii="仿宋_GB2312" w:hAnsi="仿宋_GB2312" w:eastAsia="仿宋_GB2312" w:cs="仿宋_GB2312"/>
                      <w:color w:val="000000"/>
                      <w:sz w:val="22"/>
                    </w:rPr>
                    <w:t>4、主板：与处理器相匹配芯片组主板；</w:t>
                  </w:r>
                  <w:r>
                    <w:br w:type="textWrapping"/>
                  </w:r>
                  <w:r>
                    <w:rPr>
                      <w:rFonts w:ascii="仿宋_GB2312" w:hAnsi="仿宋_GB2312" w:eastAsia="仿宋_GB2312" w:cs="仿宋_GB2312"/>
                      <w:color w:val="000000"/>
                      <w:sz w:val="22"/>
                    </w:rPr>
                    <w:t>★5、内存：配置≥16GB DDR4 内存，配置≥2个内存插槽；</w:t>
                  </w:r>
                  <w:r>
                    <w:br w:type="textWrapping"/>
                  </w:r>
                  <w:r>
                    <w:rPr>
                      <w:rFonts w:ascii="仿宋_GB2312" w:hAnsi="仿宋_GB2312" w:eastAsia="仿宋_GB2312" w:cs="仿宋_GB2312"/>
                      <w:color w:val="000000"/>
                      <w:sz w:val="22"/>
                    </w:rPr>
                    <w:t>6、显卡：集成显卡，另可以支持独立显卡；</w:t>
                  </w:r>
                  <w:r>
                    <w:br w:type="textWrapping"/>
                  </w:r>
                  <w:r>
                    <w:rPr>
                      <w:rFonts w:ascii="仿宋_GB2312" w:hAnsi="仿宋_GB2312" w:eastAsia="仿宋_GB2312" w:cs="仿宋_GB2312"/>
                      <w:color w:val="000000"/>
                      <w:sz w:val="22"/>
                    </w:rPr>
                    <w:t>★7、硬盘：≥512GB M.2接口NVME协议SSD，预留3.5英寸硬盘仓位，支持机械硬盘扩展；</w:t>
                  </w:r>
                  <w:r>
                    <w:br w:type="textWrapping"/>
                  </w:r>
                  <w:r>
                    <w:rPr>
                      <w:rFonts w:ascii="仿宋_GB2312" w:hAnsi="仿宋_GB2312" w:eastAsia="仿宋_GB2312" w:cs="仿宋_GB2312"/>
                      <w:color w:val="000000"/>
                      <w:sz w:val="22"/>
                    </w:rPr>
                    <w:t>8、电源：电源功率≤200W；</w:t>
                  </w:r>
                  <w:r>
                    <w:br w:type="textWrapping"/>
                  </w:r>
                  <w:r>
                    <w:rPr>
                      <w:rFonts w:ascii="仿宋_GB2312" w:hAnsi="仿宋_GB2312" w:eastAsia="仿宋_GB2312" w:cs="仿宋_GB2312"/>
                      <w:color w:val="000000"/>
                      <w:sz w:val="22"/>
                    </w:rPr>
                    <w:t xml:space="preserve">9、网络：1个RJ45 10/100/1000自适应以太网口； </w:t>
                  </w:r>
                  <w:r>
                    <w:br w:type="textWrapping"/>
                  </w:r>
                  <w:r>
                    <w:rPr>
                      <w:rFonts w:ascii="仿宋_GB2312" w:hAnsi="仿宋_GB2312" w:eastAsia="仿宋_GB2312" w:cs="仿宋_GB2312"/>
                      <w:color w:val="000000"/>
                      <w:sz w:val="22"/>
                    </w:rPr>
                    <w:t>10、PCIE扩展槽：PCIE插槽数量≥3个，包含1个PCIe x16，2个PCIe x1；</w:t>
                  </w:r>
                  <w:r>
                    <w:br w:type="textWrapping"/>
                  </w:r>
                  <w:r>
                    <w:rPr>
                      <w:rFonts w:ascii="仿宋_GB2312" w:hAnsi="仿宋_GB2312" w:eastAsia="仿宋_GB2312" w:cs="仿宋_GB2312"/>
                      <w:color w:val="000000"/>
                      <w:sz w:val="22"/>
                    </w:rPr>
                    <w:t>11、接口扩展：原生USB接口≥8个，其中机箱前置USB3.0接口≥4个；后置USB3.0接口≥2个，USB2.0接口≥2个；音频接口≥5个（前2后3）；HDMI接口≥1个，VGA接口≥1个；</w:t>
                  </w:r>
                  <w:r>
                    <w:br w:type="textWrapping"/>
                  </w:r>
                  <w:r>
                    <w:rPr>
                      <w:rFonts w:ascii="仿宋_GB2312" w:hAnsi="仿宋_GB2312" w:eastAsia="仿宋_GB2312" w:cs="仿宋_GB2312"/>
                      <w:color w:val="000000"/>
                      <w:sz w:val="22"/>
                    </w:rPr>
                    <w:t>12、易用性：机箱模块化设计，免工具拆装。机箱配置防尘罩，支持通过防尘棉阻隔灰尘；</w:t>
                  </w:r>
                  <w:r>
                    <w:br w:type="textWrapping"/>
                  </w:r>
                  <w:r>
                    <w:rPr>
                      <w:rFonts w:ascii="仿宋_GB2312" w:hAnsi="仿宋_GB2312" w:eastAsia="仿宋_GB2312" w:cs="仿宋_GB2312"/>
                      <w:color w:val="000000"/>
                      <w:sz w:val="22"/>
                    </w:rPr>
                    <w:t>13、数据安全：BIOS级USB屏蔽及智能USB数据保护：USB支持BIOS下接口开关，针对存储设备支持USB接口切换禁止访问模式/只读模式。</w:t>
                  </w:r>
                  <w:r>
                    <w:br w:type="textWrapping"/>
                  </w:r>
                  <w:r>
                    <w:rPr>
                      <w:rFonts w:ascii="仿宋_GB2312" w:hAnsi="仿宋_GB2312" w:eastAsia="仿宋_GB2312" w:cs="仿宋_GB2312"/>
                      <w:color w:val="000000"/>
                      <w:sz w:val="22"/>
                    </w:rPr>
                    <w:t>★14、整机可靠性：</w:t>
                  </w:r>
                  <w:r>
                    <w:br w:type="textWrapping"/>
                  </w:r>
                  <w:r>
                    <w:rPr>
                      <w:rFonts w:ascii="仿宋_GB2312" w:hAnsi="仿宋_GB2312" w:eastAsia="仿宋_GB2312" w:cs="仿宋_GB2312"/>
                      <w:color w:val="000000"/>
                      <w:sz w:val="22"/>
                    </w:rPr>
                    <w:t>①整机具备第三方检测机构出具电磁兼容性（GB/T 9254）检测 / 认证报告；</w:t>
                  </w:r>
                  <w:r>
                    <w:br w:type="textWrapping"/>
                  </w:r>
                  <w:r>
                    <w:rPr>
                      <w:rFonts w:ascii="仿宋_GB2312" w:hAnsi="仿宋_GB2312" w:eastAsia="仿宋_GB2312" w:cs="仿宋_GB2312"/>
                      <w:color w:val="000000"/>
                      <w:sz w:val="22"/>
                    </w:rPr>
                    <w:t>②整机提供第三方噪音测试报告，空闲噪声≤38dB、满载噪声≤45dB；</w:t>
                  </w:r>
                  <w:r>
                    <w:br w:type="textWrapping"/>
                  </w:r>
                  <w:r>
                    <w:rPr>
                      <w:rFonts w:ascii="仿宋_GB2312" w:hAnsi="仿宋_GB2312" w:eastAsia="仿宋_GB2312" w:cs="仿宋_GB2312"/>
                      <w:color w:val="000000"/>
                      <w:sz w:val="22"/>
                    </w:rPr>
                    <w:t>③整机具备气候环境适应性第三方测试报告；</w:t>
                  </w:r>
                  <w:r>
                    <w:br w:type="textWrapping"/>
                  </w:r>
                  <w:r>
                    <w:rPr>
                      <w:rFonts w:ascii="仿宋_GB2312" w:hAnsi="仿宋_GB2312" w:eastAsia="仿宋_GB2312" w:cs="仿宋_GB2312"/>
                      <w:color w:val="000000"/>
                      <w:sz w:val="22"/>
                    </w:rPr>
                    <w:t>④整机第三方检测MTBF≥300000小时（30万小时适配教学电脑市场主流水平）</w:t>
                  </w:r>
                  <w:r>
                    <w:br w:type="textWrapping"/>
                  </w:r>
                  <w:r>
                    <w:rPr>
                      <w:rFonts w:ascii="仿宋_GB2312" w:hAnsi="仿宋_GB2312" w:eastAsia="仿宋_GB2312" w:cs="仿宋_GB2312"/>
                      <w:color w:val="000000"/>
                      <w:sz w:val="22"/>
                    </w:rPr>
                    <w:t>以上要求需提供有效证书或第三方检测机构出具的检测报告扫描件并加盖供应商公章；</w:t>
                  </w:r>
                  <w:r>
                    <w:br w:type="textWrapping"/>
                  </w:r>
                  <w:r>
                    <w:rPr>
                      <w:rFonts w:ascii="仿宋_GB2312" w:hAnsi="仿宋_GB2312" w:eastAsia="仿宋_GB2312" w:cs="仿宋_GB2312"/>
                      <w:color w:val="000000"/>
                      <w:sz w:val="22"/>
                    </w:rPr>
                    <w:t>15、操作系统：能够稳定安装并运行统信桌面操作系统、麒麟桌面操作系统及其他通过安全可靠测评的国产桌面操作系统；</w:t>
                  </w:r>
                  <w:r>
                    <w:br w:type="textWrapping"/>
                  </w:r>
                  <w:r>
                    <w:rPr>
                      <w:rFonts w:ascii="仿宋_GB2312" w:hAnsi="仿宋_GB2312" w:eastAsia="仿宋_GB2312" w:cs="仿宋_GB2312"/>
                      <w:color w:val="000000"/>
                      <w:sz w:val="22"/>
                    </w:rPr>
                    <w:t>16、显示器：≥23.8寸LED显示器，与主机同品牌，分辨率≥1920*1080，刷新频率≥100Hz，对比度≥3000:1，视频接口VGA+HDMI；</w:t>
                  </w:r>
                  <w:r>
                    <w:br w:type="textWrapping"/>
                  </w:r>
                  <w:r>
                    <w:rPr>
                      <w:rFonts w:ascii="仿宋_GB2312" w:hAnsi="仿宋_GB2312" w:eastAsia="仿宋_GB2312" w:cs="仿宋_GB2312"/>
                      <w:color w:val="000000"/>
                      <w:sz w:val="22"/>
                    </w:rPr>
                    <w:t>17、售后服务：整机提供3年免费上门原厂质保，提供专业的7*24h远程服务支持。</w:t>
                  </w:r>
                  <w:r>
                    <w:br w:type="textWrapping"/>
                  </w:r>
                  <w:r>
                    <w:rPr>
                      <w:rFonts w:ascii="仿宋_GB2312" w:hAnsi="仿宋_GB2312" w:eastAsia="仿宋_GB2312" w:cs="仿宋_GB2312"/>
                      <w:color w:val="000000"/>
                      <w:sz w:val="22"/>
                    </w:rPr>
                    <w:t>预装国产操作系统、正版化杀毒软件、正版化办公软件</w:t>
                  </w:r>
                  <w:r>
                    <w:br w:type="textWrapping"/>
                  </w:r>
                  <w:r>
                    <w:rPr>
                      <w:rFonts w:ascii="仿宋_GB2312" w:hAnsi="仿宋_GB2312" w:eastAsia="仿宋_GB2312" w:cs="仿宋_GB2312"/>
                      <w:color w:val="000000"/>
                      <w:sz w:val="22"/>
                    </w:rPr>
                    <w:t>18、USB 有线键鼠套装；USB 接口即插即用；键盘 104 键、防泼溅，按键寿命≥1000 万次；鼠标光电≥1000DPI；同台式机品牌，线缆≥1.5 米。</w:t>
                  </w:r>
                </w:p>
              </w:tc>
              <w:tc>
                <w:tcPr>
                  <w:tcW w:w="771" w:type="pct"/>
                  <w:tcBorders>
                    <w:top w:val="nil"/>
                    <w:left w:val="nil"/>
                    <w:bottom w:val="single" w:color="000000" w:sz="4" w:space="0"/>
                    <w:right w:val="single" w:color="000000" w:sz="4" w:space="0"/>
                  </w:tcBorders>
                  <w:tcMar>
                    <w:top w:w="0" w:type="dxa"/>
                    <w:left w:w="105" w:type="dxa"/>
                    <w:bottom w:w="0" w:type="dxa"/>
                    <w:right w:w="105" w:type="dxa"/>
                  </w:tcMar>
                  <w:vAlign w:val="top"/>
                </w:tcPr>
                <w:p w14:paraId="1E0325D5">
                  <w:pPr>
                    <w:pStyle w:val="4"/>
                    <w:jc w:val="right"/>
                  </w:pPr>
                  <w:r>
                    <w:rPr>
                      <w:rFonts w:ascii="仿宋_GB2312" w:hAnsi="仿宋_GB2312" w:eastAsia="仿宋_GB2312" w:cs="仿宋_GB2312"/>
                      <w:color w:val="000000"/>
                      <w:sz w:val="22"/>
                    </w:rPr>
                    <w:t>100</w:t>
                  </w:r>
                </w:p>
              </w:tc>
              <w:tc>
                <w:tcPr>
                  <w:tcW w:w="615" w:type="pct"/>
                  <w:tcBorders>
                    <w:top w:val="nil"/>
                    <w:left w:val="nil"/>
                    <w:bottom w:val="single" w:color="000000" w:sz="4" w:space="0"/>
                    <w:right w:val="single" w:color="000000" w:sz="4" w:space="0"/>
                  </w:tcBorders>
                  <w:tcMar>
                    <w:top w:w="0" w:type="dxa"/>
                    <w:left w:w="105" w:type="dxa"/>
                    <w:bottom w:w="0" w:type="dxa"/>
                    <w:right w:w="105" w:type="dxa"/>
                  </w:tcMar>
                  <w:vAlign w:val="top"/>
                </w:tcPr>
                <w:p w14:paraId="41A25D0D">
                  <w:pPr>
                    <w:pStyle w:val="4"/>
                    <w:jc w:val="left"/>
                  </w:pPr>
                  <w:r>
                    <w:rPr>
                      <w:rFonts w:ascii="仿宋_GB2312" w:hAnsi="仿宋_GB2312" w:eastAsia="仿宋_GB2312" w:cs="仿宋_GB2312"/>
                      <w:color w:val="000000"/>
                      <w:sz w:val="22"/>
                    </w:rPr>
                    <w:t>台</w:t>
                  </w:r>
                </w:p>
              </w:tc>
            </w:tr>
          </w:tbl>
          <w:p w14:paraId="204E2FEA"/>
        </w:tc>
      </w:tr>
      <w:tr w14:paraId="7A3A21F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97" w:type="dxa"/>
          </w:tcPr>
          <w:p w14:paraId="7A1DBDA6">
            <w:pPr>
              <w:pStyle w:val="4"/>
            </w:pPr>
            <w:r>
              <w:rPr>
                <w:rFonts w:ascii="仿宋_GB2312" w:hAnsi="仿宋_GB2312" w:eastAsia="仿宋_GB2312" w:cs="仿宋_GB2312"/>
              </w:rPr>
              <w:t>2</w:t>
            </w:r>
          </w:p>
        </w:tc>
        <w:tc>
          <w:tcPr>
            <w:tcW w:w="723" w:type="dxa"/>
          </w:tcPr>
          <w:p w14:paraId="45CA6FD4"/>
        </w:tc>
        <w:tc>
          <w:tcPr>
            <w:tcW w:w="7002" w:type="dxa"/>
          </w:tcPr>
          <w:p w14:paraId="339ED45C">
            <w:pPr>
              <w:pStyle w:val="4"/>
              <w:jc w:val="left"/>
            </w:pPr>
            <w:r>
              <w:rPr>
                <w:rFonts w:ascii="仿宋_GB2312" w:hAnsi="仿宋_GB2312" w:eastAsia="仿宋_GB2312" w:cs="仿宋_GB2312"/>
                <w:b/>
                <w:color w:val="000000"/>
                <w:sz w:val="24"/>
              </w:rPr>
              <w:t>一、服务要求</w:t>
            </w:r>
          </w:p>
          <w:p w14:paraId="4C4EA021">
            <w:pPr>
              <w:pStyle w:val="4"/>
              <w:ind w:left="30" w:right="15" w:firstLine="478"/>
              <w:jc w:val="left"/>
            </w:pPr>
            <w:r>
              <w:rPr>
                <w:rFonts w:ascii="仿宋_GB2312" w:hAnsi="仿宋_GB2312" w:eastAsia="仿宋_GB2312" w:cs="仿宋_GB2312"/>
                <w:color w:val="000000"/>
                <w:sz w:val="24"/>
              </w:rPr>
              <w:t>供应商签订合同后，承担与供货有关的辅助服务，包括运输、保险（若有）、安装、调试、技术援助、培训及合同约定的其他义务：</w:t>
            </w:r>
          </w:p>
          <w:p w14:paraId="736B952C">
            <w:pPr>
              <w:pStyle w:val="4"/>
              <w:jc w:val="left"/>
            </w:pPr>
            <w:r>
              <w:rPr>
                <w:rFonts w:ascii="仿宋_GB2312" w:hAnsi="仿宋_GB2312" w:eastAsia="仿宋_GB2312" w:cs="仿宋_GB2312"/>
                <w:color w:val="000000"/>
                <w:sz w:val="24"/>
              </w:rPr>
              <w:t>运输：免费配送至西安市高新一中初级中学（西安市高新区高新路62号），包装符合《商品包装政府采购需求标准(试行)》</w:t>
            </w:r>
            <w:r>
              <w:rPr>
                <w:rFonts w:ascii="仿宋_GB2312" w:hAnsi="仿宋_GB2312" w:eastAsia="仿宋_GB2312" w:cs="仿宋_GB2312"/>
                <w:sz w:val="21"/>
              </w:rPr>
              <w:t xml:space="preserve"> </w:t>
            </w:r>
            <w:r>
              <w:rPr>
                <w:rFonts w:ascii="仿宋_GB2312" w:hAnsi="仿宋_GB2312" w:eastAsia="仿宋_GB2312" w:cs="仿宋_GB2312"/>
                <w:color w:val="000000"/>
                <w:sz w:val="24"/>
              </w:rPr>
              <w:t>《快递包装政府采购需求标准(试行)》要求，适应远距离运输、防潮、防震、防锈和防野蛮装卸。</w:t>
            </w:r>
          </w:p>
          <w:p w14:paraId="13D8CF1D">
            <w:pPr>
              <w:pStyle w:val="4"/>
              <w:ind w:firstLine="480"/>
              <w:jc w:val="both"/>
            </w:pPr>
            <w:r>
              <w:rPr>
                <w:rFonts w:ascii="仿宋_GB2312" w:hAnsi="仿宋_GB2312" w:eastAsia="仿宋_GB2312" w:cs="仿宋_GB2312"/>
                <w:color w:val="000000"/>
                <w:sz w:val="24"/>
              </w:rPr>
              <w:t>安装调试：负责所有设备的安装</w:t>
            </w:r>
            <w:bookmarkStart w:id="0" w:name="_GoBack"/>
            <w:bookmarkEnd w:id="0"/>
            <w:r>
              <w:rPr>
                <w:rFonts w:ascii="仿宋_GB2312" w:hAnsi="仿宋_GB2312" w:eastAsia="仿宋_GB2312" w:cs="仿宋_GB2312"/>
                <w:color w:val="000000"/>
                <w:sz w:val="24"/>
              </w:rPr>
              <w:t>调试，确保功能正常运行，配合采购人完成验收。</w:t>
            </w:r>
          </w:p>
          <w:p w14:paraId="3F5033DE">
            <w:pPr>
              <w:pStyle w:val="4"/>
              <w:ind w:firstLine="480"/>
              <w:jc w:val="left"/>
            </w:pPr>
            <w:r>
              <w:rPr>
                <w:rFonts w:ascii="仿宋_GB2312" w:hAnsi="仿宋_GB2312" w:eastAsia="仿宋_GB2312" w:cs="仿宋_GB2312"/>
                <w:color w:val="000000"/>
                <w:sz w:val="24"/>
              </w:rPr>
              <w:t>培训：免费为采购人操作人员提供操作、维护培训，直至能独立操作。</w:t>
            </w:r>
          </w:p>
          <w:p w14:paraId="35968A5C">
            <w:pPr>
              <w:pStyle w:val="4"/>
              <w:ind w:right="15" w:firstLine="468"/>
              <w:jc w:val="both"/>
            </w:pPr>
            <w:r>
              <w:rPr>
                <w:rFonts w:ascii="仿宋_GB2312" w:hAnsi="仿宋_GB2312" w:eastAsia="仿宋_GB2312" w:cs="仿宋_GB2312"/>
                <w:color w:val="000000"/>
                <w:sz w:val="24"/>
              </w:rPr>
              <w:t>质保期服务：质保期内免费维修、更换零部件，响应时间≤24</w:t>
            </w:r>
            <w:r>
              <w:rPr>
                <w:rFonts w:ascii="仿宋_GB2312" w:hAnsi="仿宋_GB2312" w:eastAsia="仿宋_GB2312" w:cs="仿宋_GB2312"/>
              </w:rPr>
              <w:t xml:space="preserve"> </w:t>
            </w:r>
            <w:r>
              <w:rPr>
                <w:rFonts w:ascii="仿宋_GB2312" w:hAnsi="仿宋_GB2312" w:eastAsia="仿宋_GB2312" w:cs="仿宋_GB2312"/>
                <w:color w:val="000000"/>
                <w:sz w:val="24"/>
              </w:rPr>
              <w:t>小时，故障排除时间≤48小时。</w:t>
            </w:r>
          </w:p>
          <w:p w14:paraId="6D826D43">
            <w:pPr>
              <w:pStyle w:val="4"/>
              <w:ind w:left="30"/>
              <w:jc w:val="left"/>
            </w:pPr>
            <w:r>
              <w:rPr>
                <w:rFonts w:ascii="仿宋_GB2312" w:hAnsi="仿宋_GB2312" w:eastAsia="仿宋_GB2312" w:cs="仿宋_GB2312"/>
                <w:b/>
                <w:color w:val="000000"/>
                <w:sz w:val="24"/>
              </w:rPr>
              <w:t>二、商务要求</w:t>
            </w:r>
          </w:p>
          <w:p w14:paraId="7214E21D">
            <w:pPr>
              <w:pStyle w:val="4"/>
              <w:ind w:left="525"/>
              <w:jc w:val="left"/>
            </w:pPr>
            <w:r>
              <w:rPr>
                <w:rFonts w:ascii="仿宋_GB2312" w:hAnsi="仿宋_GB2312" w:eastAsia="仿宋_GB2312" w:cs="仿宋_GB2312"/>
                <w:color w:val="000000"/>
                <w:sz w:val="24"/>
              </w:rPr>
              <w:t>（1）交货期：自合同签订生效之日起30日历天内完成供货、安装调试，交付采购人验收。</w:t>
            </w:r>
          </w:p>
          <w:p w14:paraId="18799DC5">
            <w:pPr>
              <w:pStyle w:val="4"/>
              <w:ind w:left="30" w:right="15" w:firstLine="491"/>
              <w:jc w:val="left"/>
            </w:pPr>
            <w:r>
              <w:rPr>
                <w:rFonts w:ascii="仿宋_GB2312" w:hAnsi="仿宋_GB2312" w:eastAsia="仿宋_GB2312" w:cs="仿宋_GB2312"/>
                <w:color w:val="000000"/>
                <w:sz w:val="24"/>
              </w:rPr>
              <w:t>（2）质保期：3年，自验收合格之日起计算。</w:t>
            </w:r>
          </w:p>
          <w:p w14:paraId="6E91DBC5">
            <w:pPr>
              <w:pStyle w:val="4"/>
              <w:ind w:right="60" w:firstLine="492"/>
              <w:jc w:val="left"/>
            </w:pPr>
            <w:r>
              <w:rPr>
                <w:rFonts w:ascii="仿宋_GB2312" w:hAnsi="仿宋_GB2312" w:eastAsia="仿宋_GB2312" w:cs="仿宋_GB2312"/>
                <w:color w:val="000000"/>
                <w:sz w:val="24"/>
              </w:rPr>
              <w:t>（3）质量验收标准或规范：符合现行国家标准。</w:t>
            </w:r>
          </w:p>
          <w:p w14:paraId="2CCA270E">
            <w:pPr>
              <w:pStyle w:val="4"/>
              <w:ind w:right="60" w:firstLine="492"/>
              <w:jc w:val="left"/>
            </w:pPr>
            <w:r>
              <w:rPr>
                <w:rFonts w:ascii="仿宋_GB2312" w:hAnsi="仿宋_GB2312" w:eastAsia="仿宋_GB2312" w:cs="仿宋_GB2312"/>
                <w:color w:val="000000"/>
                <w:sz w:val="24"/>
              </w:rPr>
              <w:t>（4）质量保证：1、供应商提供的设备(产品)及材料必须保证质量可靠，进货渠道正常，配置合理齐全，应全面满足采购文件的要求，采购文件未明确要求的内容，采购人须按设备(产品)国家标准配置或以采购人的补充要求为准。所供设备(产品)工艺质量应严格按国家最新发布的规范标准执行，如发生质量问题由供应商承担全部责任。2、供应商提供的设备必须为全新未使用过的，符合国家最新规范标准，进货渠道正常，配置合理齐全。如发生质量问题由供应商承担全部责任。</w:t>
            </w:r>
          </w:p>
          <w:p w14:paraId="0BD951A0">
            <w:pPr>
              <w:pStyle w:val="4"/>
              <w:ind w:right="60" w:firstLine="492"/>
              <w:jc w:val="left"/>
            </w:pPr>
            <w:r>
              <w:rPr>
                <w:rFonts w:ascii="仿宋_GB2312" w:hAnsi="仿宋_GB2312" w:eastAsia="仿宋_GB2312" w:cs="仿宋_GB2312"/>
                <w:color w:val="000000"/>
                <w:sz w:val="24"/>
              </w:rPr>
              <w:t>（5）验收标准：由采购人组建的验收小组和供应商共同对项目整体进行验收。其内容包括确认设备(产品)的产地、规格、型号和数量，对其设备(产品)技术指标、性能参数以及货物质量是否达到现行国家有关验收规范“合格</w:t>
            </w:r>
            <w:r>
              <w:rPr>
                <w:rFonts w:ascii="仿宋_GB2312" w:hAnsi="仿宋_GB2312" w:eastAsia="仿宋_GB2312" w:cs="仿宋_GB2312"/>
              </w:rPr>
              <w:t xml:space="preserve"> </w:t>
            </w:r>
            <w:r>
              <w:rPr>
                <w:rFonts w:ascii="仿宋_GB2312" w:hAnsi="仿宋_GB2312" w:eastAsia="仿宋_GB2312" w:cs="仿宋_GB2312"/>
                <w:color w:val="000000"/>
                <w:sz w:val="24"/>
              </w:rPr>
              <w:t>”标准进行逐项检查，并提供中国强制性产品认证证书。</w:t>
            </w:r>
          </w:p>
          <w:p w14:paraId="5860B434">
            <w:pPr>
              <w:pStyle w:val="4"/>
              <w:ind w:right="60" w:firstLine="476"/>
              <w:jc w:val="left"/>
            </w:pPr>
            <w:r>
              <w:rPr>
                <w:rFonts w:ascii="仿宋_GB2312" w:hAnsi="仿宋_GB2312" w:eastAsia="仿宋_GB2312" w:cs="仿宋_GB2312"/>
                <w:color w:val="000000"/>
                <w:sz w:val="24"/>
              </w:rPr>
              <w:t>1.所验设备(产品)的指标、性能参数通过验收达不到谈判文件要求和响应文件承诺的，将视为设备(产品)验收不合格，供应商应无条件免费更换或退货。</w:t>
            </w:r>
          </w:p>
          <w:p w14:paraId="5C1FA352">
            <w:pPr>
              <w:pStyle w:val="4"/>
              <w:ind w:right="90" w:firstLine="472"/>
              <w:jc w:val="left"/>
            </w:pPr>
            <w:r>
              <w:rPr>
                <w:rFonts w:ascii="仿宋_GB2312" w:hAnsi="仿宋_GB2312" w:eastAsia="仿宋_GB2312" w:cs="仿宋_GB2312"/>
                <w:color w:val="000000"/>
                <w:sz w:val="24"/>
              </w:rPr>
              <w:t>2.若发现供应商有弄虚作假的，在谈判阶段故意或随意夸大设备(产品)技术性能，供应商应无条件退货，并赔偿采购人相应的损失，及相应法律责任。</w:t>
            </w:r>
          </w:p>
          <w:p w14:paraId="7F802BAF">
            <w:pPr>
              <w:pStyle w:val="4"/>
              <w:ind w:firstLine="476"/>
              <w:jc w:val="left"/>
            </w:pPr>
            <w:r>
              <w:rPr>
                <w:rFonts w:ascii="仿宋_GB2312" w:hAnsi="仿宋_GB2312" w:eastAsia="仿宋_GB2312" w:cs="仿宋_GB2312"/>
                <w:color w:val="000000"/>
                <w:sz w:val="24"/>
              </w:rPr>
              <w:t>3.验收合格后，填写验收单，双方签字生效。</w:t>
            </w:r>
          </w:p>
          <w:p w14:paraId="2A1C61A1">
            <w:pPr>
              <w:pStyle w:val="4"/>
              <w:ind w:firstLine="480"/>
              <w:jc w:val="both"/>
            </w:pPr>
            <w:r>
              <w:rPr>
                <w:rFonts w:ascii="仿宋_GB2312" w:hAnsi="仿宋_GB2312" w:eastAsia="仿宋_GB2312" w:cs="仿宋_GB2312"/>
                <w:color w:val="000000"/>
                <w:sz w:val="24"/>
              </w:rPr>
              <w:t>4.验收依据：a)合同文本；b)响应文件及澄清函、谈判文件；c)国家和行业制定的相应的标准和规范。d)设备(产品)验收清单（注明各部件的品名、数量、规格型号和原产地或生产厂家)。</w:t>
            </w:r>
          </w:p>
        </w:tc>
      </w:tr>
    </w:tbl>
    <w:p w14:paraId="7C1FC2E0">
      <w:pPr>
        <w:rPr>
          <w:rFonts w:hint="eastAsia"/>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6AA97E9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1</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2026-09-07T02:44:42Z</dcterms:created>
  <dc:creator>Administrator</dc:creator>
  <cp:lastModifiedBy>QQQQ</cp:lastModifiedBy>
  <dcterms:modified xsi:type="dcterms:W3CDTF">2026-09-07T02:46:27Z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eyJoZGlkIjoiNmZlMDQwN2NiMDE0ZGM3OGQyMjI2MGI5NGMzYzk3YjEiLCJ1c2VySWQiOiIzODkzMjE1NzcifQ==</vt:lpwstr>
  </property>
  <property fmtid="{D5CDD505-2E9C-101B-9397-08002B2CF9AE}" pid="4" name="ICV">
    <vt:lpwstr>611452BA7D514530A41F19B8FBB74FB8_12</vt:lpwstr>
  </property>
</Properties>
</file>