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C57374">
      <w:pPr>
        <w:pStyle w:val="2"/>
        <w:bidi w:val="0"/>
        <w:rPr>
          <w:rFonts w:hint="eastAsia"/>
        </w:rPr>
      </w:pPr>
      <w:r>
        <w:rPr>
          <w:rFonts w:hint="eastAsia"/>
        </w:rPr>
        <w:t xml:space="preserve"> </w:t>
      </w:r>
      <w:bookmarkStart w:id="0" w:name="_Toc20365"/>
      <w:bookmarkStart w:id="1" w:name="_Toc48834545"/>
      <w:bookmarkStart w:id="2" w:name="_Toc14082138"/>
      <w:bookmarkStart w:id="3" w:name="_Toc48834107"/>
      <w:bookmarkStart w:id="4" w:name="_Toc48834466"/>
      <w:bookmarkStart w:id="5" w:name="_Toc48834304"/>
      <w:bookmarkStart w:id="6" w:name="_Toc48834177"/>
      <w:r>
        <w:t>磋商内容及采购</w:t>
      </w:r>
      <w:r>
        <w:rPr>
          <w:rFonts w:hint="eastAsia"/>
        </w:rPr>
        <w:t>需</w:t>
      </w:r>
      <w:r>
        <w:t>求</w:t>
      </w:r>
      <w:bookmarkEnd w:id="0"/>
      <w:bookmarkEnd w:id="1"/>
      <w:bookmarkEnd w:id="2"/>
      <w:bookmarkEnd w:id="3"/>
      <w:bookmarkEnd w:id="4"/>
      <w:bookmarkEnd w:id="5"/>
      <w:bookmarkEnd w:id="6"/>
    </w:p>
    <w:p w14:paraId="4A5FB269">
      <w:pPr>
        <w:keepNext w:val="0"/>
        <w:keepLines w:val="0"/>
        <w:widowControl w:val="0"/>
        <w:numPr>
          <w:ilvl w:val="0"/>
          <w:numId w:val="0"/>
        </w:numPr>
        <w:snapToGrid w:val="0"/>
        <w:spacing w:line="300" w:lineRule="auto"/>
        <w:ind w:firstLine="562" w:firstLineChars="200"/>
        <w:rPr>
          <w:rFonts w:hint="eastAsia" w:ascii="仿宋" w:hAnsi="仿宋" w:eastAsia="仿宋" w:cs="仿宋"/>
          <w:b/>
          <w:bCs/>
          <w:kern w:val="2"/>
          <w:sz w:val="28"/>
          <w:szCs w:val="28"/>
          <w:highlight w:val="none"/>
        </w:rPr>
      </w:pPr>
      <w:r>
        <w:rPr>
          <w:rFonts w:hint="eastAsia" w:ascii="仿宋" w:hAnsi="仿宋" w:eastAsia="仿宋" w:cs="仿宋"/>
          <w:b/>
          <w:bCs/>
          <w:kern w:val="2"/>
          <w:sz w:val="28"/>
          <w:szCs w:val="28"/>
          <w:highlight w:val="none"/>
        </w:rPr>
        <w:t>1</w:t>
      </w:r>
      <w:r>
        <w:rPr>
          <w:rFonts w:hint="eastAsia" w:ascii="仿宋" w:hAnsi="仿宋" w:eastAsia="仿宋" w:cs="仿宋"/>
          <w:b/>
          <w:bCs/>
          <w:kern w:val="2"/>
          <w:sz w:val="28"/>
          <w:szCs w:val="28"/>
          <w:highlight w:val="none"/>
          <w:lang w:val="en-US" w:eastAsia="zh-CN"/>
        </w:rPr>
        <w:t>.</w:t>
      </w:r>
      <w:r>
        <w:rPr>
          <w:rFonts w:hint="eastAsia" w:ascii="仿宋" w:hAnsi="仿宋" w:eastAsia="仿宋" w:cs="仿宋"/>
          <w:b/>
          <w:bCs/>
          <w:kern w:val="2"/>
          <w:sz w:val="28"/>
          <w:szCs w:val="28"/>
          <w:highlight w:val="none"/>
        </w:rPr>
        <w:t>项目基本情况</w:t>
      </w:r>
    </w:p>
    <w:p w14:paraId="52395BDF">
      <w:pPr>
        <w:widowControl/>
        <w:autoSpaceDE w:val="0"/>
        <w:autoSpaceDN w:val="0"/>
        <w:snapToGrid w:val="0"/>
        <w:spacing w:line="300" w:lineRule="auto"/>
        <w:ind w:firstLine="562" w:firstLineChars="200"/>
        <w:jc w:val="both"/>
        <w:outlineLvl w:val="2"/>
        <w:rPr>
          <w:rFonts w:hint="eastAsia" w:ascii="仿宋" w:hAnsi="仿宋" w:eastAsia="仿宋" w:cs="仿宋"/>
          <w:b/>
          <w:bCs/>
          <w:kern w:val="2"/>
          <w:sz w:val="28"/>
          <w:szCs w:val="28"/>
          <w:highlight w:val="none"/>
          <w:lang w:val="en-US" w:eastAsia="zh-CN" w:bidi="ar-SA"/>
        </w:rPr>
      </w:pPr>
      <w:r>
        <w:rPr>
          <w:rFonts w:hint="eastAsia" w:ascii="仿宋" w:hAnsi="仿宋" w:eastAsia="仿宋" w:cs="仿宋"/>
          <w:b/>
          <w:bCs/>
          <w:kern w:val="2"/>
          <w:sz w:val="28"/>
          <w:szCs w:val="28"/>
          <w:highlight w:val="none"/>
          <w:lang w:val="en-US" w:eastAsia="zh-CN" w:bidi="ar-SA"/>
        </w:rPr>
        <w:t>1.1物业情况</w:t>
      </w:r>
    </w:p>
    <w:tbl>
      <w:tblPr>
        <w:tblStyle w:val="4"/>
        <w:tblW w:w="449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30"/>
        <w:gridCol w:w="4324"/>
      </w:tblGrid>
      <w:tr w14:paraId="5B308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629" w:type="dxa"/>
            <w:noWrap w:val="0"/>
            <w:vAlign w:val="center"/>
          </w:tcPr>
          <w:p w14:paraId="51B0B751">
            <w:pPr>
              <w:keepNext w:val="0"/>
              <w:keepLines w:val="0"/>
              <w:pageBreakBefore w:val="0"/>
              <w:widowControl w:val="0"/>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sz w:val="28"/>
                <w:szCs w:val="28"/>
                <w:highlight w:val="none"/>
              </w:rPr>
              <w:t>物业名称</w:t>
            </w:r>
          </w:p>
        </w:tc>
        <w:tc>
          <w:tcPr>
            <w:tcW w:w="4712" w:type="dxa"/>
            <w:noWrap w:val="0"/>
            <w:vAlign w:val="center"/>
          </w:tcPr>
          <w:p w14:paraId="4BA5325D">
            <w:pPr>
              <w:keepNext w:val="0"/>
              <w:keepLines w:val="0"/>
              <w:pageBreakBefore w:val="0"/>
              <w:widowControl w:val="0"/>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物业地址</w:t>
            </w:r>
          </w:p>
        </w:tc>
      </w:tr>
      <w:tr w14:paraId="10004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629" w:type="dxa"/>
            <w:noWrap w:val="0"/>
            <w:vAlign w:val="center"/>
          </w:tcPr>
          <w:p w14:paraId="61DC13C5">
            <w:pPr>
              <w:keepNext w:val="0"/>
              <w:keepLines w:val="0"/>
              <w:pageBreakBefore w:val="0"/>
              <w:widowControl w:val="0"/>
              <w:kinsoku/>
              <w:wordWrap/>
              <w:overflowPunct/>
              <w:topLinePunct w:val="0"/>
              <w:autoSpaceDE/>
              <w:autoSpaceDN/>
              <w:bidi w:val="0"/>
              <w:adjustRightInd/>
              <w:snapToGrid w:val="0"/>
              <w:spacing w:line="240" w:lineRule="auto"/>
              <w:ind w:left="0" w:leftChars="0" w:firstLine="0" w:firstLineChars="0"/>
              <w:jc w:val="center"/>
              <w:textAlignment w:val="auto"/>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中共神木市委党校（神木市行政学校）物业服务</w:t>
            </w:r>
          </w:p>
        </w:tc>
        <w:tc>
          <w:tcPr>
            <w:tcW w:w="4712" w:type="dxa"/>
            <w:noWrap w:val="0"/>
            <w:vAlign w:val="center"/>
          </w:tcPr>
          <w:p w14:paraId="460D77CE">
            <w:pPr>
              <w:keepNext w:val="0"/>
              <w:keepLines w:val="0"/>
              <w:pageBreakBefore w:val="0"/>
              <w:widowControl w:val="0"/>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神木市滨河新区尚德路3号</w:t>
            </w:r>
          </w:p>
        </w:tc>
      </w:tr>
    </w:tbl>
    <w:p w14:paraId="2DB18CEF">
      <w:pPr>
        <w:widowControl w:val="0"/>
        <w:bidi w:val="0"/>
        <w:snapToGrid w:val="0"/>
        <w:spacing w:line="300" w:lineRule="auto"/>
        <w:ind w:firstLine="562" w:firstLineChars="200"/>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1.2采购人提供供应商使用的场地、设施、设备、材料等</w:t>
      </w:r>
    </w:p>
    <w:p w14:paraId="1116D7E3">
      <w:pPr>
        <w:widowControl w:val="0"/>
        <w:bidi w:val="0"/>
        <w:snapToGrid w:val="0"/>
        <w:spacing w:line="30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（1）采购人可提供的办公室，1间，面积为30平方米；</w:t>
      </w:r>
    </w:p>
    <w:p w14:paraId="30702C75">
      <w:pPr>
        <w:widowControl w:val="0"/>
        <w:bidi w:val="0"/>
        <w:snapToGrid w:val="0"/>
        <w:spacing w:line="30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（2）采购人可提供的住宿，房间数量3间、床位数量3张；</w:t>
      </w:r>
    </w:p>
    <w:p w14:paraId="02C422DA">
      <w:pPr>
        <w:widowControl w:val="0"/>
        <w:bidi w:val="0"/>
        <w:snapToGrid w:val="0"/>
        <w:spacing w:line="30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供应商应当承担除以上所列场地、设施、设备、材料外，与物业管理服务有关的其他场地、设施、设备、材料等。</w:t>
      </w:r>
    </w:p>
    <w:p w14:paraId="18121744">
      <w:pPr>
        <w:widowControl w:val="0"/>
        <w:bidi w:val="0"/>
        <w:snapToGrid w:val="0"/>
        <w:spacing w:line="300" w:lineRule="auto"/>
        <w:ind w:firstLine="562" w:firstLineChars="200"/>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2.物业服务范围</w:t>
      </w:r>
    </w:p>
    <w:p w14:paraId="55435E20">
      <w:pPr>
        <w:widowControl w:val="0"/>
        <w:bidi w:val="0"/>
        <w:snapToGrid w:val="0"/>
        <w:spacing w:line="300" w:lineRule="auto"/>
        <w:ind w:firstLine="562" w:firstLineChars="200"/>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（1）物业管理（建筑物）</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9"/>
        <w:gridCol w:w="1399"/>
        <w:gridCol w:w="4447"/>
        <w:gridCol w:w="1747"/>
      </w:tblGrid>
      <w:tr w14:paraId="63D55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0" w:type="auto"/>
            <w:gridSpan w:val="2"/>
            <w:noWrap w:val="0"/>
            <w:vAlign w:val="center"/>
          </w:tcPr>
          <w:p w14:paraId="29AAA906">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b/>
                <w:bCs/>
                <w:color w:val="auto"/>
                <w:sz w:val="21"/>
                <w:szCs w:val="21"/>
                <w:highlight w:val="none"/>
              </w:rPr>
            </w:pPr>
            <w:r>
              <w:rPr>
                <w:rFonts w:hint="eastAsia" w:ascii="仿宋" w:hAnsi="仿宋" w:eastAsia="仿宋" w:cs="仿宋"/>
                <w:b/>
                <w:bCs/>
                <w:sz w:val="21"/>
                <w:szCs w:val="21"/>
                <w:highlight w:val="none"/>
                <w:lang w:val="en-US" w:eastAsia="zh-CN"/>
              </w:rPr>
              <w:t>名称</w:t>
            </w:r>
          </w:p>
        </w:tc>
        <w:tc>
          <w:tcPr>
            <w:tcW w:w="0" w:type="auto"/>
            <w:noWrap w:val="0"/>
            <w:vAlign w:val="center"/>
          </w:tcPr>
          <w:p w14:paraId="7C0C3BE9">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b/>
                <w:bCs/>
                <w:color w:val="auto"/>
                <w:sz w:val="21"/>
                <w:szCs w:val="21"/>
                <w:highlight w:val="none"/>
                <w:lang w:eastAsia="zh-CN"/>
              </w:rPr>
            </w:pPr>
            <w:r>
              <w:rPr>
                <w:rFonts w:hint="eastAsia" w:ascii="仿宋" w:hAnsi="仿宋" w:eastAsia="仿宋" w:cs="仿宋"/>
                <w:b/>
                <w:bCs/>
                <w:sz w:val="21"/>
                <w:szCs w:val="21"/>
                <w:highlight w:val="none"/>
              </w:rPr>
              <w:t>明细</w:t>
            </w:r>
          </w:p>
        </w:tc>
        <w:tc>
          <w:tcPr>
            <w:tcW w:w="0" w:type="auto"/>
            <w:noWrap w:val="0"/>
            <w:vAlign w:val="center"/>
          </w:tcPr>
          <w:p w14:paraId="7377B6EC">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服务内容及标准</w:t>
            </w:r>
          </w:p>
        </w:tc>
      </w:tr>
      <w:tr w14:paraId="3505A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0" w:type="auto"/>
            <w:gridSpan w:val="2"/>
            <w:noWrap w:val="0"/>
            <w:vAlign w:val="center"/>
          </w:tcPr>
          <w:p w14:paraId="04C6D95D">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中共神木市委党校</w:t>
            </w:r>
          </w:p>
        </w:tc>
        <w:tc>
          <w:tcPr>
            <w:tcW w:w="0" w:type="auto"/>
            <w:noWrap w:val="0"/>
            <w:vAlign w:val="center"/>
          </w:tcPr>
          <w:p w14:paraId="66DC3197">
            <w:pPr>
              <w:keepNext w:val="0"/>
              <w:keepLines w:val="0"/>
              <w:pageBreakBefore w:val="0"/>
              <w:widowControl w:val="0"/>
              <w:kinsoku/>
              <w:wordWrap/>
              <w:overflowPunct/>
              <w:topLinePunct w:val="0"/>
              <w:autoSpaceDE/>
              <w:autoSpaceDN/>
              <w:bidi w:val="0"/>
              <w:adjustRightInd/>
              <w:snapToGrid w:val="0"/>
              <w:spacing w:line="300" w:lineRule="auto"/>
              <w:ind w:firstLine="420" w:firstLineChars="200"/>
              <w:jc w:val="center"/>
              <w:textAlignment w:val="auto"/>
              <w:rPr>
                <w:rFonts w:hint="eastAsia" w:ascii="仿宋" w:hAnsi="仿宋" w:eastAsia="仿宋" w:cs="仿宋"/>
                <w:color w:val="auto"/>
                <w:sz w:val="21"/>
                <w:szCs w:val="21"/>
                <w:highlight w:val="none"/>
                <w:lang w:val="en-US" w:eastAsia="zh-CN"/>
              </w:rPr>
            </w:pPr>
          </w:p>
        </w:tc>
        <w:tc>
          <w:tcPr>
            <w:tcW w:w="0" w:type="auto"/>
            <w:noWrap w:val="0"/>
            <w:vAlign w:val="center"/>
          </w:tcPr>
          <w:p w14:paraId="0EDB5085">
            <w:pPr>
              <w:keepNext w:val="0"/>
              <w:keepLines w:val="0"/>
              <w:pageBreakBefore w:val="0"/>
              <w:widowControl w:val="0"/>
              <w:kinsoku/>
              <w:wordWrap/>
              <w:overflowPunct/>
              <w:topLinePunct w:val="0"/>
              <w:autoSpaceDE/>
              <w:autoSpaceDN/>
              <w:bidi w:val="0"/>
              <w:adjustRightInd/>
              <w:snapToGrid w:val="0"/>
              <w:spacing w:line="300" w:lineRule="auto"/>
              <w:ind w:firstLine="420" w:firstLineChars="200"/>
              <w:jc w:val="center"/>
              <w:textAlignment w:val="auto"/>
              <w:rPr>
                <w:rFonts w:hint="eastAsia" w:ascii="仿宋" w:hAnsi="仿宋" w:eastAsia="仿宋" w:cs="仿宋"/>
                <w:sz w:val="21"/>
                <w:szCs w:val="21"/>
                <w:highlight w:val="none"/>
                <w:lang w:val="en-US" w:eastAsia="zh-CN"/>
              </w:rPr>
            </w:pPr>
          </w:p>
        </w:tc>
      </w:tr>
      <w:tr w14:paraId="4A5A2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0" w:type="auto"/>
            <w:vMerge w:val="restart"/>
            <w:noWrap w:val="0"/>
            <w:vAlign w:val="center"/>
          </w:tcPr>
          <w:p w14:paraId="518EC82C">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1"/>
                <w:szCs w:val="21"/>
                <w:highlight w:val="none"/>
              </w:rPr>
            </w:pPr>
            <w:r>
              <w:rPr>
                <w:rFonts w:hint="eastAsia" w:ascii="仿宋" w:hAnsi="仿宋" w:eastAsia="仿宋" w:cs="仿宋"/>
                <w:sz w:val="21"/>
                <w:szCs w:val="21"/>
                <w:highlight w:val="none"/>
                <w:lang w:val="en-US" w:eastAsia="zh-CN"/>
              </w:rPr>
              <w:t>总面积</w:t>
            </w:r>
          </w:p>
        </w:tc>
        <w:tc>
          <w:tcPr>
            <w:tcW w:w="0" w:type="auto"/>
            <w:noWrap w:val="0"/>
            <w:vAlign w:val="center"/>
          </w:tcPr>
          <w:p w14:paraId="06B5CD4A">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sz w:val="21"/>
                <w:szCs w:val="21"/>
                <w:highlight w:val="none"/>
              </w:rPr>
              <w:t>建筑面积</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w:t>
            </w:r>
            <w:r>
              <w:rPr>
                <w:rFonts w:hint="eastAsia" w:ascii="仿宋" w:hAnsi="仿宋" w:eastAsia="仿宋" w:cs="仿宋"/>
                <w:sz w:val="21"/>
                <w:szCs w:val="21"/>
                <w:highlight w:val="none"/>
                <w:lang w:eastAsia="zh-CN"/>
              </w:rPr>
              <w:t>）</w:t>
            </w:r>
          </w:p>
        </w:tc>
        <w:tc>
          <w:tcPr>
            <w:tcW w:w="0" w:type="auto"/>
            <w:noWrap w:val="0"/>
            <w:vAlign w:val="center"/>
          </w:tcPr>
          <w:p w14:paraId="08460E45">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14129.30平方米</w:t>
            </w:r>
          </w:p>
        </w:tc>
        <w:tc>
          <w:tcPr>
            <w:tcW w:w="0" w:type="auto"/>
            <w:noWrap w:val="0"/>
            <w:vAlign w:val="center"/>
          </w:tcPr>
          <w:p w14:paraId="5A817618">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仿宋" w:hAnsi="仿宋" w:eastAsia="仿宋" w:cs="仿宋"/>
                <w:sz w:val="21"/>
                <w:szCs w:val="21"/>
                <w:highlight w:val="none"/>
                <w:lang w:val="en-US" w:eastAsia="zh-CN"/>
              </w:rPr>
            </w:pPr>
            <w:r>
              <w:rPr>
                <w:rFonts w:hint="eastAsia" w:ascii="仿宋" w:hAnsi="仿宋" w:eastAsia="仿宋" w:cs="仿宋"/>
                <w:color w:val="auto"/>
                <w:sz w:val="21"/>
                <w:szCs w:val="21"/>
                <w:highlight w:val="none"/>
                <w:lang w:val="en-US" w:eastAsia="zh-CN"/>
              </w:rPr>
              <w:t>见“3.6保安服务”</w:t>
            </w:r>
          </w:p>
        </w:tc>
      </w:tr>
      <w:tr w14:paraId="60596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0" w:type="auto"/>
            <w:vMerge w:val="continue"/>
            <w:noWrap w:val="0"/>
            <w:vAlign w:val="center"/>
          </w:tcPr>
          <w:p w14:paraId="7F84947B">
            <w:pPr>
              <w:keepNext w:val="0"/>
              <w:keepLines w:val="0"/>
              <w:pageBreakBefore w:val="0"/>
              <w:widowControl w:val="0"/>
              <w:kinsoku/>
              <w:wordWrap/>
              <w:overflowPunct/>
              <w:topLinePunct w:val="0"/>
              <w:autoSpaceDE/>
              <w:autoSpaceDN/>
              <w:bidi w:val="0"/>
              <w:adjustRightInd/>
              <w:snapToGrid w:val="0"/>
              <w:spacing w:line="300" w:lineRule="auto"/>
              <w:ind w:left="0" w:firstLine="0" w:firstLineChars="0"/>
              <w:jc w:val="center"/>
              <w:textAlignment w:val="auto"/>
              <w:rPr>
                <w:rFonts w:hint="eastAsia" w:ascii="仿宋" w:hAnsi="仿宋" w:eastAsia="仿宋" w:cs="仿宋"/>
                <w:color w:val="auto"/>
                <w:sz w:val="21"/>
                <w:szCs w:val="21"/>
                <w:highlight w:val="none"/>
              </w:rPr>
            </w:pPr>
          </w:p>
        </w:tc>
        <w:tc>
          <w:tcPr>
            <w:tcW w:w="0" w:type="auto"/>
            <w:noWrap w:val="0"/>
            <w:vAlign w:val="center"/>
          </w:tcPr>
          <w:p w14:paraId="546BD74F">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sz w:val="21"/>
                <w:szCs w:val="21"/>
                <w:highlight w:val="none"/>
              </w:rPr>
              <w:t>需保洁面积</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w:t>
            </w:r>
            <w:r>
              <w:rPr>
                <w:rFonts w:hint="eastAsia" w:ascii="仿宋" w:hAnsi="仿宋" w:eastAsia="仿宋" w:cs="仿宋"/>
                <w:sz w:val="21"/>
                <w:szCs w:val="21"/>
                <w:highlight w:val="none"/>
                <w:lang w:eastAsia="zh-CN"/>
              </w:rPr>
              <w:t>）</w:t>
            </w:r>
          </w:p>
        </w:tc>
        <w:tc>
          <w:tcPr>
            <w:tcW w:w="0" w:type="auto"/>
            <w:noWrap w:val="0"/>
            <w:vAlign w:val="center"/>
          </w:tcPr>
          <w:p w14:paraId="780FB5F7">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14129.30平方米</w:t>
            </w:r>
          </w:p>
        </w:tc>
        <w:tc>
          <w:tcPr>
            <w:tcW w:w="0" w:type="auto"/>
            <w:noWrap w:val="0"/>
            <w:vAlign w:val="center"/>
          </w:tcPr>
          <w:p w14:paraId="4CE81790">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见“3.4保洁服务”</w:t>
            </w:r>
          </w:p>
        </w:tc>
      </w:tr>
      <w:tr w14:paraId="480F6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0" w:type="auto"/>
            <w:noWrap w:val="0"/>
            <w:vAlign w:val="center"/>
          </w:tcPr>
          <w:p w14:paraId="4E4ED7A4">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1"/>
                <w:szCs w:val="21"/>
                <w:highlight w:val="none"/>
              </w:rPr>
            </w:pPr>
            <w:r>
              <w:rPr>
                <w:rFonts w:hint="eastAsia" w:ascii="仿宋" w:hAnsi="仿宋" w:eastAsia="仿宋" w:cs="仿宋"/>
                <w:sz w:val="21"/>
                <w:szCs w:val="21"/>
                <w:highlight w:val="none"/>
                <w:lang w:val="en-US" w:eastAsia="zh-CN"/>
              </w:rPr>
              <w:t>门窗</w:t>
            </w:r>
          </w:p>
        </w:tc>
        <w:tc>
          <w:tcPr>
            <w:tcW w:w="0" w:type="auto"/>
            <w:noWrap w:val="0"/>
            <w:vAlign w:val="center"/>
          </w:tcPr>
          <w:p w14:paraId="16E5A95B">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kern w:val="2"/>
                <w:sz w:val="21"/>
                <w:szCs w:val="21"/>
                <w:highlight w:val="none"/>
                <w:lang w:val="en-US" w:eastAsia="zh-CN" w:bidi="ar-SA"/>
              </w:rPr>
            </w:pPr>
            <w:r>
              <w:rPr>
                <w:rFonts w:hint="eastAsia" w:ascii="仿宋" w:hAnsi="仿宋" w:eastAsia="仿宋" w:cs="仿宋"/>
                <w:sz w:val="21"/>
                <w:szCs w:val="21"/>
                <w:highlight w:val="none"/>
                <w:lang w:val="en-US" w:eastAsia="zh-CN"/>
              </w:rPr>
              <w:t>门窗总数量（个）及总面积</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w:t>
            </w:r>
            <w:r>
              <w:rPr>
                <w:rFonts w:hint="eastAsia" w:ascii="仿宋" w:hAnsi="仿宋" w:eastAsia="仿宋" w:cs="仿宋"/>
                <w:sz w:val="21"/>
                <w:szCs w:val="21"/>
                <w:highlight w:val="none"/>
                <w:lang w:eastAsia="zh-CN"/>
              </w:rPr>
              <w:t>）</w:t>
            </w:r>
          </w:p>
        </w:tc>
        <w:tc>
          <w:tcPr>
            <w:tcW w:w="0" w:type="auto"/>
            <w:noWrap w:val="0"/>
            <w:vAlign w:val="center"/>
          </w:tcPr>
          <w:p w14:paraId="64718975">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门窗267个、总面积1878平方米</w:t>
            </w:r>
          </w:p>
        </w:tc>
        <w:tc>
          <w:tcPr>
            <w:tcW w:w="0" w:type="auto"/>
            <w:noWrap w:val="0"/>
            <w:vAlign w:val="center"/>
          </w:tcPr>
          <w:p w14:paraId="610C7524">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仿宋" w:hAnsi="仿宋" w:eastAsia="仿宋" w:cs="仿宋"/>
                <w:sz w:val="21"/>
                <w:szCs w:val="21"/>
                <w:highlight w:val="none"/>
                <w:lang w:val="en-US" w:eastAsia="zh-CN"/>
              </w:rPr>
            </w:pPr>
            <w:r>
              <w:rPr>
                <w:rFonts w:hint="eastAsia" w:ascii="仿宋" w:hAnsi="仿宋" w:eastAsia="仿宋" w:cs="仿宋"/>
                <w:color w:val="auto"/>
                <w:kern w:val="2"/>
                <w:sz w:val="21"/>
                <w:szCs w:val="21"/>
                <w:highlight w:val="none"/>
                <w:lang w:val="en-US" w:eastAsia="zh-CN" w:bidi="ar-SA"/>
              </w:rPr>
              <w:t>见“3.2房屋维护服务”“3.4保洁服务”</w:t>
            </w:r>
          </w:p>
        </w:tc>
      </w:tr>
      <w:tr w14:paraId="15EFD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0" w:type="auto"/>
            <w:noWrap w:val="0"/>
            <w:vAlign w:val="center"/>
          </w:tcPr>
          <w:p w14:paraId="0E5826F1">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1"/>
                <w:szCs w:val="21"/>
                <w:highlight w:val="none"/>
              </w:rPr>
            </w:pPr>
            <w:r>
              <w:rPr>
                <w:rFonts w:hint="eastAsia" w:ascii="仿宋" w:hAnsi="仿宋" w:eastAsia="仿宋" w:cs="仿宋"/>
                <w:sz w:val="21"/>
                <w:szCs w:val="21"/>
                <w:highlight w:val="none"/>
              </w:rPr>
              <w:t>地面</w:t>
            </w:r>
          </w:p>
        </w:tc>
        <w:tc>
          <w:tcPr>
            <w:tcW w:w="0" w:type="auto"/>
            <w:noWrap w:val="0"/>
            <w:vAlign w:val="center"/>
          </w:tcPr>
          <w:p w14:paraId="152D9BE9">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sz w:val="21"/>
                <w:szCs w:val="21"/>
                <w:highlight w:val="none"/>
              </w:rPr>
              <w:t>地面</w:t>
            </w:r>
            <w:r>
              <w:rPr>
                <w:rFonts w:hint="eastAsia" w:ascii="仿宋" w:hAnsi="仿宋" w:eastAsia="仿宋" w:cs="仿宋"/>
                <w:sz w:val="21"/>
                <w:szCs w:val="21"/>
                <w:highlight w:val="none"/>
                <w:lang w:val="en-US" w:eastAsia="zh-CN"/>
              </w:rPr>
              <w:t>各</w:t>
            </w:r>
            <w:r>
              <w:rPr>
                <w:rFonts w:hint="eastAsia" w:ascii="仿宋" w:hAnsi="仿宋" w:eastAsia="仿宋" w:cs="仿宋"/>
                <w:sz w:val="21"/>
                <w:szCs w:val="21"/>
                <w:highlight w:val="none"/>
              </w:rPr>
              <w:t>材质</w:t>
            </w:r>
            <w:r>
              <w:rPr>
                <w:rFonts w:hint="eastAsia" w:ascii="仿宋" w:hAnsi="仿宋" w:eastAsia="仿宋" w:cs="仿宋"/>
                <w:sz w:val="21"/>
                <w:szCs w:val="21"/>
                <w:highlight w:val="none"/>
                <w:lang w:val="en-US" w:eastAsia="zh-CN"/>
              </w:rPr>
              <w:t>及总面积</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w:t>
            </w:r>
            <w:r>
              <w:rPr>
                <w:rFonts w:hint="eastAsia" w:ascii="仿宋" w:hAnsi="仿宋" w:eastAsia="仿宋" w:cs="仿宋"/>
                <w:sz w:val="21"/>
                <w:szCs w:val="21"/>
                <w:highlight w:val="none"/>
                <w:lang w:eastAsia="zh-CN"/>
              </w:rPr>
              <w:t>）</w:t>
            </w:r>
          </w:p>
        </w:tc>
        <w:tc>
          <w:tcPr>
            <w:tcW w:w="0" w:type="auto"/>
            <w:noWrap w:val="0"/>
            <w:vAlign w:val="center"/>
          </w:tcPr>
          <w:p w14:paraId="7BE570BF">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lef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sz w:val="21"/>
                <w:szCs w:val="21"/>
                <w:highlight w:val="none"/>
                <w:lang w:val="en-US" w:eastAsia="zh-CN"/>
              </w:rPr>
              <w:t>环氧地坪总面积564平方米、瓷砖总面积2600平方米、木地板总面积120平方米、地毯总面积30平方米、楼梯石材地总面积353平方米</w:t>
            </w:r>
          </w:p>
        </w:tc>
        <w:tc>
          <w:tcPr>
            <w:tcW w:w="0" w:type="auto"/>
            <w:noWrap w:val="0"/>
            <w:vAlign w:val="center"/>
          </w:tcPr>
          <w:p w14:paraId="751F9F59">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kern w:val="2"/>
                <w:sz w:val="21"/>
                <w:szCs w:val="21"/>
                <w:highlight w:val="none"/>
                <w:lang w:val="en-US" w:eastAsia="zh-CN" w:bidi="ar-SA"/>
              </w:rPr>
              <w:t>见“3.2房屋维护服务”“3.4保洁服务”</w:t>
            </w:r>
          </w:p>
        </w:tc>
      </w:tr>
      <w:tr w14:paraId="554E3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9" w:hRule="atLeast"/>
        </w:trPr>
        <w:tc>
          <w:tcPr>
            <w:tcW w:w="0" w:type="auto"/>
            <w:noWrap w:val="0"/>
            <w:vAlign w:val="center"/>
          </w:tcPr>
          <w:p w14:paraId="39BFD8F5">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b w:val="0"/>
                <w:bCs w:val="0"/>
                <w:sz w:val="21"/>
                <w:szCs w:val="21"/>
                <w:highlight w:val="none"/>
                <w:lang w:val="en-US" w:eastAsia="zh-CN"/>
              </w:rPr>
              <w:t>内墙饰面</w:t>
            </w:r>
          </w:p>
        </w:tc>
        <w:tc>
          <w:tcPr>
            <w:tcW w:w="0" w:type="auto"/>
            <w:noWrap w:val="0"/>
            <w:vAlign w:val="center"/>
          </w:tcPr>
          <w:p w14:paraId="1E6AF597">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kern w:val="2"/>
                <w:sz w:val="21"/>
                <w:szCs w:val="21"/>
                <w:highlight w:val="none"/>
                <w:lang w:val="en-US" w:eastAsia="zh-CN" w:bidi="ar-SA"/>
              </w:rPr>
            </w:pPr>
            <w:r>
              <w:rPr>
                <w:rFonts w:hint="eastAsia" w:ascii="仿宋" w:hAnsi="仿宋" w:eastAsia="仿宋" w:cs="仿宋"/>
                <w:b w:val="0"/>
                <w:bCs w:val="0"/>
                <w:sz w:val="21"/>
                <w:szCs w:val="21"/>
                <w:highlight w:val="none"/>
                <w:lang w:val="en-US" w:eastAsia="zh-CN"/>
              </w:rPr>
              <w:t>内墙饰面</w:t>
            </w:r>
            <w:r>
              <w:rPr>
                <w:rFonts w:hint="eastAsia" w:ascii="仿宋" w:hAnsi="仿宋" w:eastAsia="仿宋" w:cs="仿宋"/>
                <w:sz w:val="21"/>
                <w:szCs w:val="21"/>
                <w:highlight w:val="none"/>
                <w:lang w:val="en-US" w:eastAsia="zh-CN"/>
              </w:rPr>
              <w:t>各</w:t>
            </w:r>
            <w:r>
              <w:rPr>
                <w:rFonts w:hint="eastAsia" w:ascii="仿宋" w:hAnsi="仿宋" w:eastAsia="仿宋" w:cs="仿宋"/>
                <w:sz w:val="21"/>
                <w:szCs w:val="21"/>
                <w:highlight w:val="none"/>
              </w:rPr>
              <w:t>材质</w:t>
            </w:r>
            <w:r>
              <w:rPr>
                <w:rFonts w:hint="eastAsia" w:ascii="仿宋" w:hAnsi="仿宋" w:eastAsia="仿宋" w:cs="仿宋"/>
                <w:sz w:val="21"/>
                <w:szCs w:val="21"/>
                <w:highlight w:val="none"/>
                <w:lang w:val="en-US" w:eastAsia="zh-CN"/>
              </w:rPr>
              <w:t>及总面积（</w:t>
            </w:r>
            <w:r>
              <w:rPr>
                <w:rFonts w:hint="eastAsia" w:ascii="仿宋" w:hAnsi="仿宋" w:eastAsia="仿宋" w:cs="仿宋"/>
                <w:sz w:val="21"/>
                <w:szCs w:val="21"/>
                <w:highlight w:val="none"/>
              </w:rPr>
              <w:t>㎡</w:t>
            </w:r>
            <w:r>
              <w:rPr>
                <w:rFonts w:hint="eastAsia" w:ascii="仿宋" w:hAnsi="仿宋" w:eastAsia="仿宋" w:cs="仿宋"/>
                <w:sz w:val="21"/>
                <w:szCs w:val="21"/>
                <w:highlight w:val="none"/>
                <w:lang w:eastAsia="zh-CN"/>
              </w:rPr>
              <w:t>）</w:t>
            </w:r>
          </w:p>
        </w:tc>
        <w:tc>
          <w:tcPr>
            <w:tcW w:w="0" w:type="auto"/>
            <w:noWrap w:val="0"/>
            <w:vAlign w:val="center"/>
          </w:tcPr>
          <w:p w14:paraId="5B1FE9AB">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left"/>
              <w:textAlignment w:val="auto"/>
              <w:rPr>
                <w:rFonts w:hint="eastAsia" w:ascii="仿宋" w:hAnsi="仿宋" w:eastAsia="仿宋" w:cs="仿宋"/>
                <w:sz w:val="21"/>
                <w:szCs w:val="21"/>
                <w:highlight w:val="none"/>
                <w:lang w:val="en-US"/>
              </w:rPr>
            </w:pPr>
            <w:r>
              <w:rPr>
                <w:rFonts w:hint="eastAsia" w:ascii="仿宋" w:hAnsi="仿宋" w:eastAsia="仿宋" w:cs="仿宋"/>
                <w:b w:val="0"/>
                <w:bCs w:val="0"/>
                <w:sz w:val="21"/>
                <w:szCs w:val="21"/>
                <w:highlight w:val="none"/>
                <w:lang w:val="en-US" w:eastAsia="zh-CN"/>
              </w:rPr>
              <w:t>内墙饰面</w:t>
            </w:r>
            <w:r>
              <w:rPr>
                <w:rFonts w:hint="eastAsia" w:ascii="仿宋" w:hAnsi="仿宋" w:eastAsia="仿宋" w:cs="仿宋"/>
                <w:sz w:val="21"/>
                <w:szCs w:val="21"/>
                <w:highlight w:val="none"/>
                <w:lang w:val="en-US" w:eastAsia="zh-CN"/>
              </w:rPr>
              <w:t>乳胶漆总面积5320平方米、内饰木墙面积583平方米、墙纸总面积80平方米、泡沫亚克力墙总面积320平方米、内饰窗台面石材460平方米</w:t>
            </w:r>
          </w:p>
        </w:tc>
        <w:tc>
          <w:tcPr>
            <w:tcW w:w="0" w:type="auto"/>
            <w:noWrap w:val="0"/>
            <w:vAlign w:val="center"/>
          </w:tcPr>
          <w:p w14:paraId="47D14CAF">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kern w:val="2"/>
                <w:sz w:val="21"/>
                <w:szCs w:val="21"/>
                <w:highlight w:val="none"/>
                <w:lang w:val="en-US" w:eastAsia="zh-CN" w:bidi="ar-SA"/>
              </w:rPr>
              <w:t>见“3.2房屋维护服务”“3.4保洁服务”</w:t>
            </w:r>
          </w:p>
        </w:tc>
      </w:tr>
      <w:tr w14:paraId="1216C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1" w:hRule="atLeast"/>
        </w:trPr>
        <w:tc>
          <w:tcPr>
            <w:tcW w:w="0" w:type="auto"/>
            <w:noWrap w:val="0"/>
            <w:vAlign w:val="center"/>
          </w:tcPr>
          <w:p w14:paraId="5D4CF033">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顶面</w:t>
            </w:r>
          </w:p>
        </w:tc>
        <w:tc>
          <w:tcPr>
            <w:tcW w:w="0" w:type="auto"/>
            <w:noWrap w:val="0"/>
            <w:vAlign w:val="center"/>
          </w:tcPr>
          <w:p w14:paraId="7FA9D117">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sz w:val="21"/>
                <w:szCs w:val="21"/>
                <w:highlight w:val="none"/>
                <w:lang w:val="en-US" w:eastAsia="zh-CN"/>
              </w:rPr>
              <w:t>顶面各</w:t>
            </w:r>
            <w:r>
              <w:rPr>
                <w:rFonts w:hint="eastAsia" w:ascii="仿宋" w:hAnsi="仿宋" w:eastAsia="仿宋" w:cs="仿宋"/>
                <w:sz w:val="21"/>
                <w:szCs w:val="21"/>
                <w:highlight w:val="none"/>
              </w:rPr>
              <w:t>材质</w:t>
            </w:r>
            <w:r>
              <w:rPr>
                <w:rFonts w:hint="eastAsia" w:ascii="仿宋" w:hAnsi="仿宋" w:eastAsia="仿宋" w:cs="仿宋"/>
                <w:sz w:val="21"/>
                <w:szCs w:val="21"/>
                <w:highlight w:val="none"/>
                <w:lang w:val="en-US" w:eastAsia="zh-CN"/>
              </w:rPr>
              <w:t>及总面积</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w:t>
            </w:r>
            <w:r>
              <w:rPr>
                <w:rFonts w:hint="eastAsia" w:ascii="仿宋" w:hAnsi="仿宋" w:eastAsia="仿宋" w:cs="仿宋"/>
                <w:sz w:val="21"/>
                <w:szCs w:val="21"/>
                <w:highlight w:val="none"/>
                <w:lang w:eastAsia="zh-CN"/>
              </w:rPr>
              <w:t>）</w:t>
            </w:r>
          </w:p>
        </w:tc>
        <w:tc>
          <w:tcPr>
            <w:tcW w:w="0" w:type="auto"/>
            <w:noWrap w:val="0"/>
            <w:vAlign w:val="center"/>
          </w:tcPr>
          <w:p w14:paraId="48289C6D">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left"/>
              <w:textAlignment w:val="auto"/>
              <w:rPr>
                <w:rFonts w:hint="eastAsia" w:ascii="仿宋" w:hAnsi="仿宋" w:eastAsia="仿宋" w:cs="仿宋"/>
                <w:kern w:val="2"/>
                <w:sz w:val="21"/>
                <w:szCs w:val="21"/>
                <w:highlight w:val="none"/>
                <w:lang w:val="en-US" w:eastAsia="zh-CN" w:bidi="ar-SA"/>
              </w:rPr>
            </w:pPr>
            <w:r>
              <w:rPr>
                <w:rFonts w:hint="eastAsia" w:ascii="仿宋" w:hAnsi="仿宋" w:eastAsia="仿宋" w:cs="仿宋"/>
                <w:sz w:val="21"/>
                <w:szCs w:val="21"/>
                <w:highlight w:val="none"/>
                <w:lang w:val="en-US" w:eastAsia="zh-CN"/>
              </w:rPr>
              <w:t>顶面乳胶漆总面积1200平方米、石膏板总面积1364平方米、铝扣板总面积200平方米</w:t>
            </w:r>
          </w:p>
        </w:tc>
        <w:tc>
          <w:tcPr>
            <w:tcW w:w="0" w:type="auto"/>
            <w:noWrap w:val="0"/>
            <w:vAlign w:val="center"/>
          </w:tcPr>
          <w:p w14:paraId="3D1F3A1A">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kern w:val="2"/>
                <w:sz w:val="21"/>
                <w:szCs w:val="21"/>
                <w:highlight w:val="none"/>
                <w:lang w:val="en-US" w:eastAsia="zh-CN" w:bidi="ar-SA"/>
              </w:rPr>
              <w:t>见“3.2房屋维护服务”“3.4保洁服务”</w:t>
            </w:r>
          </w:p>
        </w:tc>
      </w:tr>
      <w:tr w14:paraId="720C4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1" w:hRule="atLeast"/>
        </w:trPr>
        <w:tc>
          <w:tcPr>
            <w:tcW w:w="0" w:type="auto"/>
            <w:vMerge w:val="restart"/>
            <w:noWrap w:val="0"/>
            <w:vAlign w:val="center"/>
          </w:tcPr>
          <w:p w14:paraId="2E6DCC67">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1"/>
                <w:szCs w:val="21"/>
                <w:highlight w:val="none"/>
              </w:rPr>
            </w:pPr>
            <w:r>
              <w:rPr>
                <w:rFonts w:hint="eastAsia" w:ascii="仿宋" w:hAnsi="仿宋" w:eastAsia="仿宋" w:cs="仿宋"/>
                <w:sz w:val="21"/>
                <w:szCs w:val="21"/>
                <w:highlight w:val="none"/>
              </w:rPr>
              <w:t>外墙</w:t>
            </w:r>
          </w:p>
        </w:tc>
        <w:tc>
          <w:tcPr>
            <w:tcW w:w="0" w:type="auto"/>
            <w:noWrap w:val="0"/>
            <w:vAlign w:val="center"/>
          </w:tcPr>
          <w:p w14:paraId="4B6E96DC">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sz w:val="21"/>
                <w:szCs w:val="21"/>
                <w:highlight w:val="none"/>
              </w:rPr>
              <w:t>外墙</w:t>
            </w:r>
            <w:r>
              <w:rPr>
                <w:rFonts w:hint="eastAsia" w:ascii="仿宋" w:hAnsi="仿宋" w:eastAsia="仿宋" w:cs="仿宋"/>
                <w:sz w:val="21"/>
                <w:szCs w:val="21"/>
                <w:highlight w:val="none"/>
                <w:lang w:val="en-US" w:eastAsia="zh-CN"/>
              </w:rPr>
              <w:t>各</w:t>
            </w:r>
            <w:r>
              <w:rPr>
                <w:rFonts w:hint="eastAsia" w:ascii="仿宋" w:hAnsi="仿宋" w:eastAsia="仿宋" w:cs="仿宋"/>
                <w:sz w:val="21"/>
                <w:szCs w:val="21"/>
                <w:highlight w:val="none"/>
              </w:rPr>
              <w:t>材质</w:t>
            </w:r>
            <w:r>
              <w:rPr>
                <w:rFonts w:hint="eastAsia" w:ascii="仿宋" w:hAnsi="仿宋" w:eastAsia="仿宋" w:cs="仿宋"/>
                <w:sz w:val="21"/>
                <w:szCs w:val="21"/>
                <w:highlight w:val="none"/>
                <w:lang w:val="en-US" w:eastAsia="zh-CN"/>
              </w:rPr>
              <w:t>及总面积</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w:t>
            </w:r>
            <w:r>
              <w:rPr>
                <w:rFonts w:hint="eastAsia" w:ascii="仿宋" w:hAnsi="仿宋" w:eastAsia="仿宋" w:cs="仿宋"/>
                <w:sz w:val="21"/>
                <w:szCs w:val="21"/>
                <w:highlight w:val="none"/>
                <w:lang w:eastAsia="zh-CN"/>
              </w:rPr>
              <w:t>）</w:t>
            </w:r>
          </w:p>
        </w:tc>
        <w:tc>
          <w:tcPr>
            <w:tcW w:w="0" w:type="auto"/>
            <w:noWrap w:val="0"/>
            <w:vAlign w:val="center"/>
          </w:tcPr>
          <w:p w14:paraId="399636C3">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left"/>
              <w:textAlignment w:val="auto"/>
              <w:rPr>
                <w:rFonts w:hint="eastAsia" w:ascii="仿宋" w:hAnsi="仿宋" w:eastAsia="仿宋" w:cs="仿宋"/>
                <w:color w:val="auto"/>
                <w:sz w:val="21"/>
                <w:szCs w:val="21"/>
                <w:highlight w:val="none"/>
                <w:lang w:val="en-US"/>
              </w:rPr>
            </w:pPr>
            <w:r>
              <w:rPr>
                <w:rFonts w:hint="eastAsia" w:ascii="仿宋" w:hAnsi="仿宋" w:eastAsia="仿宋" w:cs="仿宋"/>
                <w:sz w:val="21"/>
                <w:szCs w:val="21"/>
                <w:highlight w:val="none"/>
                <w:lang w:val="en-US" w:eastAsia="zh-CN"/>
              </w:rPr>
              <w:t>外墙涂料（普通涂料）总面积2300平方米、干挂石材面积260平方米、玻璃幕墙总面积1430平方米</w:t>
            </w:r>
          </w:p>
        </w:tc>
        <w:tc>
          <w:tcPr>
            <w:tcW w:w="0" w:type="auto"/>
            <w:noWrap w:val="0"/>
            <w:vAlign w:val="center"/>
          </w:tcPr>
          <w:p w14:paraId="61D3F225">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kern w:val="2"/>
                <w:sz w:val="21"/>
                <w:szCs w:val="21"/>
                <w:highlight w:val="none"/>
                <w:lang w:val="en-US" w:eastAsia="zh-CN" w:bidi="ar-SA"/>
              </w:rPr>
              <w:t>见“3.2房屋维护服务”“3.4保洁服务”</w:t>
            </w:r>
          </w:p>
        </w:tc>
      </w:tr>
      <w:tr w14:paraId="275B3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0" w:type="auto"/>
            <w:vMerge w:val="continue"/>
            <w:noWrap w:val="0"/>
            <w:vAlign w:val="center"/>
          </w:tcPr>
          <w:p w14:paraId="0B6E6982">
            <w:pPr>
              <w:keepNext w:val="0"/>
              <w:keepLines w:val="0"/>
              <w:pageBreakBefore w:val="0"/>
              <w:widowControl w:val="0"/>
              <w:kinsoku/>
              <w:wordWrap/>
              <w:overflowPunct/>
              <w:topLinePunct w:val="0"/>
              <w:autoSpaceDE/>
              <w:autoSpaceDN/>
              <w:bidi w:val="0"/>
              <w:adjustRightInd/>
              <w:snapToGrid w:val="0"/>
              <w:spacing w:line="300" w:lineRule="auto"/>
              <w:ind w:firstLine="420" w:firstLineChars="200"/>
              <w:jc w:val="center"/>
              <w:textAlignment w:val="auto"/>
              <w:rPr>
                <w:rFonts w:hint="eastAsia" w:ascii="仿宋" w:hAnsi="仿宋" w:eastAsia="仿宋" w:cs="仿宋"/>
                <w:sz w:val="21"/>
                <w:szCs w:val="21"/>
                <w:highlight w:val="none"/>
              </w:rPr>
            </w:pPr>
          </w:p>
        </w:tc>
        <w:tc>
          <w:tcPr>
            <w:tcW w:w="0" w:type="auto"/>
            <w:noWrap w:val="0"/>
            <w:vAlign w:val="center"/>
          </w:tcPr>
          <w:p w14:paraId="0D6423E1">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外墙</w:t>
            </w:r>
            <w:r>
              <w:rPr>
                <w:rFonts w:hint="eastAsia" w:ascii="仿宋" w:hAnsi="仿宋" w:eastAsia="仿宋" w:cs="仿宋"/>
                <w:sz w:val="21"/>
                <w:szCs w:val="21"/>
                <w:highlight w:val="none"/>
              </w:rPr>
              <w:t>需</w:t>
            </w:r>
            <w:r>
              <w:rPr>
                <w:rFonts w:hint="eastAsia" w:ascii="仿宋" w:hAnsi="仿宋" w:eastAsia="仿宋" w:cs="仿宋"/>
                <w:sz w:val="21"/>
                <w:szCs w:val="21"/>
                <w:highlight w:val="none"/>
                <w:lang w:val="en-US" w:eastAsia="zh-CN"/>
              </w:rPr>
              <w:t>清洗面积</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w:t>
            </w:r>
            <w:r>
              <w:rPr>
                <w:rFonts w:hint="eastAsia" w:ascii="仿宋" w:hAnsi="仿宋" w:eastAsia="仿宋" w:cs="仿宋"/>
                <w:sz w:val="21"/>
                <w:szCs w:val="21"/>
                <w:highlight w:val="none"/>
                <w:lang w:eastAsia="zh-CN"/>
              </w:rPr>
              <w:t>）</w:t>
            </w:r>
          </w:p>
        </w:tc>
        <w:tc>
          <w:tcPr>
            <w:tcW w:w="0" w:type="auto"/>
            <w:noWrap w:val="0"/>
            <w:vAlign w:val="center"/>
          </w:tcPr>
          <w:p w14:paraId="2B48D409">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玻璃外墙面积共计1430平方米</w:t>
            </w:r>
          </w:p>
        </w:tc>
        <w:tc>
          <w:tcPr>
            <w:tcW w:w="0" w:type="auto"/>
            <w:noWrap w:val="0"/>
            <w:vAlign w:val="center"/>
          </w:tcPr>
          <w:p w14:paraId="0931F9EB">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见“3.4保洁服务”</w:t>
            </w:r>
          </w:p>
        </w:tc>
      </w:tr>
      <w:tr w14:paraId="30F44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0" w:type="auto"/>
            <w:vMerge w:val="restart"/>
            <w:noWrap w:val="0"/>
            <w:vAlign w:val="center"/>
          </w:tcPr>
          <w:p w14:paraId="648BB1AE">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会议室</w:t>
            </w:r>
          </w:p>
        </w:tc>
        <w:tc>
          <w:tcPr>
            <w:tcW w:w="0" w:type="auto"/>
            <w:noWrap w:val="0"/>
            <w:vAlign w:val="center"/>
          </w:tcPr>
          <w:p w14:paraId="00BDDF37">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sz w:val="21"/>
                <w:szCs w:val="21"/>
                <w:highlight w:val="none"/>
                <w:lang w:val="en-US" w:eastAsia="zh-CN"/>
              </w:rPr>
              <w:t>室内</w:t>
            </w:r>
            <w:r>
              <w:rPr>
                <w:rFonts w:hint="eastAsia" w:ascii="仿宋" w:hAnsi="仿宋" w:eastAsia="仿宋" w:cs="仿宋"/>
                <w:sz w:val="21"/>
                <w:szCs w:val="21"/>
                <w:highlight w:val="none"/>
              </w:rPr>
              <w:t>设施</w:t>
            </w:r>
            <w:r>
              <w:rPr>
                <w:rFonts w:hint="eastAsia" w:ascii="仿宋" w:hAnsi="仿宋" w:eastAsia="仿宋" w:cs="仿宋"/>
                <w:sz w:val="21"/>
                <w:szCs w:val="21"/>
                <w:highlight w:val="none"/>
                <w:lang w:val="en-US" w:eastAsia="zh-CN"/>
              </w:rPr>
              <w:t>说明</w:t>
            </w:r>
          </w:p>
        </w:tc>
        <w:tc>
          <w:tcPr>
            <w:tcW w:w="0" w:type="auto"/>
            <w:noWrap w:val="0"/>
            <w:vAlign w:val="center"/>
          </w:tcPr>
          <w:p w14:paraId="3F8BC84B">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lef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会议桌2张、会议椅子30把、沙发座椅6个、茶水桌子3个、话筒3个、电子屏1个、控制柜1个</w:t>
            </w:r>
          </w:p>
        </w:tc>
        <w:tc>
          <w:tcPr>
            <w:tcW w:w="0" w:type="auto"/>
            <w:noWrap w:val="0"/>
            <w:vAlign w:val="center"/>
          </w:tcPr>
          <w:p w14:paraId="5AB00118">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kern w:val="2"/>
                <w:sz w:val="21"/>
                <w:szCs w:val="21"/>
                <w:highlight w:val="none"/>
                <w:lang w:val="en-US" w:eastAsia="zh-CN" w:bidi="ar-SA"/>
              </w:rPr>
              <w:t>见“3.2房屋维护服务”“3.4保洁服务”“3.7会议服务”</w:t>
            </w:r>
          </w:p>
        </w:tc>
      </w:tr>
      <w:tr w14:paraId="21835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1" w:hRule="atLeast"/>
        </w:trPr>
        <w:tc>
          <w:tcPr>
            <w:tcW w:w="0" w:type="auto"/>
            <w:vMerge w:val="continue"/>
            <w:noWrap w:val="0"/>
            <w:vAlign w:val="center"/>
          </w:tcPr>
          <w:p w14:paraId="1BB00614">
            <w:pPr>
              <w:keepNext w:val="0"/>
              <w:keepLines w:val="0"/>
              <w:pageBreakBefore w:val="0"/>
              <w:widowControl w:val="0"/>
              <w:kinsoku/>
              <w:wordWrap/>
              <w:overflowPunct/>
              <w:topLinePunct w:val="0"/>
              <w:autoSpaceDE/>
              <w:autoSpaceDN/>
              <w:bidi w:val="0"/>
              <w:adjustRightInd/>
              <w:snapToGrid w:val="0"/>
              <w:spacing w:line="300" w:lineRule="auto"/>
              <w:ind w:left="0" w:firstLine="0" w:firstLineChars="0"/>
              <w:jc w:val="center"/>
              <w:textAlignment w:val="auto"/>
              <w:rPr>
                <w:rFonts w:hint="eastAsia" w:ascii="仿宋" w:hAnsi="仿宋" w:eastAsia="仿宋" w:cs="仿宋"/>
                <w:color w:val="auto"/>
                <w:sz w:val="21"/>
                <w:szCs w:val="21"/>
                <w:highlight w:val="none"/>
              </w:rPr>
            </w:pPr>
          </w:p>
        </w:tc>
        <w:tc>
          <w:tcPr>
            <w:tcW w:w="0" w:type="auto"/>
            <w:noWrap w:val="0"/>
            <w:vAlign w:val="center"/>
          </w:tcPr>
          <w:p w14:paraId="1ECC0463">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会议室数量</w:t>
            </w:r>
            <w:r>
              <w:rPr>
                <w:rFonts w:hint="eastAsia" w:ascii="仿宋" w:hAnsi="仿宋" w:eastAsia="仿宋" w:cs="仿宋"/>
                <w:sz w:val="21"/>
                <w:szCs w:val="21"/>
                <w:highlight w:val="none"/>
                <w:lang w:val="en-US" w:eastAsia="zh-CN"/>
              </w:rPr>
              <w:t>（个）</w:t>
            </w:r>
            <w:r>
              <w:rPr>
                <w:rFonts w:hint="eastAsia" w:ascii="仿宋" w:hAnsi="仿宋" w:eastAsia="仿宋" w:cs="仿宋"/>
                <w:color w:val="auto"/>
                <w:sz w:val="21"/>
                <w:szCs w:val="21"/>
                <w:highlight w:val="none"/>
                <w:lang w:val="en-US" w:eastAsia="zh-CN"/>
              </w:rPr>
              <w:t>及总面积</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w:t>
            </w:r>
            <w:r>
              <w:rPr>
                <w:rFonts w:hint="eastAsia" w:ascii="仿宋" w:hAnsi="仿宋" w:eastAsia="仿宋" w:cs="仿宋"/>
                <w:sz w:val="21"/>
                <w:szCs w:val="21"/>
                <w:highlight w:val="none"/>
                <w:lang w:eastAsia="zh-CN"/>
              </w:rPr>
              <w:t>）</w:t>
            </w:r>
          </w:p>
        </w:tc>
        <w:tc>
          <w:tcPr>
            <w:tcW w:w="0" w:type="auto"/>
            <w:noWrap w:val="0"/>
            <w:vAlign w:val="center"/>
          </w:tcPr>
          <w:p w14:paraId="6F176559">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会议室1间、党员活动室1间、档案室1间、办公室15间、总面积380平方米</w:t>
            </w:r>
          </w:p>
        </w:tc>
        <w:tc>
          <w:tcPr>
            <w:tcW w:w="0" w:type="auto"/>
            <w:noWrap w:val="0"/>
            <w:vAlign w:val="center"/>
          </w:tcPr>
          <w:p w14:paraId="2BACD201">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kern w:val="2"/>
                <w:sz w:val="21"/>
                <w:szCs w:val="21"/>
                <w:highlight w:val="none"/>
                <w:lang w:val="en-US" w:eastAsia="zh-CN" w:bidi="ar-SA"/>
              </w:rPr>
              <w:t>见“3.4保洁服务”“3.7会议服务”</w:t>
            </w:r>
          </w:p>
        </w:tc>
      </w:tr>
      <w:tr w14:paraId="79C18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 w:hRule="atLeast"/>
        </w:trPr>
        <w:tc>
          <w:tcPr>
            <w:tcW w:w="0" w:type="auto"/>
            <w:vMerge w:val="restart"/>
            <w:noWrap w:val="0"/>
            <w:vAlign w:val="center"/>
          </w:tcPr>
          <w:p w14:paraId="3BC987ED">
            <w:pPr>
              <w:keepNext w:val="0"/>
              <w:keepLines w:val="0"/>
              <w:pageBreakBefore w:val="0"/>
              <w:widowControl w:val="0"/>
              <w:kinsoku/>
              <w:wordWrap/>
              <w:overflowPunct/>
              <w:topLinePunct w:val="0"/>
              <w:autoSpaceDE/>
              <w:autoSpaceDN/>
              <w:bidi w:val="0"/>
              <w:adjustRightInd/>
              <w:snapToGrid w:val="0"/>
              <w:spacing w:line="300" w:lineRule="auto"/>
              <w:ind w:left="0"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图书室及阅览室</w:t>
            </w:r>
          </w:p>
        </w:tc>
        <w:tc>
          <w:tcPr>
            <w:tcW w:w="0" w:type="auto"/>
            <w:noWrap w:val="0"/>
            <w:vAlign w:val="center"/>
          </w:tcPr>
          <w:p w14:paraId="20077425">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室内设施说明</w:t>
            </w:r>
          </w:p>
        </w:tc>
        <w:tc>
          <w:tcPr>
            <w:tcW w:w="0" w:type="auto"/>
            <w:noWrap w:val="0"/>
            <w:vAlign w:val="center"/>
          </w:tcPr>
          <w:p w14:paraId="33EB204C">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图书书架13个、茶水桌2个 皮沙发3个</w:t>
            </w:r>
          </w:p>
        </w:tc>
        <w:tc>
          <w:tcPr>
            <w:tcW w:w="0" w:type="auto"/>
            <w:noWrap w:val="0"/>
            <w:vAlign w:val="center"/>
          </w:tcPr>
          <w:p w14:paraId="7C370FC7">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见“3.4保洁服务”“3.7会议服务”</w:t>
            </w:r>
          </w:p>
        </w:tc>
      </w:tr>
      <w:tr w14:paraId="4B1AF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6" w:hRule="atLeast"/>
        </w:trPr>
        <w:tc>
          <w:tcPr>
            <w:tcW w:w="0" w:type="auto"/>
            <w:vMerge w:val="continue"/>
            <w:noWrap w:val="0"/>
            <w:vAlign w:val="center"/>
          </w:tcPr>
          <w:p w14:paraId="37F8AAD7">
            <w:pPr>
              <w:keepNext w:val="0"/>
              <w:keepLines w:val="0"/>
              <w:pageBreakBefore w:val="0"/>
              <w:widowControl w:val="0"/>
              <w:kinsoku/>
              <w:wordWrap/>
              <w:overflowPunct/>
              <w:topLinePunct w:val="0"/>
              <w:autoSpaceDE/>
              <w:autoSpaceDN/>
              <w:bidi w:val="0"/>
              <w:adjustRightInd/>
              <w:snapToGrid w:val="0"/>
              <w:spacing w:line="300" w:lineRule="auto"/>
              <w:ind w:left="0" w:firstLine="0" w:firstLineChars="0"/>
              <w:jc w:val="center"/>
              <w:textAlignment w:val="auto"/>
              <w:rPr>
                <w:rFonts w:hint="eastAsia" w:ascii="仿宋" w:hAnsi="仿宋" w:eastAsia="仿宋" w:cs="仿宋"/>
                <w:color w:val="auto"/>
                <w:sz w:val="21"/>
                <w:szCs w:val="21"/>
                <w:highlight w:val="none"/>
              </w:rPr>
            </w:pPr>
          </w:p>
        </w:tc>
        <w:tc>
          <w:tcPr>
            <w:tcW w:w="0" w:type="auto"/>
            <w:noWrap w:val="0"/>
            <w:vAlign w:val="center"/>
          </w:tcPr>
          <w:p w14:paraId="7E272EDA">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数量（个）及面积</w:t>
            </w:r>
          </w:p>
        </w:tc>
        <w:tc>
          <w:tcPr>
            <w:tcW w:w="0" w:type="auto"/>
            <w:noWrap w:val="0"/>
            <w:vAlign w:val="center"/>
          </w:tcPr>
          <w:p w14:paraId="79097C46">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图书室1间、接待室2间、面积共计126平方米、库房及宿舍9间、共计180平方米  书架面积共计230平方米</w:t>
            </w:r>
          </w:p>
        </w:tc>
        <w:tc>
          <w:tcPr>
            <w:tcW w:w="0" w:type="auto"/>
            <w:noWrap w:val="0"/>
            <w:vAlign w:val="center"/>
          </w:tcPr>
          <w:p w14:paraId="5E1AE5EE">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见“3.4保洁服务”“3.7会议服务”</w:t>
            </w:r>
          </w:p>
        </w:tc>
      </w:tr>
      <w:tr w14:paraId="15F89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0" w:hRule="atLeast"/>
        </w:trPr>
        <w:tc>
          <w:tcPr>
            <w:tcW w:w="0" w:type="auto"/>
            <w:noWrap w:val="0"/>
            <w:vAlign w:val="center"/>
          </w:tcPr>
          <w:p w14:paraId="59E8C9CE">
            <w:pPr>
              <w:keepNext w:val="0"/>
              <w:keepLines w:val="0"/>
              <w:pageBreakBefore w:val="0"/>
              <w:widowControl w:val="0"/>
              <w:kinsoku/>
              <w:wordWrap/>
              <w:overflowPunct/>
              <w:topLinePunct w:val="0"/>
              <w:autoSpaceDE/>
              <w:autoSpaceDN/>
              <w:bidi w:val="0"/>
              <w:adjustRightInd/>
              <w:snapToGrid w:val="0"/>
              <w:spacing w:line="300" w:lineRule="auto"/>
              <w:ind w:left="0"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报告厅</w:t>
            </w:r>
          </w:p>
        </w:tc>
        <w:tc>
          <w:tcPr>
            <w:tcW w:w="0" w:type="auto"/>
            <w:noWrap w:val="0"/>
            <w:vAlign w:val="center"/>
          </w:tcPr>
          <w:p w14:paraId="239834F4">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sz w:val="21"/>
                <w:szCs w:val="21"/>
                <w:highlight w:val="none"/>
                <w:lang w:val="en-US" w:eastAsia="zh-CN"/>
              </w:rPr>
              <w:t>室内</w:t>
            </w:r>
            <w:r>
              <w:rPr>
                <w:rFonts w:hint="eastAsia" w:ascii="仿宋" w:hAnsi="仿宋" w:eastAsia="仿宋" w:cs="仿宋"/>
                <w:sz w:val="21"/>
                <w:szCs w:val="21"/>
                <w:highlight w:val="none"/>
              </w:rPr>
              <w:t>设施</w:t>
            </w:r>
            <w:r>
              <w:rPr>
                <w:rFonts w:hint="eastAsia" w:ascii="仿宋" w:hAnsi="仿宋" w:eastAsia="仿宋" w:cs="仿宋"/>
                <w:sz w:val="21"/>
                <w:szCs w:val="21"/>
                <w:highlight w:val="none"/>
                <w:lang w:val="en-US" w:eastAsia="zh-CN"/>
              </w:rPr>
              <w:t>说明</w:t>
            </w:r>
          </w:p>
        </w:tc>
        <w:tc>
          <w:tcPr>
            <w:tcW w:w="0" w:type="auto"/>
            <w:noWrap w:val="0"/>
            <w:vAlign w:val="center"/>
          </w:tcPr>
          <w:p w14:paraId="3427AF6D">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lef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sz w:val="21"/>
                <w:szCs w:val="21"/>
                <w:highlight w:val="none"/>
                <w:lang w:val="en-US" w:eastAsia="zh-CN"/>
              </w:rPr>
              <w:t>电子屏4个、控制柜4台、话筒14个、音响14个、桌椅400套、屏蔽器5个</w:t>
            </w:r>
          </w:p>
        </w:tc>
        <w:tc>
          <w:tcPr>
            <w:tcW w:w="0" w:type="auto"/>
            <w:noWrap w:val="0"/>
            <w:vAlign w:val="center"/>
          </w:tcPr>
          <w:p w14:paraId="3596C4B8">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kern w:val="2"/>
                <w:sz w:val="21"/>
                <w:szCs w:val="21"/>
                <w:highlight w:val="none"/>
                <w:lang w:val="en-US" w:eastAsia="zh-CN" w:bidi="ar-SA"/>
              </w:rPr>
              <w:t>见“3.4保洁服务”“3.7会议服务”</w:t>
            </w:r>
          </w:p>
        </w:tc>
      </w:tr>
      <w:tr w14:paraId="032FE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trPr>
        <w:tc>
          <w:tcPr>
            <w:tcW w:w="0" w:type="auto"/>
            <w:vMerge w:val="restart"/>
            <w:noWrap w:val="0"/>
            <w:vAlign w:val="center"/>
          </w:tcPr>
          <w:p w14:paraId="703AFF0F">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展 厅</w:t>
            </w:r>
          </w:p>
        </w:tc>
        <w:tc>
          <w:tcPr>
            <w:tcW w:w="0" w:type="auto"/>
            <w:noWrap w:val="0"/>
            <w:vAlign w:val="center"/>
          </w:tcPr>
          <w:p w14:paraId="2862863D">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室内设施说明</w:t>
            </w:r>
          </w:p>
        </w:tc>
        <w:tc>
          <w:tcPr>
            <w:tcW w:w="0" w:type="auto"/>
            <w:noWrap w:val="0"/>
            <w:vAlign w:val="center"/>
          </w:tcPr>
          <w:p w14:paraId="0EA7BCA1">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left"/>
              <w:textAlignment w:val="auto"/>
              <w:rPr>
                <w:rFonts w:hint="eastAsia" w:ascii="仿宋" w:hAnsi="仿宋" w:eastAsia="仿宋" w:cs="仿宋"/>
                <w:b w:val="0"/>
                <w:bCs w:val="0"/>
                <w:sz w:val="21"/>
                <w:szCs w:val="21"/>
                <w:highlight w:val="none"/>
                <w:lang w:val="en-US" w:eastAsia="zh-CN"/>
              </w:rPr>
            </w:pPr>
            <w:r>
              <w:rPr>
                <w:rFonts w:hint="eastAsia" w:ascii="仿宋" w:hAnsi="仿宋" w:eastAsia="仿宋" w:cs="仿宋"/>
                <w:b w:val="0"/>
                <w:bCs w:val="0"/>
                <w:sz w:val="21"/>
                <w:szCs w:val="21"/>
                <w:highlight w:val="none"/>
                <w:lang w:val="en-US" w:eastAsia="zh-CN"/>
              </w:rPr>
              <w:t>跑步机2台、台球桌1个、乒乓球桌1个、自助终端一体机1台、拉伸机1台、仰卧器材2个、电子屏1个 电子屏1个</w:t>
            </w:r>
          </w:p>
        </w:tc>
        <w:tc>
          <w:tcPr>
            <w:tcW w:w="0" w:type="auto"/>
            <w:noWrap w:val="0"/>
            <w:vAlign w:val="center"/>
          </w:tcPr>
          <w:p w14:paraId="1548F44E">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见“3.4保洁服务”</w:t>
            </w:r>
          </w:p>
        </w:tc>
      </w:tr>
      <w:tr w14:paraId="67C65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 w:hRule="atLeast"/>
        </w:trPr>
        <w:tc>
          <w:tcPr>
            <w:tcW w:w="0" w:type="auto"/>
            <w:vMerge w:val="continue"/>
            <w:noWrap w:val="0"/>
            <w:vAlign w:val="center"/>
          </w:tcPr>
          <w:p w14:paraId="52C73D10">
            <w:pPr>
              <w:keepNext w:val="0"/>
              <w:keepLines w:val="0"/>
              <w:pageBreakBefore w:val="0"/>
              <w:widowControl w:val="0"/>
              <w:kinsoku/>
              <w:wordWrap/>
              <w:overflowPunct/>
              <w:topLinePunct w:val="0"/>
              <w:autoSpaceDE/>
              <w:autoSpaceDN/>
              <w:bidi w:val="0"/>
              <w:adjustRightInd/>
              <w:snapToGrid w:val="0"/>
              <w:spacing w:line="300" w:lineRule="auto"/>
              <w:ind w:left="0" w:firstLine="0" w:firstLineChars="0"/>
              <w:jc w:val="center"/>
              <w:textAlignment w:val="auto"/>
              <w:rPr>
                <w:rFonts w:hint="eastAsia" w:ascii="仿宋" w:hAnsi="仿宋" w:eastAsia="仿宋" w:cs="仿宋"/>
                <w:color w:val="auto"/>
                <w:sz w:val="21"/>
                <w:szCs w:val="21"/>
                <w:highlight w:val="none"/>
                <w:lang w:val="en-US" w:eastAsia="zh-CN"/>
              </w:rPr>
            </w:pPr>
          </w:p>
        </w:tc>
        <w:tc>
          <w:tcPr>
            <w:tcW w:w="0" w:type="auto"/>
            <w:noWrap w:val="0"/>
            <w:vAlign w:val="center"/>
          </w:tcPr>
          <w:p w14:paraId="5DB38EA4">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lang w:val="en-US" w:eastAsia="zh-CN"/>
              </w:rPr>
            </w:pPr>
            <w:r>
              <w:rPr>
                <w:rFonts w:hint="eastAsia" w:ascii="仿宋" w:hAnsi="仿宋" w:eastAsia="仿宋" w:cs="仿宋"/>
                <w:sz w:val="21"/>
                <w:szCs w:val="21"/>
                <w:highlight w:val="none"/>
                <w:lang w:val="en-US" w:eastAsia="zh-CN"/>
              </w:rPr>
              <w:t>展厅数量（个）及总面积</w:t>
            </w:r>
          </w:p>
        </w:tc>
        <w:tc>
          <w:tcPr>
            <w:tcW w:w="0" w:type="auto"/>
            <w:noWrap w:val="0"/>
            <w:vAlign w:val="center"/>
          </w:tcPr>
          <w:p w14:paraId="5D9997C2">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left"/>
              <w:textAlignment w:val="auto"/>
              <w:rPr>
                <w:rFonts w:hint="eastAsia" w:ascii="仿宋" w:hAnsi="仿宋" w:eastAsia="仿宋" w:cs="仿宋"/>
                <w:b w:val="0"/>
                <w:bCs w:val="0"/>
                <w:sz w:val="21"/>
                <w:szCs w:val="21"/>
                <w:highlight w:val="none"/>
                <w:lang w:val="en-US" w:eastAsia="zh-CN"/>
              </w:rPr>
            </w:pPr>
            <w:r>
              <w:rPr>
                <w:rFonts w:hint="eastAsia" w:ascii="仿宋" w:hAnsi="仿宋" w:eastAsia="仿宋" w:cs="仿宋"/>
                <w:b w:val="0"/>
                <w:bCs w:val="0"/>
                <w:sz w:val="21"/>
                <w:szCs w:val="21"/>
                <w:highlight w:val="none"/>
                <w:lang w:val="en-US" w:eastAsia="zh-CN"/>
              </w:rPr>
              <w:t>活动室1间、党建展厅1间、总面积300平方米</w:t>
            </w:r>
          </w:p>
        </w:tc>
        <w:tc>
          <w:tcPr>
            <w:tcW w:w="0" w:type="auto"/>
            <w:noWrap w:val="0"/>
            <w:vAlign w:val="center"/>
          </w:tcPr>
          <w:p w14:paraId="5615947E">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见“3.4保洁服务”</w:t>
            </w:r>
          </w:p>
        </w:tc>
      </w:tr>
      <w:tr w14:paraId="08B16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0" w:type="auto"/>
            <w:noWrap w:val="0"/>
            <w:vAlign w:val="center"/>
          </w:tcPr>
          <w:p w14:paraId="6864277F">
            <w:pPr>
              <w:keepNext w:val="0"/>
              <w:keepLines w:val="0"/>
              <w:pageBreakBefore w:val="0"/>
              <w:widowControl w:val="0"/>
              <w:kinsoku/>
              <w:wordWrap/>
              <w:overflowPunct/>
              <w:topLinePunct w:val="0"/>
              <w:autoSpaceDE/>
              <w:autoSpaceDN/>
              <w:bidi w:val="0"/>
              <w:adjustRightInd/>
              <w:snapToGrid w:val="0"/>
              <w:spacing w:line="300" w:lineRule="auto"/>
              <w:ind w:left="0"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卫生间</w:t>
            </w:r>
          </w:p>
        </w:tc>
        <w:tc>
          <w:tcPr>
            <w:tcW w:w="0" w:type="auto"/>
            <w:noWrap w:val="0"/>
            <w:vAlign w:val="center"/>
          </w:tcPr>
          <w:p w14:paraId="115A0D4F">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sz w:val="21"/>
                <w:szCs w:val="21"/>
                <w:highlight w:val="none"/>
                <w:lang w:val="en-US" w:eastAsia="zh-CN"/>
              </w:rPr>
              <w:t>卫生间</w:t>
            </w:r>
            <w:r>
              <w:rPr>
                <w:rFonts w:hint="eastAsia" w:ascii="仿宋" w:hAnsi="仿宋" w:eastAsia="仿宋" w:cs="仿宋"/>
                <w:color w:val="auto"/>
                <w:sz w:val="21"/>
                <w:szCs w:val="21"/>
                <w:highlight w:val="none"/>
                <w:lang w:val="en-US" w:eastAsia="zh-CN"/>
              </w:rPr>
              <w:t>数量</w:t>
            </w:r>
            <w:r>
              <w:rPr>
                <w:rFonts w:hint="eastAsia" w:ascii="仿宋" w:hAnsi="仿宋" w:eastAsia="仿宋" w:cs="仿宋"/>
                <w:sz w:val="21"/>
                <w:szCs w:val="21"/>
                <w:highlight w:val="none"/>
                <w:lang w:val="en-US" w:eastAsia="zh-CN"/>
              </w:rPr>
              <w:t>（个）</w:t>
            </w:r>
            <w:r>
              <w:rPr>
                <w:rFonts w:hint="eastAsia" w:ascii="仿宋" w:hAnsi="仿宋" w:eastAsia="仿宋" w:cs="仿宋"/>
                <w:color w:val="auto"/>
                <w:sz w:val="21"/>
                <w:szCs w:val="21"/>
                <w:highlight w:val="none"/>
                <w:lang w:val="en-US" w:eastAsia="zh-CN"/>
              </w:rPr>
              <w:t>及总面积</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w:t>
            </w:r>
            <w:r>
              <w:rPr>
                <w:rFonts w:hint="eastAsia" w:ascii="仿宋" w:hAnsi="仿宋" w:eastAsia="仿宋" w:cs="仿宋"/>
                <w:sz w:val="21"/>
                <w:szCs w:val="21"/>
                <w:highlight w:val="none"/>
                <w:lang w:eastAsia="zh-CN"/>
              </w:rPr>
              <w:t>）</w:t>
            </w:r>
          </w:p>
        </w:tc>
        <w:tc>
          <w:tcPr>
            <w:tcW w:w="0" w:type="auto"/>
            <w:noWrap w:val="0"/>
            <w:vAlign w:val="center"/>
          </w:tcPr>
          <w:p w14:paraId="46CAAA2F">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lef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卫生间10间、总面积210平方米</w:t>
            </w:r>
          </w:p>
        </w:tc>
        <w:tc>
          <w:tcPr>
            <w:tcW w:w="0" w:type="auto"/>
            <w:noWrap w:val="0"/>
            <w:vAlign w:val="center"/>
          </w:tcPr>
          <w:p w14:paraId="446A53EB">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kern w:val="2"/>
                <w:sz w:val="21"/>
                <w:szCs w:val="21"/>
                <w:highlight w:val="none"/>
                <w:lang w:val="en-US" w:eastAsia="zh-CN" w:bidi="ar-SA"/>
              </w:rPr>
              <w:t>见“3.4保洁服务”</w:t>
            </w:r>
          </w:p>
        </w:tc>
      </w:tr>
      <w:tr w14:paraId="48D49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0" w:type="auto"/>
            <w:noWrap w:val="0"/>
            <w:vAlign w:val="center"/>
          </w:tcPr>
          <w:p w14:paraId="3112A013">
            <w:pPr>
              <w:keepNext w:val="0"/>
              <w:keepLines w:val="0"/>
              <w:pageBreakBefore w:val="0"/>
              <w:widowControl w:val="0"/>
              <w:kinsoku/>
              <w:wordWrap/>
              <w:overflowPunct/>
              <w:topLinePunct w:val="0"/>
              <w:autoSpaceDE/>
              <w:autoSpaceDN/>
              <w:bidi w:val="0"/>
              <w:adjustRightInd/>
              <w:snapToGrid w:val="0"/>
              <w:spacing w:line="300" w:lineRule="auto"/>
              <w:ind w:left="0"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垃圾存放点</w:t>
            </w:r>
          </w:p>
        </w:tc>
        <w:tc>
          <w:tcPr>
            <w:tcW w:w="0" w:type="auto"/>
            <w:noWrap w:val="0"/>
            <w:vAlign w:val="center"/>
          </w:tcPr>
          <w:p w14:paraId="7F1A2A78">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kern w:val="2"/>
                <w:sz w:val="21"/>
                <w:szCs w:val="21"/>
                <w:highlight w:val="none"/>
                <w:lang w:val="en-US" w:eastAsia="zh-CN" w:bidi="ar-SA"/>
              </w:rPr>
            </w:pPr>
            <w:r>
              <w:rPr>
                <w:rFonts w:hint="eastAsia" w:ascii="仿宋" w:hAnsi="仿宋" w:eastAsia="仿宋" w:cs="仿宋"/>
                <w:sz w:val="21"/>
                <w:szCs w:val="21"/>
                <w:highlight w:val="none"/>
                <w:lang w:val="en-US" w:eastAsia="zh-CN"/>
              </w:rPr>
              <w:t>各垃圾存放点位置、</w:t>
            </w:r>
            <w:r>
              <w:rPr>
                <w:rFonts w:hint="eastAsia" w:ascii="仿宋" w:hAnsi="仿宋" w:eastAsia="仿宋" w:cs="仿宋"/>
                <w:sz w:val="21"/>
                <w:szCs w:val="21"/>
                <w:highlight w:val="none"/>
              </w:rPr>
              <w:t>面积</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lang w:val="en-US" w:eastAsia="zh-CN"/>
              </w:rPr>
              <w:t>及数量（个）</w:t>
            </w:r>
          </w:p>
        </w:tc>
        <w:tc>
          <w:tcPr>
            <w:tcW w:w="0" w:type="auto"/>
            <w:noWrap w:val="0"/>
            <w:vAlign w:val="center"/>
          </w:tcPr>
          <w:p w14:paraId="0539B3CA">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left"/>
              <w:textAlignment w:val="auto"/>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垃圾存放位置：卫生间内、走廊、展区、室外，大垃圾桶28个、小垃圾桶36个、面积共46平方米</w:t>
            </w:r>
          </w:p>
        </w:tc>
        <w:tc>
          <w:tcPr>
            <w:tcW w:w="0" w:type="auto"/>
            <w:noWrap w:val="0"/>
            <w:vAlign w:val="center"/>
          </w:tcPr>
          <w:p w14:paraId="60DB4BE9">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kern w:val="2"/>
                <w:sz w:val="21"/>
                <w:szCs w:val="21"/>
                <w:highlight w:val="none"/>
                <w:lang w:val="en-US" w:eastAsia="zh-CN" w:bidi="ar-SA"/>
              </w:rPr>
              <w:t>见“3.4保洁服务”</w:t>
            </w:r>
          </w:p>
        </w:tc>
      </w:tr>
      <w:tr w14:paraId="3A75B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0" w:type="auto"/>
            <w:vMerge w:val="restart"/>
            <w:noWrap w:val="0"/>
            <w:vAlign w:val="center"/>
          </w:tcPr>
          <w:p w14:paraId="4576BA3C">
            <w:pPr>
              <w:keepNext w:val="0"/>
              <w:keepLines w:val="0"/>
              <w:pageBreakBefore w:val="0"/>
              <w:widowControl w:val="0"/>
              <w:kinsoku/>
              <w:wordWrap/>
              <w:overflowPunct/>
              <w:topLinePunct w:val="0"/>
              <w:autoSpaceDE/>
              <w:autoSpaceDN/>
              <w:bidi w:val="0"/>
              <w:adjustRightInd/>
              <w:snapToGrid w:val="0"/>
              <w:spacing w:line="300" w:lineRule="auto"/>
              <w:ind w:left="0"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sz w:val="21"/>
                <w:szCs w:val="21"/>
                <w:highlight w:val="none"/>
              </w:rPr>
              <w:t>车位数</w:t>
            </w:r>
          </w:p>
        </w:tc>
        <w:tc>
          <w:tcPr>
            <w:tcW w:w="0" w:type="auto"/>
            <w:noWrap w:val="0"/>
            <w:vAlign w:val="center"/>
          </w:tcPr>
          <w:p w14:paraId="359E1A3D">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sz w:val="21"/>
                <w:szCs w:val="21"/>
                <w:highlight w:val="none"/>
              </w:rPr>
              <w:t>地下车位数</w:t>
            </w:r>
          </w:p>
        </w:tc>
        <w:tc>
          <w:tcPr>
            <w:tcW w:w="0" w:type="auto"/>
            <w:noWrap w:val="0"/>
            <w:vAlign w:val="center"/>
          </w:tcPr>
          <w:p w14:paraId="1EB90DC7">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left"/>
              <w:textAlignment w:val="auto"/>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 xml:space="preserve">126个 </w:t>
            </w:r>
          </w:p>
        </w:tc>
        <w:tc>
          <w:tcPr>
            <w:tcW w:w="0" w:type="auto"/>
            <w:noWrap w:val="0"/>
            <w:vAlign w:val="center"/>
          </w:tcPr>
          <w:p w14:paraId="1E6D13A8">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见“3.6保安服务”</w:t>
            </w:r>
          </w:p>
        </w:tc>
      </w:tr>
      <w:tr w14:paraId="2804E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0" w:type="auto"/>
            <w:vMerge w:val="continue"/>
            <w:noWrap w:val="0"/>
            <w:vAlign w:val="center"/>
          </w:tcPr>
          <w:p w14:paraId="527D2A21">
            <w:pPr>
              <w:keepNext w:val="0"/>
              <w:keepLines w:val="0"/>
              <w:pageBreakBefore w:val="0"/>
              <w:widowControl w:val="0"/>
              <w:kinsoku/>
              <w:wordWrap/>
              <w:overflowPunct/>
              <w:topLinePunct w:val="0"/>
              <w:autoSpaceDE/>
              <w:autoSpaceDN/>
              <w:bidi w:val="0"/>
              <w:adjustRightInd/>
              <w:snapToGrid w:val="0"/>
              <w:spacing w:line="300" w:lineRule="auto"/>
              <w:ind w:left="0" w:firstLine="0" w:firstLineChars="0"/>
              <w:jc w:val="center"/>
              <w:textAlignment w:val="auto"/>
              <w:rPr>
                <w:rFonts w:hint="eastAsia" w:ascii="仿宋" w:hAnsi="仿宋" w:eastAsia="仿宋" w:cs="仿宋"/>
                <w:color w:val="auto"/>
                <w:sz w:val="21"/>
                <w:szCs w:val="21"/>
                <w:highlight w:val="none"/>
                <w:lang w:val="en-US" w:eastAsia="zh-CN"/>
              </w:rPr>
            </w:pPr>
          </w:p>
        </w:tc>
        <w:tc>
          <w:tcPr>
            <w:tcW w:w="0" w:type="auto"/>
            <w:noWrap w:val="0"/>
            <w:vAlign w:val="center"/>
          </w:tcPr>
          <w:p w14:paraId="6E8878BC">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sz w:val="21"/>
                <w:szCs w:val="21"/>
                <w:highlight w:val="none"/>
              </w:rPr>
              <w:t>地面车</w:t>
            </w:r>
            <w:r>
              <w:rPr>
                <w:rFonts w:hint="eastAsia" w:ascii="仿宋" w:hAnsi="仿宋" w:eastAsia="仿宋" w:cs="仿宋"/>
                <w:sz w:val="21"/>
                <w:szCs w:val="21"/>
                <w:highlight w:val="none"/>
                <w:lang w:val="en-US" w:eastAsia="zh-CN"/>
              </w:rPr>
              <w:t>库</w:t>
            </w:r>
          </w:p>
        </w:tc>
        <w:tc>
          <w:tcPr>
            <w:tcW w:w="0" w:type="auto"/>
            <w:noWrap w:val="0"/>
            <w:vAlign w:val="center"/>
          </w:tcPr>
          <w:p w14:paraId="10B56E04">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left"/>
              <w:textAlignment w:val="auto"/>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无</w:t>
            </w:r>
          </w:p>
        </w:tc>
        <w:tc>
          <w:tcPr>
            <w:tcW w:w="0" w:type="auto"/>
            <w:noWrap w:val="0"/>
            <w:vAlign w:val="center"/>
          </w:tcPr>
          <w:p w14:paraId="77997D21">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见“3.6保安服务”</w:t>
            </w:r>
          </w:p>
        </w:tc>
      </w:tr>
      <w:tr w14:paraId="4F65A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0" w:type="auto"/>
            <w:vMerge w:val="restart"/>
            <w:noWrap w:val="0"/>
            <w:vAlign w:val="center"/>
          </w:tcPr>
          <w:p w14:paraId="4BBC3DF5">
            <w:pPr>
              <w:keepNext w:val="0"/>
              <w:keepLines w:val="0"/>
              <w:pageBreakBefore w:val="0"/>
              <w:widowControl w:val="0"/>
              <w:kinsoku/>
              <w:wordWrap/>
              <w:overflowPunct/>
              <w:topLinePunct w:val="0"/>
              <w:autoSpaceDE/>
              <w:autoSpaceDN/>
              <w:bidi w:val="0"/>
              <w:adjustRightInd/>
              <w:snapToGrid w:val="0"/>
              <w:spacing w:line="300" w:lineRule="auto"/>
              <w:ind w:left="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车行/</w:t>
            </w:r>
          </w:p>
          <w:p w14:paraId="16C0A4C9">
            <w:pPr>
              <w:keepNext w:val="0"/>
              <w:keepLines w:val="0"/>
              <w:pageBreakBefore w:val="0"/>
              <w:widowControl w:val="0"/>
              <w:kinsoku/>
              <w:wordWrap/>
              <w:overflowPunct/>
              <w:topLinePunct w:val="0"/>
              <w:autoSpaceDE/>
              <w:autoSpaceDN/>
              <w:bidi w:val="0"/>
              <w:adjustRightInd/>
              <w:snapToGrid w:val="0"/>
              <w:spacing w:line="300" w:lineRule="auto"/>
              <w:ind w:lef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人行口</w:t>
            </w:r>
          </w:p>
        </w:tc>
        <w:tc>
          <w:tcPr>
            <w:tcW w:w="0" w:type="auto"/>
            <w:noWrap w:val="0"/>
            <w:vAlign w:val="center"/>
          </w:tcPr>
          <w:p w14:paraId="3CCB0B55">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kern w:val="2"/>
                <w:sz w:val="21"/>
                <w:szCs w:val="21"/>
                <w:highlight w:val="none"/>
                <w:lang w:val="en-US" w:eastAsia="zh-CN" w:bidi="ar-SA"/>
              </w:rPr>
            </w:pPr>
            <w:r>
              <w:rPr>
                <w:rFonts w:hint="eastAsia" w:ascii="仿宋" w:hAnsi="仿宋" w:eastAsia="仿宋" w:cs="仿宋"/>
                <w:sz w:val="21"/>
                <w:szCs w:val="21"/>
                <w:highlight w:val="none"/>
                <w:lang w:val="en-US" w:eastAsia="zh-CN"/>
              </w:rPr>
              <w:t>车行口</w:t>
            </w:r>
          </w:p>
        </w:tc>
        <w:tc>
          <w:tcPr>
            <w:tcW w:w="0" w:type="auto"/>
            <w:noWrap w:val="0"/>
            <w:vAlign w:val="center"/>
          </w:tcPr>
          <w:p w14:paraId="23015968">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left"/>
              <w:textAlignment w:val="auto"/>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1个</w:t>
            </w:r>
          </w:p>
        </w:tc>
        <w:tc>
          <w:tcPr>
            <w:tcW w:w="0" w:type="auto"/>
            <w:noWrap w:val="0"/>
            <w:vAlign w:val="center"/>
          </w:tcPr>
          <w:p w14:paraId="34E5C816">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见“3.6保安服务”</w:t>
            </w:r>
          </w:p>
        </w:tc>
      </w:tr>
      <w:tr w14:paraId="0DA02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0" w:type="auto"/>
            <w:vMerge w:val="continue"/>
            <w:noWrap w:val="0"/>
            <w:vAlign w:val="center"/>
          </w:tcPr>
          <w:p w14:paraId="196D411C">
            <w:pPr>
              <w:keepNext w:val="0"/>
              <w:keepLines w:val="0"/>
              <w:pageBreakBefore w:val="0"/>
              <w:widowControl w:val="0"/>
              <w:kinsoku/>
              <w:wordWrap/>
              <w:overflowPunct/>
              <w:topLinePunct w:val="0"/>
              <w:autoSpaceDE/>
              <w:autoSpaceDN/>
              <w:bidi w:val="0"/>
              <w:adjustRightInd/>
              <w:snapToGrid w:val="0"/>
              <w:spacing w:line="300" w:lineRule="auto"/>
              <w:ind w:left="0" w:firstLine="0" w:firstLineChars="0"/>
              <w:jc w:val="center"/>
              <w:textAlignment w:val="auto"/>
              <w:rPr>
                <w:rFonts w:hint="eastAsia" w:ascii="仿宋" w:hAnsi="仿宋" w:eastAsia="仿宋" w:cs="仿宋"/>
                <w:sz w:val="21"/>
                <w:szCs w:val="21"/>
                <w:highlight w:val="none"/>
                <w:lang w:val="en-US" w:eastAsia="zh-CN"/>
              </w:rPr>
            </w:pPr>
          </w:p>
        </w:tc>
        <w:tc>
          <w:tcPr>
            <w:tcW w:w="0" w:type="auto"/>
            <w:noWrap w:val="0"/>
            <w:vAlign w:val="center"/>
          </w:tcPr>
          <w:p w14:paraId="0B9CC002">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人行口</w:t>
            </w:r>
          </w:p>
        </w:tc>
        <w:tc>
          <w:tcPr>
            <w:tcW w:w="0" w:type="auto"/>
            <w:noWrap w:val="0"/>
            <w:vAlign w:val="center"/>
          </w:tcPr>
          <w:p w14:paraId="4FB43677">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left"/>
              <w:textAlignment w:val="auto"/>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1个</w:t>
            </w:r>
          </w:p>
        </w:tc>
        <w:tc>
          <w:tcPr>
            <w:tcW w:w="0" w:type="auto"/>
            <w:noWrap w:val="0"/>
            <w:vAlign w:val="center"/>
          </w:tcPr>
          <w:p w14:paraId="55FE4D9B">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见“3.6保安服务”</w:t>
            </w:r>
          </w:p>
        </w:tc>
      </w:tr>
      <w:tr w14:paraId="7D80C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0" w:type="auto"/>
            <w:vMerge w:val="restart"/>
            <w:noWrap w:val="0"/>
            <w:vAlign w:val="center"/>
          </w:tcPr>
          <w:p w14:paraId="4714F710">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sz w:val="21"/>
                <w:szCs w:val="21"/>
                <w:highlight w:val="none"/>
                <w:lang w:val="en-US" w:eastAsia="zh-CN"/>
              </w:rPr>
              <w:t>设施设备（可另行附表）</w:t>
            </w:r>
          </w:p>
          <w:p w14:paraId="723EF4C1">
            <w:pPr>
              <w:keepNext w:val="0"/>
              <w:keepLines w:val="0"/>
              <w:pageBreakBefore w:val="0"/>
              <w:widowControl w:val="0"/>
              <w:kinsoku/>
              <w:wordWrap/>
              <w:overflowPunct/>
              <w:topLinePunct w:val="0"/>
              <w:autoSpaceDE/>
              <w:autoSpaceDN/>
              <w:bidi w:val="0"/>
              <w:adjustRightInd/>
              <w:snapToGrid w:val="0"/>
              <w:spacing w:line="300" w:lineRule="auto"/>
              <w:ind w:firstLine="420" w:firstLineChars="200"/>
              <w:jc w:val="center"/>
              <w:textAlignment w:val="auto"/>
              <w:rPr>
                <w:rFonts w:hint="eastAsia" w:ascii="仿宋" w:hAnsi="仿宋" w:eastAsia="仿宋" w:cs="仿宋"/>
                <w:color w:val="auto"/>
                <w:sz w:val="21"/>
                <w:szCs w:val="21"/>
                <w:highlight w:val="none"/>
              </w:rPr>
            </w:pPr>
          </w:p>
        </w:tc>
        <w:tc>
          <w:tcPr>
            <w:tcW w:w="0" w:type="auto"/>
            <w:noWrap w:val="0"/>
            <w:vAlign w:val="center"/>
          </w:tcPr>
          <w:p w14:paraId="5C0F8011">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sz w:val="21"/>
                <w:szCs w:val="21"/>
                <w:highlight w:val="none"/>
              </w:rPr>
              <w:t>电梯</w:t>
            </w:r>
            <w:r>
              <w:rPr>
                <w:rFonts w:hint="eastAsia" w:ascii="仿宋" w:hAnsi="仿宋" w:eastAsia="仿宋" w:cs="仿宋"/>
                <w:sz w:val="21"/>
                <w:szCs w:val="21"/>
                <w:highlight w:val="none"/>
                <w:lang w:val="en-US" w:eastAsia="zh-CN"/>
              </w:rPr>
              <w:t>系统</w:t>
            </w:r>
          </w:p>
        </w:tc>
        <w:tc>
          <w:tcPr>
            <w:tcW w:w="0" w:type="auto"/>
            <w:noWrap w:val="0"/>
            <w:vAlign w:val="center"/>
          </w:tcPr>
          <w:p w14:paraId="52F13398">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left"/>
              <w:textAlignment w:val="auto"/>
              <w:rPr>
                <w:rFonts w:hint="eastAsia" w:ascii="仿宋" w:hAnsi="仿宋" w:eastAsia="仿宋" w:cs="仿宋"/>
                <w:kern w:val="2"/>
                <w:sz w:val="21"/>
                <w:szCs w:val="21"/>
                <w:highlight w:val="none"/>
                <w:lang w:val="en-US" w:eastAsia="zh-CN" w:bidi="ar-SA"/>
              </w:rPr>
            </w:pPr>
            <w:r>
              <w:rPr>
                <w:rFonts w:hint="eastAsia" w:ascii="仿宋" w:hAnsi="仿宋" w:eastAsia="仿宋" w:cs="仿宋"/>
                <w:sz w:val="21"/>
                <w:szCs w:val="21"/>
                <w:highlight w:val="none"/>
                <w:lang w:val="en-US" w:eastAsia="zh-CN"/>
              </w:rPr>
              <w:t>客梯1部、功率10.8千瓦、在保质期内</w:t>
            </w:r>
          </w:p>
        </w:tc>
        <w:tc>
          <w:tcPr>
            <w:tcW w:w="0" w:type="auto"/>
            <w:noWrap w:val="0"/>
            <w:vAlign w:val="center"/>
          </w:tcPr>
          <w:p w14:paraId="019F7DD4">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见“3.6保安服务”“3.3公用设施设备维护服务”</w:t>
            </w:r>
          </w:p>
        </w:tc>
      </w:tr>
      <w:tr w14:paraId="3DF78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0" w:type="auto"/>
            <w:vMerge w:val="continue"/>
            <w:noWrap w:val="0"/>
            <w:vAlign w:val="center"/>
          </w:tcPr>
          <w:p w14:paraId="4AAFAAD8">
            <w:pPr>
              <w:keepNext w:val="0"/>
              <w:keepLines w:val="0"/>
              <w:pageBreakBefore w:val="0"/>
              <w:widowControl w:val="0"/>
              <w:kinsoku/>
              <w:wordWrap/>
              <w:overflowPunct/>
              <w:topLinePunct w:val="0"/>
              <w:autoSpaceDE/>
              <w:autoSpaceDN/>
              <w:bidi w:val="0"/>
              <w:adjustRightInd/>
              <w:snapToGrid w:val="0"/>
              <w:spacing w:line="300" w:lineRule="auto"/>
              <w:ind w:left="0" w:firstLine="0" w:firstLineChars="0"/>
              <w:jc w:val="center"/>
              <w:textAlignment w:val="auto"/>
              <w:rPr>
                <w:rFonts w:hint="eastAsia" w:ascii="仿宋" w:hAnsi="仿宋" w:eastAsia="仿宋" w:cs="仿宋"/>
                <w:color w:val="auto"/>
                <w:sz w:val="21"/>
                <w:szCs w:val="21"/>
                <w:highlight w:val="none"/>
              </w:rPr>
            </w:pPr>
          </w:p>
        </w:tc>
        <w:tc>
          <w:tcPr>
            <w:tcW w:w="0" w:type="auto"/>
            <w:noWrap w:val="0"/>
            <w:vAlign w:val="center"/>
          </w:tcPr>
          <w:p w14:paraId="68CCEF78">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sz w:val="21"/>
                <w:szCs w:val="21"/>
                <w:highlight w:val="none"/>
              </w:rPr>
              <w:t>空调</w:t>
            </w:r>
            <w:r>
              <w:rPr>
                <w:rFonts w:hint="eastAsia" w:ascii="仿宋" w:hAnsi="仿宋" w:eastAsia="仿宋" w:cs="仿宋"/>
                <w:sz w:val="21"/>
                <w:szCs w:val="21"/>
                <w:highlight w:val="none"/>
                <w:lang w:val="en-US" w:eastAsia="zh-CN"/>
              </w:rPr>
              <w:t>系统</w:t>
            </w:r>
          </w:p>
        </w:tc>
        <w:tc>
          <w:tcPr>
            <w:tcW w:w="0" w:type="auto"/>
            <w:noWrap w:val="0"/>
            <w:vAlign w:val="center"/>
          </w:tcPr>
          <w:p w14:paraId="1925028E">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lef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sz w:val="21"/>
                <w:szCs w:val="21"/>
                <w:highlight w:val="none"/>
                <w:lang w:val="en-US" w:eastAsia="zh-CN"/>
              </w:rPr>
              <w:t>多联式空调4台；总功率35KW   不在保质期壁挂式单元式空调35台、总功率52.5KW  在质保期内立式单元式空调5台、总功率15KW在质保期内</w:t>
            </w:r>
          </w:p>
        </w:tc>
        <w:tc>
          <w:tcPr>
            <w:tcW w:w="0" w:type="auto"/>
            <w:noWrap w:val="0"/>
            <w:vAlign w:val="center"/>
          </w:tcPr>
          <w:p w14:paraId="610C7CE0">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见“3.6保安服务”“3.3公用设施设备维护服务”</w:t>
            </w:r>
          </w:p>
        </w:tc>
      </w:tr>
      <w:tr w14:paraId="497A5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2" w:hRule="atLeast"/>
        </w:trPr>
        <w:tc>
          <w:tcPr>
            <w:tcW w:w="0" w:type="auto"/>
            <w:vMerge w:val="continue"/>
            <w:noWrap w:val="0"/>
            <w:vAlign w:val="center"/>
          </w:tcPr>
          <w:p w14:paraId="4D73F5D3">
            <w:pPr>
              <w:keepNext w:val="0"/>
              <w:keepLines w:val="0"/>
              <w:pageBreakBefore w:val="0"/>
              <w:widowControl w:val="0"/>
              <w:kinsoku/>
              <w:wordWrap/>
              <w:overflowPunct/>
              <w:topLinePunct w:val="0"/>
              <w:autoSpaceDE/>
              <w:autoSpaceDN/>
              <w:bidi w:val="0"/>
              <w:adjustRightInd/>
              <w:snapToGrid w:val="0"/>
              <w:spacing w:line="300" w:lineRule="auto"/>
              <w:ind w:left="0" w:firstLine="0" w:firstLineChars="0"/>
              <w:jc w:val="center"/>
              <w:textAlignment w:val="auto"/>
              <w:rPr>
                <w:rFonts w:hint="eastAsia" w:ascii="仿宋" w:hAnsi="仿宋" w:eastAsia="仿宋" w:cs="仿宋"/>
                <w:color w:val="auto"/>
                <w:sz w:val="21"/>
                <w:szCs w:val="21"/>
                <w:highlight w:val="none"/>
              </w:rPr>
            </w:pPr>
          </w:p>
        </w:tc>
        <w:tc>
          <w:tcPr>
            <w:tcW w:w="0" w:type="auto"/>
            <w:noWrap w:val="0"/>
            <w:vAlign w:val="center"/>
          </w:tcPr>
          <w:p w14:paraId="4CA52607">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kern w:val="2"/>
                <w:sz w:val="21"/>
                <w:szCs w:val="21"/>
                <w:highlight w:val="none"/>
                <w:lang w:val="en-US" w:eastAsia="zh-CN" w:bidi="ar-SA"/>
              </w:rPr>
            </w:pPr>
            <w:r>
              <w:rPr>
                <w:rFonts w:hint="eastAsia" w:ascii="仿宋" w:hAnsi="仿宋" w:eastAsia="仿宋" w:cs="仿宋"/>
                <w:sz w:val="21"/>
                <w:szCs w:val="21"/>
                <w:highlight w:val="none"/>
              </w:rPr>
              <w:t>采暖</w:t>
            </w:r>
            <w:r>
              <w:rPr>
                <w:rFonts w:hint="eastAsia" w:ascii="仿宋" w:hAnsi="仿宋" w:eastAsia="仿宋" w:cs="仿宋"/>
                <w:sz w:val="21"/>
                <w:szCs w:val="21"/>
                <w:highlight w:val="none"/>
                <w:lang w:val="en-US" w:eastAsia="zh-CN"/>
              </w:rPr>
              <w:t>系统</w:t>
            </w:r>
          </w:p>
        </w:tc>
        <w:tc>
          <w:tcPr>
            <w:tcW w:w="0" w:type="auto"/>
            <w:noWrap w:val="0"/>
            <w:vAlign w:val="center"/>
          </w:tcPr>
          <w:p w14:paraId="6D409FB3">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left"/>
              <w:textAlignment w:val="auto"/>
              <w:rPr>
                <w:rFonts w:hint="eastAsia" w:ascii="仿宋" w:hAnsi="仿宋" w:eastAsia="仿宋" w:cs="仿宋"/>
                <w:kern w:val="2"/>
                <w:sz w:val="21"/>
                <w:szCs w:val="21"/>
                <w:highlight w:val="none"/>
                <w:lang w:val="en-US" w:eastAsia="zh-CN" w:bidi="ar-SA"/>
              </w:rPr>
            </w:pPr>
            <w:r>
              <w:rPr>
                <w:rFonts w:hint="eastAsia" w:ascii="仿宋" w:hAnsi="仿宋" w:eastAsia="仿宋" w:cs="仿宋"/>
                <w:sz w:val="21"/>
                <w:szCs w:val="21"/>
                <w:highlight w:val="none"/>
                <w:lang w:val="en-US" w:eastAsia="zh-CN"/>
              </w:rPr>
              <w:t>大暖散热片采暖、散热片共计135组</w:t>
            </w:r>
          </w:p>
        </w:tc>
        <w:tc>
          <w:tcPr>
            <w:tcW w:w="0" w:type="auto"/>
            <w:noWrap w:val="0"/>
            <w:vAlign w:val="center"/>
          </w:tcPr>
          <w:p w14:paraId="37BA3D31">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见“3.6保安服务”“3.3公用设施设备维护服务”</w:t>
            </w:r>
          </w:p>
        </w:tc>
      </w:tr>
      <w:tr w14:paraId="2BB96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0" w:type="auto"/>
            <w:vMerge w:val="continue"/>
            <w:noWrap w:val="0"/>
            <w:vAlign w:val="center"/>
          </w:tcPr>
          <w:p w14:paraId="2D99F17E">
            <w:pPr>
              <w:keepNext w:val="0"/>
              <w:keepLines w:val="0"/>
              <w:pageBreakBefore w:val="0"/>
              <w:widowControl w:val="0"/>
              <w:kinsoku/>
              <w:wordWrap/>
              <w:overflowPunct/>
              <w:topLinePunct w:val="0"/>
              <w:autoSpaceDE/>
              <w:autoSpaceDN/>
              <w:bidi w:val="0"/>
              <w:adjustRightInd/>
              <w:snapToGrid w:val="0"/>
              <w:spacing w:line="300" w:lineRule="auto"/>
              <w:ind w:left="0" w:firstLine="0" w:firstLineChars="0"/>
              <w:jc w:val="center"/>
              <w:textAlignment w:val="auto"/>
              <w:rPr>
                <w:rFonts w:hint="eastAsia" w:ascii="仿宋" w:hAnsi="仿宋" w:eastAsia="仿宋" w:cs="仿宋"/>
                <w:color w:val="auto"/>
                <w:sz w:val="21"/>
                <w:szCs w:val="21"/>
                <w:highlight w:val="none"/>
              </w:rPr>
            </w:pPr>
          </w:p>
        </w:tc>
        <w:tc>
          <w:tcPr>
            <w:tcW w:w="0" w:type="auto"/>
            <w:noWrap w:val="0"/>
            <w:vAlign w:val="center"/>
          </w:tcPr>
          <w:p w14:paraId="1DB46FB5">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sz w:val="21"/>
                <w:szCs w:val="21"/>
                <w:highlight w:val="none"/>
              </w:rPr>
              <w:t>给排水</w:t>
            </w:r>
            <w:r>
              <w:rPr>
                <w:rFonts w:hint="eastAsia" w:ascii="仿宋" w:hAnsi="仿宋" w:eastAsia="仿宋" w:cs="仿宋"/>
                <w:sz w:val="21"/>
                <w:szCs w:val="21"/>
                <w:highlight w:val="none"/>
                <w:lang w:val="en-US" w:eastAsia="zh-CN"/>
              </w:rPr>
              <w:t>系统</w:t>
            </w:r>
          </w:p>
        </w:tc>
        <w:tc>
          <w:tcPr>
            <w:tcW w:w="0" w:type="auto"/>
            <w:noWrap w:val="0"/>
            <w:vAlign w:val="center"/>
          </w:tcPr>
          <w:p w14:paraId="5815F088">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lef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sz w:val="21"/>
                <w:szCs w:val="21"/>
                <w:highlight w:val="none"/>
                <w:lang w:val="en-US" w:eastAsia="zh-CN"/>
              </w:rPr>
              <w:t>集水井10个、排水泵20个;总功率60千瓦、不在保期内</w:t>
            </w:r>
          </w:p>
        </w:tc>
        <w:tc>
          <w:tcPr>
            <w:tcW w:w="0" w:type="auto"/>
            <w:noWrap w:val="0"/>
            <w:vAlign w:val="center"/>
          </w:tcPr>
          <w:p w14:paraId="006B3A59">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见“3.6保安服务”“3.3公用设施设备维护服务”</w:t>
            </w:r>
          </w:p>
        </w:tc>
      </w:tr>
      <w:tr w14:paraId="797EB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0" w:type="auto"/>
            <w:vMerge w:val="continue"/>
            <w:noWrap w:val="0"/>
            <w:vAlign w:val="center"/>
          </w:tcPr>
          <w:p w14:paraId="7D9EADB7">
            <w:pPr>
              <w:keepNext w:val="0"/>
              <w:keepLines w:val="0"/>
              <w:pageBreakBefore w:val="0"/>
              <w:widowControl w:val="0"/>
              <w:kinsoku/>
              <w:wordWrap/>
              <w:overflowPunct/>
              <w:topLinePunct w:val="0"/>
              <w:autoSpaceDE/>
              <w:autoSpaceDN/>
              <w:bidi w:val="0"/>
              <w:adjustRightInd/>
              <w:snapToGrid w:val="0"/>
              <w:spacing w:line="300" w:lineRule="auto"/>
              <w:ind w:left="0" w:firstLine="0" w:firstLineChars="0"/>
              <w:jc w:val="center"/>
              <w:textAlignment w:val="auto"/>
              <w:rPr>
                <w:rFonts w:hint="eastAsia" w:ascii="仿宋" w:hAnsi="仿宋" w:eastAsia="仿宋" w:cs="仿宋"/>
                <w:color w:val="auto"/>
                <w:sz w:val="21"/>
                <w:szCs w:val="21"/>
                <w:highlight w:val="none"/>
              </w:rPr>
            </w:pPr>
          </w:p>
        </w:tc>
        <w:tc>
          <w:tcPr>
            <w:tcW w:w="0" w:type="auto"/>
            <w:noWrap w:val="0"/>
            <w:vAlign w:val="center"/>
          </w:tcPr>
          <w:p w14:paraId="0ED368F2">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sz w:val="21"/>
                <w:szCs w:val="21"/>
                <w:highlight w:val="none"/>
              </w:rPr>
              <w:t>消防</w:t>
            </w:r>
            <w:r>
              <w:rPr>
                <w:rFonts w:hint="eastAsia" w:ascii="仿宋" w:hAnsi="仿宋" w:eastAsia="仿宋" w:cs="仿宋"/>
                <w:sz w:val="21"/>
                <w:szCs w:val="21"/>
                <w:highlight w:val="none"/>
                <w:lang w:val="en-US" w:eastAsia="zh-CN"/>
              </w:rPr>
              <w:t>系统</w:t>
            </w:r>
          </w:p>
        </w:tc>
        <w:tc>
          <w:tcPr>
            <w:tcW w:w="0" w:type="auto"/>
            <w:noWrap w:val="0"/>
            <w:vAlign w:val="center"/>
          </w:tcPr>
          <w:p w14:paraId="10E6D7EC">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lef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sz w:val="21"/>
                <w:szCs w:val="21"/>
                <w:highlight w:val="none"/>
                <w:lang w:eastAsia="zh-CN"/>
              </w:rPr>
              <w:t>火灾自动报警系统、消火栓灭火系统、自动喷水灭火系统、防排烟系统、应急疏散与防火分隔</w:t>
            </w:r>
            <w:r>
              <w:rPr>
                <w:rFonts w:hint="eastAsia" w:ascii="仿宋" w:hAnsi="仿宋" w:eastAsia="仿宋" w:cs="仿宋"/>
                <w:sz w:val="21"/>
                <w:szCs w:val="21"/>
                <w:highlight w:val="none"/>
                <w:lang w:val="en-US" w:eastAsia="zh-CN"/>
              </w:rPr>
              <w:t>系统；</w:t>
            </w:r>
            <w:r>
              <w:rPr>
                <w:rFonts w:hint="eastAsia" w:ascii="仿宋" w:hAnsi="仿宋" w:eastAsia="仿宋" w:cs="仿宋"/>
                <w:sz w:val="21"/>
                <w:szCs w:val="21"/>
                <w:highlight w:val="none"/>
                <w:lang w:eastAsia="zh-CN"/>
              </w:rPr>
              <w:t>2 台喷淋泵，2台消火栓泵，1 套湿式系统，3台控制柜，</w:t>
            </w:r>
            <w:r>
              <w:rPr>
                <w:rFonts w:hint="eastAsia" w:ascii="仿宋" w:hAnsi="仿宋" w:eastAsia="仿宋" w:cs="仿宋"/>
                <w:sz w:val="21"/>
                <w:szCs w:val="21"/>
                <w:highlight w:val="none"/>
                <w:lang w:val="en-US" w:eastAsia="zh-CN"/>
              </w:rPr>
              <w:t xml:space="preserve">消防水池1个、 </w:t>
            </w:r>
            <w:r>
              <w:rPr>
                <w:rFonts w:hint="eastAsia" w:ascii="仿宋" w:hAnsi="仿宋" w:eastAsia="仿宋" w:cs="仿宋"/>
                <w:sz w:val="21"/>
                <w:szCs w:val="21"/>
              </w:rPr>
              <w:t xml:space="preserve">消防栓 </w:t>
            </w:r>
            <w:r>
              <w:rPr>
                <w:rFonts w:hint="eastAsia" w:ascii="仿宋" w:hAnsi="仿宋" w:eastAsia="仿宋" w:cs="仿宋"/>
                <w:sz w:val="21"/>
                <w:szCs w:val="21"/>
                <w:lang w:val="en-US" w:eastAsia="zh-CN"/>
              </w:rPr>
              <w:t>40</w:t>
            </w:r>
            <w:r>
              <w:rPr>
                <w:rFonts w:hint="eastAsia" w:ascii="仿宋" w:hAnsi="仿宋" w:eastAsia="仿宋" w:cs="仿宋"/>
                <w:sz w:val="21"/>
                <w:szCs w:val="21"/>
              </w:rPr>
              <w:t>个</w:t>
            </w:r>
            <w:r>
              <w:rPr>
                <w:rFonts w:hint="eastAsia" w:ascii="仿宋" w:hAnsi="仿宋" w:eastAsia="仿宋" w:cs="仿宋"/>
                <w:sz w:val="21"/>
                <w:szCs w:val="21"/>
                <w:lang w:eastAsia="zh-CN"/>
              </w:rPr>
              <w:t>、</w:t>
            </w:r>
            <w:r>
              <w:rPr>
                <w:rFonts w:hint="eastAsia" w:ascii="仿宋" w:hAnsi="仿宋" w:eastAsia="仿宋" w:cs="仿宋"/>
                <w:sz w:val="21"/>
                <w:szCs w:val="21"/>
                <w:lang w:val="en-US" w:eastAsia="zh-CN"/>
              </w:rPr>
              <w:t>七氟丙烷灭火器4个、疏散指示标志46个、</w:t>
            </w:r>
            <w:r>
              <w:rPr>
                <w:rFonts w:hint="eastAsia" w:ascii="仿宋" w:hAnsi="仿宋" w:eastAsia="仿宋" w:cs="仿宋"/>
                <w:sz w:val="21"/>
                <w:szCs w:val="21"/>
                <w:highlight w:val="none"/>
                <w:lang w:val="en-US" w:eastAsia="zh-CN"/>
              </w:rPr>
              <w:t>不在保期内</w:t>
            </w:r>
          </w:p>
        </w:tc>
        <w:tc>
          <w:tcPr>
            <w:tcW w:w="0" w:type="auto"/>
            <w:noWrap w:val="0"/>
            <w:vAlign w:val="center"/>
          </w:tcPr>
          <w:p w14:paraId="6E946FC3">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见“3.6保安服务”“3.3公用设施设备维护服务”</w:t>
            </w:r>
          </w:p>
        </w:tc>
      </w:tr>
      <w:tr w14:paraId="20958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0" w:type="auto"/>
            <w:vMerge w:val="continue"/>
            <w:noWrap w:val="0"/>
            <w:vAlign w:val="center"/>
          </w:tcPr>
          <w:p w14:paraId="0DD8F0AB">
            <w:pPr>
              <w:keepNext w:val="0"/>
              <w:keepLines w:val="0"/>
              <w:pageBreakBefore w:val="0"/>
              <w:widowControl w:val="0"/>
              <w:kinsoku/>
              <w:wordWrap/>
              <w:overflowPunct/>
              <w:topLinePunct w:val="0"/>
              <w:autoSpaceDE/>
              <w:autoSpaceDN/>
              <w:bidi w:val="0"/>
              <w:adjustRightInd/>
              <w:snapToGrid w:val="0"/>
              <w:spacing w:line="300" w:lineRule="auto"/>
              <w:ind w:left="0" w:firstLine="0" w:firstLineChars="0"/>
              <w:jc w:val="center"/>
              <w:textAlignment w:val="auto"/>
              <w:rPr>
                <w:rFonts w:hint="eastAsia" w:ascii="仿宋" w:hAnsi="仿宋" w:eastAsia="仿宋" w:cs="仿宋"/>
                <w:color w:val="auto"/>
                <w:sz w:val="21"/>
                <w:szCs w:val="21"/>
                <w:highlight w:val="none"/>
              </w:rPr>
            </w:pPr>
          </w:p>
        </w:tc>
        <w:tc>
          <w:tcPr>
            <w:tcW w:w="0" w:type="auto"/>
            <w:noWrap w:val="0"/>
            <w:vAlign w:val="center"/>
          </w:tcPr>
          <w:p w14:paraId="3CAC0267">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sz w:val="21"/>
                <w:szCs w:val="21"/>
                <w:highlight w:val="none"/>
              </w:rPr>
              <w:t>锅炉设备</w:t>
            </w:r>
          </w:p>
        </w:tc>
        <w:tc>
          <w:tcPr>
            <w:tcW w:w="0" w:type="auto"/>
            <w:noWrap w:val="0"/>
            <w:vAlign w:val="center"/>
          </w:tcPr>
          <w:p w14:paraId="62395E11">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lef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无</w:t>
            </w:r>
          </w:p>
        </w:tc>
        <w:tc>
          <w:tcPr>
            <w:tcW w:w="0" w:type="auto"/>
            <w:noWrap w:val="0"/>
            <w:vAlign w:val="center"/>
          </w:tcPr>
          <w:p w14:paraId="1EBE4785">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见“3.6保安服务”“3.3公用设施设备维护服务”</w:t>
            </w:r>
          </w:p>
        </w:tc>
      </w:tr>
      <w:tr w14:paraId="390AB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0" w:type="auto"/>
            <w:vMerge w:val="continue"/>
            <w:noWrap w:val="0"/>
            <w:vAlign w:val="center"/>
          </w:tcPr>
          <w:p w14:paraId="5A14BDC1">
            <w:pPr>
              <w:keepNext w:val="0"/>
              <w:keepLines w:val="0"/>
              <w:pageBreakBefore w:val="0"/>
              <w:widowControl w:val="0"/>
              <w:kinsoku/>
              <w:wordWrap/>
              <w:overflowPunct/>
              <w:topLinePunct w:val="0"/>
              <w:autoSpaceDE/>
              <w:autoSpaceDN/>
              <w:bidi w:val="0"/>
              <w:adjustRightInd/>
              <w:snapToGrid w:val="0"/>
              <w:spacing w:line="300" w:lineRule="auto"/>
              <w:ind w:left="0" w:firstLine="0" w:firstLineChars="0"/>
              <w:jc w:val="center"/>
              <w:textAlignment w:val="auto"/>
              <w:rPr>
                <w:rFonts w:hint="eastAsia" w:ascii="仿宋" w:hAnsi="仿宋" w:eastAsia="仿宋" w:cs="仿宋"/>
                <w:color w:val="auto"/>
                <w:sz w:val="21"/>
                <w:szCs w:val="21"/>
                <w:highlight w:val="none"/>
              </w:rPr>
            </w:pPr>
          </w:p>
        </w:tc>
        <w:tc>
          <w:tcPr>
            <w:tcW w:w="0" w:type="auto"/>
            <w:noWrap w:val="0"/>
            <w:vAlign w:val="center"/>
          </w:tcPr>
          <w:p w14:paraId="115BE5FE">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kern w:val="2"/>
                <w:sz w:val="21"/>
                <w:szCs w:val="21"/>
                <w:highlight w:val="none"/>
                <w:lang w:val="en-US" w:eastAsia="zh-CN" w:bidi="ar-SA"/>
              </w:rPr>
            </w:pPr>
            <w:r>
              <w:rPr>
                <w:rFonts w:hint="eastAsia" w:ascii="仿宋" w:hAnsi="仿宋" w:eastAsia="仿宋" w:cs="仿宋"/>
                <w:sz w:val="21"/>
                <w:szCs w:val="21"/>
                <w:highlight w:val="none"/>
              </w:rPr>
              <w:t>安防系统</w:t>
            </w:r>
          </w:p>
        </w:tc>
        <w:tc>
          <w:tcPr>
            <w:tcW w:w="0" w:type="auto"/>
            <w:noWrap w:val="0"/>
            <w:vAlign w:val="center"/>
          </w:tcPr>
          <w:p w14:paraId="396F1A5A">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left"/>
              <w:textAlignment w:val="auto"/>
              <w:rPr>
                <w:rFonts w:hint="eastAsia" w:ascii="仿宋" w:hAnsi="仿宋" w:eastAsia="仿宋" w:cs="仿宋"/>
                <w:sz w:val="21"/>
                <w:szCs w:val="21"/>
                <w:lang w:val="en-US" w:eastAsia="zh-CN"/>
              </w:rPr>
            </w:pPr>
            <w:r>
              <w:rPr>
                <w:rFonts w:hint="eastAsia" w:ascii="仿宋" w:hAnsi="仿宋" w:eastAsia="仿宋" w:cs="仿宋"/>
                <w:kern w:val="2"/>
                <w:sz w:val="21"/>
                <w:szCs w:val="21"/>
                <w:highlight w:val="none"/>
                <w:lang w:val="en-US" w:eastAsia="zh-CN" w:bidi="ar-SA"/>
              </w:rPr>
              <w:t>视频监控摄像头20个、人脸识别机8个、网络交换机3个</w:t>
            </w:r>
          </w:p>
        </w:tc>
        <w:tc>
          <w:tcPr>
            <w:tcW w:w="0" w:type="auto"/>
            <w:noWrap w:val="0"/>
            <w:vAlign w:val="center"/>
          </w:tcPr>
          <w:p w14:paraId="19EA7E9D">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见“3.6保安服务”“3.3公用设施设备维护服务”</w:t>
            </w:r>
          </w:p>
        </w:tc>
      </w:tr>
      <w:tr w14:paraId="004C4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0" w:type="auto"/>
            <w:vMerge w:val="continue"/>
            <w:noWrap w:val="0"/>
            <w:vAlign w:val="center"/>
          </w:tcPr>
          <w:p w14:paraId="70D4A323">
            <w:pPr>
              <w:keepNext w:val="0"/>
              <w:keepLines w:val="0"/>
              <w:pageBreakBefore w:val="0"/>
              <w:widowControl w:val="0"/>
              <w:kinsoku/>
              <w:wordWrap/>
              <w:overflowPunct/>
              <w:topLinePunct w:val="0"/>
              <w:autoSpaceDE/>
              <w:autoSpaceDN/>
              <w:bidi w:val="0"/>
              <w:adjustRightInd/>
              <w:snapToGrid w:val="0"/>
              <w:spacing w:line="300" w:lineRule="auto"/>
              <w:ind w:left="0" w:firstLine="0" w:firstLineChars="0"/>
              <w:jc w:val="center"/>
              <w:textAlignment w:val="auto"/>
              <w:rPr>
                <w:rFonts w:hint="eastAsia" w:ascii="仿宋" w:hAnsi="仿宋" w:eastAsia="仿宋" w:cs="仿宋"/>
                <w:color w:val="auto"/>
                <w:sz w:val="21"/>
                <w:szCs w:val="21"/>
                <w:highlight w:val="none"/>
              </w:rPr>
            </w:pPr>
          </w:p>
        </w:tc>
        <w:tc>
          <w:tcPr>
            <w:tcW w:w="0" w:type="auto"/>
            <w:noWrap w:val="0"/>
            <w:vAlign w:val="center"/>
          </w:tcPr>
          <w:p w14:paraId="0E5AB663">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kern w:val="2"/>
                <w:sz w:val="21"/>
                <w:szCs w:val="21"/>
                <w:highlight w:val="none"/>
                <w:lang w:val="en-US" w:eastAsia="zh-CN" w:bidi="ar-SA"/>
              </w:rPr>
            </w:pPr>
            <w:r>
              <w:rPr>
                <w:rFonts w:hint="eastAsia" w:ascii="仿宋" w:hAnsi="仿宋" w:eastAsia="仿宋" w:cs="仿宋"/>
                <w:sz w:val="21"/>
                <w:szCs w:val="21"/>
                <w:highlight w:val="none"/>
              </w:rPr>
              <w:t>照明系统</w:t>
            </w:r>
          </w:p>
        </w:tc>
        <w:tc>
          <w:tcPr>
            <w:tcW w:w="0" w:type="auto"/>
            <w:noWrap w:val="0"/>
            <w:vAlign w:val="center"/>
          </w:tcPr>
          <w:p w14:paraId="21CDDF92">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left"/>
              <w:textAlignment w:val="auto"/>
              <w:rPr>
                <w:rFonts w:hint="eastAsia" w:ascii="仿宋" w:hAnsi="仿宋" w:eastAsia="仿宋" w:cs="仿宋"/>
                <w:kern w:val="2"/>
                <w:sz w:val="21"/>
                <w:szCs w:val="21"/>
                <w:highlight w:val="none"/>
                <w:lang w:val="en-US" w:eastAsia="zh-CN" w:bidi="ar-SA"/>
              </w:rPr>
            </w:pPr>
            <w:r>
              <w:rPr>
                <w:rFonts w:hint="eastAsia" w:ascii="仿宋" w:hAnsi="仿宋" w:eastAsia="仿宋" w:cs="仿宋"/>
                <w:sz w:val="21"/>
                <w:szCs w:val="21"/>
                <w:highlight w:val="none"/>
                <w:lang w:val="en-US" w:eastAsia="zh-CN"/>
              </w:rPr>
              <w:t>楼梯吸顶灯LED灯12个、普通照明LED灯180个、筒灯60个、小射灯70个、不在保质期内。</w:t>
            </w:r>
          </w:p>
        </w:tc>
        <w:tc>
          <w:tcPr>
            <w:tcW w:w="0" w:type="auto"/>
            <w:noWrap w:val="0"/>
            <w:vAlign w:val="center"/>
          </w:tcPr>
          <w:p w14:paraId="07B77959">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见“3.6保安服务”“3.3公用设施设备维护服务”</w:t>
            </w:r>
          </w:p>
        </w:tc>
      </w:tr>
      <w:tr w14:paraId="753FB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vMerge w:val="continue"/>
            <w:noWrap w:val="0"/>
            <w:vAlign w:val="center"/>
          </w:tcPr>
          <w:p w14:paraId="5BF33802">
            <w:pPr>
              <w:keepNext w:val="0"/>
              <w:keepLines w:val="0"/>
              <w:pageBreakBefore w:val="0"/>
              <w:widowControl w:val="0"/>
              <w:kinsoku/>
              <w:wordWrap/>
              <w:overflowPunct/>
              <w:topLinePunct w:val="0"/>
              <w:autoSpaceDE/>
              <w:autoSpaceDN/>
              <w:bidi w:val="0"/>
              <w:adjustRightInd/>
              <w:snapToGrid w:val="0"/>
              <w:spacing w:line="300" w:lineRule="auto"/>
              <w:ind w:left="0" w:firstLine="0" w:firstLineChars="0"/>
              <w:jc w:val="center"/>
              <w:textAlignment w:val="auto"/>
              <w:rPr>
                <w:rFonts w:hint="eastAsia" w:ascii="仿宋" w:hAnsi="仿宋" w:eastAsia="仿宋" w:cs="仿宋"/>
                <w:color w:val="auto"/>
                <w:sz w:val="21"/>
                <w:szCs w:val="21"/>
                <w:highlight w:val="none"/>
              </w:rPr>
            </w:pPr>
          </w:p>
        </w:tc>
        <w:tc>
          <w:tcPr>
            <w:tcW w:w="0" w:type="auto"/>
            <w:noWrap w:val="0"/>
            <w:vAlign w:val="center"/>
          </w:tcPr>
          <w:p w14:paraId="4EF43614">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供配电系统</w:t>
            </w:r>
          </w:p>
        </w:tc>
        <w:tc>
          <w:tcPr>
            <w:tcW w:w="0" w:type="auto"/>
            <w:noWrap w:val="0"/>
            <w:vAlign w:val="center"/>
          </w:tcPr>
          <w:p w14:paraId="3C46DE52">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低压柜4个，</w:t>
            </w:r>
          </w:p>
        </w:tc>
        <w:tc>
          <w:tcPr>
            <w:tcW w:w="0" w:type="auto"/>
            <w:noWrap w:val="0"/>
            <w:vAlign w:val="center"/>
          </w:tcPr>
          <w:p w14:paraId="484A8ED6">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见“3.3公用设施设备维护服务”</w:t>
            </w:r>
          </w:p>
        </w:tc>
      </w:tr>
    </w:tbl>
    <w:p w14:paraId="06A67694">
      <w:pPr>
        <w:widowControl/>
        <w:autoSpaceDE w:val="0"/>
        <w:autoSpaceDN w:val="0"/>
        <w:bidi w:val="0"/>
        <w:snapToGrid w:val="0"/>
        <w:spacing w:line="300" w:lineRule="auto"/>
        <w:ind w:left="0" w:leftChars="0" w:firstLine="0" w:firstLineChars="0"/>
        <w:jc w:val="both"/>
        <w:outlineLvl w:val="2"/>
        <w:rPr>
          <w:rFonts w:hint="eastAsia" w:ascii="仿宋" w:hAnsi="仿宋" w:eastAsia="仿宋" w:cs="仿宋"/>
          <w:b/>
          <w:kern w:val="2"/>
          <w:sz w:val="28"/>
          <w:szCs w:val="28"/>
          <w:highlight w:val="none"/>
          <w:lang w:val="en-US" w:eastAsia="zh-CN" w:bidi="ar-SA"/>
        </w:rPr>
      </w:pPr>
    </w:p>
    <w:p w14:paraId="3811A155">
      <w:pPr>
        <w:widowControl w:val="0"/>
        <w:bidi w:val="0"/>
        <w:snapToGrid w:val="0"/>
        <w:spacing w:line="300" w:lineRule="auto"/>
        <w:ind w:firstLine="562" w:firstLineChars="200"/>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（2）物业管理（室外）</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1"/>
        <w:gridCol w:w="4649"/>
        <w:gridCol w:w="2692"/>
      </w:tblGrid>
      <w:tr w14:paraId="206D2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0" w:type="auto"/>
            <w:noWrap w:val="0"/>
            <w:vAlign w:val="center"/>
          </w:tcPr>
          <w:p w14:paraId="1DF81F1D">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b/>
                <w:bCs/>
                <w:color w:val="auto"/>
                <w:kern w:val="2"/>
                <w:sz w:val="21"/>
                <w:szCs w:val="21"/>
                <w:highlight w:val="none"/>
                <w:lang w:val="en-US" w:eastAsia="zh-CN" w:bidi="ar-SA"/>
              </w:rPr>
            </w:pPr>
            <w:r>
              <w:rPr>
                <w:rFonts w:hint="eastAsia" w:ascii="仿宋" w:hAnsi="仿宋" w:eastAsia="仿宋" w:cs="仿宋"/>
                <w:b/>
                <w:bCs/>
                <w:sz w:val="21"/>
                <w:szCs w:val="21"/>
                <w:highlight w:val="none"/>
                <w:lang w:val="en-US" w:eastAsia="zh-CN"/>
              </w:rPr>
              <w:t>名称</w:t>
            </w:r>
          </w:p>
        </w:tc>
        <w:tc>
          <w:tcPr>
            <w:tcW w:w="0" w:type="auto"/>
            <w:noWrap w:val="0"/>
            <w:vAlign w:val="center"/>
          </w:tcPr>
          <w:p w14:paraId="5F0DDF32">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b/>
                <w:bCs/>
                <w:color w:val="auto"/>
                <w:kern w:val="2"/>
                <w:sz w:val="21"/>
                <w:szCs w:val="21"/>
                <w:highlight w:val="none"/>
                <w:lang w:val="en-US" w:eastAsia="zh-CN" w:bidi="ar-SA"/>
              </w:rPr>
            </w:pPr>
            <w:r>
              <w:rPr>
                <w:rFonts w:hint="eastAsia" w:ascii="仿宋" w:hAnsi="仿宋" w:eastAsia="仿宋" w:cs="仿宋"/>
                <w:b/>
                <w:bCs/>
                <w:sz w:val="21"/>
                <w:szCs w:val="21"/>
                <w:highlight w:val="none"/>
              </w:rPr>
              <w:t>明细</w:t>
            </w:r>
          </w:p>
        </w:tc>
        <w:tc>
          <w:tcPr>
            <w:tcW w:w="0" w:type="auto"/>
            <w:noWrap w:val="0"/>
            <w:vAlign w:val="center"/>
          </w:tcPr>
          <w:p w14:paraId="6D3FF0BA">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b/>
                <w:bCs/>
                <w:sz w:val="21"/>
                <w:szCs w:val="21"/>
                <w:highlight w:val="none"/>
              </w:rPr>
            </w:pPr>
            <w:r>
              <w:rPr>
                <w:rFonts w:hint="eastAsia" w:ascii="仿宋" w:hAnsi="仿宋" w:eastAsia="仿宋" w:cs="仿宋"/>
                <w:b/>
                <w:bCs/>
                <w:sz w:val="21"/>
                <w:szCs w:val="21"/>
                <w:highlight w:val="none"/>
                <w:lang w:val="en-US" w:eastAsia="zh-CN"/>
              </w:rPr>
              <w:t>服务内容及标准</w:t>
            </w:r>
          </w:p>
        </w:tc>
      </w:tr>
      <w:tr w14:paraId="3FE5F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0" w:type="auto"/>
            <w:noWrap w:val="0"/>
            <w:vAlign w:val="center"/>
          </w:tcPr>
          <w:p w14:paraId="4DE9613C">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室外面积</w:t>
            </w:r>
          </w:p>
        </w:tc>
        <w:tc>
          <w:tcPr>
            <w:tcW w:w="0" w:type="auto"/>
            <w:noWrap w:val="0"/>
            <w:vAlign w:val="center"/>
          </w:tcPr>
          <w:p w14:paraId="5C7F829B">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800平方米</w:t>
            </w:r>
          </w:p>
        </w:tc>
        <w:tc>
          <w:tcPr>
            <w:tcW w:w="0" w:type="auto"/>
            <w:noWrap w:val="0"/>
            <w:vAlign w:val="center"/>
          </w:tcPr>
          <w:p w14:paraId="5EB6C623">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kern w:val="2"/>
                <w:sz w:val="21"/>
                <w:szCs w:val="21"/>
                <w:highlight w:val="none"/>
                <w:lang w:val="en-US" w:eastAsia="zh-CN" w:bidi="ar-SA"/>
              </w:rPr>
              <w:t>见“3.4保洁服务”</w:t>
            </w:r>
            <w:r>
              <w:rPr>
                <w:rFonts w:hint="eastAsia" w:ascii="仿宋" w:hAnsi="仿宋" w:eastAsia="仿宋" w:cs="仿宋"/>
                <w:color w:val="auto"/>
                <w:sz w:val="21"/>
                <w:szCs w:val="21"/>
                <w:highlight w:val="none"/>
                <w:lang w:val="en-US" w:eastAsia="zh-CN"/>
              </w:rPr>
              <w:t>“3.6保安服务”</w:t>
            </w:r>
          </w:p>
        </w:tc>
      </w:tr>
      <w:tr w14:paraId="66624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0" w:type="auto"/>
            <w:noWrap w:val="0"/>
            <w:vAlign w:val="center"/>
          </w:tcPr>
          <w:p w14:paraId="1EB8CC11">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rPr>
              <w:t>绿化</w:t>
            </w:r>
          </w:p>
        </w:tc>
        <w:tc>
          <w:tcPr>
            <w:tcW w:w="0" w:type="auto"/>
            <w:noWrap w:val="0"/>
            <w:vAlign w:val="center"/>
          </w:tcPr>
          <w:p w14:paraId="7841EDAD">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650平方米</w:t>
            </w:r>
          </w:p>
        </w:tc>
        <w:tc>
          <w:tcPr>
            <w:tcW w:w="0" w:type="auto"/>
            <w:noWrap w:val="0"/>
            <w:vAlign w:val="center"/>
          </w:tcPr>
          <w:p w14:paraId="1ED623AF">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kern w:val="2"/>
                <w:sz w:val="21"/>
                <w:szCs w:val="21"/>
                <w:highlight w:val="none"/>
                <w:lang w:val="en-US" w:eastAsia="zh-CN" w:bidi="ar-SA"/>
              </w:rPr>
              <w:t>见“3.4保洁服务”“3.5绿化服务”</w:t>
            </w:r>
          </w:p>
        </w:tc>
      </w:tr>
      <w:tr w14:paraId="6E7F2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0" w:type="auto"/>
            <w:vMerge w:val="restart"/>
            <w:noWrap w:val="0"/>
            <w:vAlign w:val="center"/>
          </w:tcPr>
          <w:p w14:paraId="3FCD7E54">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地下室面积及设施</w:t>
            </w:r>
          </w:p>
        </w:tc>
        <w:tc>
          <w:tcPr>
            <w:tcW w:w="0" w:type="auto"/>
            <w:vMerge w:val="restart"/>
            <w:noWrap w:val="0"/>
            <w:vAlign w:val="center"/>
          </w:tcPr>
          <w:p w14:paraId="6986A0F3">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地下室面积586平方米，消防栓23个、灭火器46个、普通照明187个、应急照明73个、不在保质期内</w:t>
            </w:r>
          </w:p>
        </w:tc>
        <w:tc>
          <w:tcPr>
            <w:tcW w:w="0" w:type="auto"/>
            <w:noWrap w:val="0"/>
            <w:vAlign w:val="center"/>
          </w:tcPr>
          <w:p w14:paraId="71FBD8CF">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kern w:val="2"/>
                <w:sz w:val="21"/>
                <w:szCs w:val="21"/>
                <w:highlight w:val="none"/>
                <w:lang w:val="en-US" w:eastAsia="zh-CN" w:bidi="ar-SA"/>
              </w:rPr>
              <w:t>见“3.4保洁服务”</w:t>
            </w:r>
            <w:r>
              <w:rPr>
                <w:rFonts w:hint="eastAsia" w:ascii="仿宋" w:hAnsi="仿宋" w:eastAsia="仿宋" w:cs="仿宋"/>
                <w:color w:val="auto"/>
                <w:sz w:val="21"/>
                <w:szCs w:val="21"/>
                <w:highlight w:val="none"/>
                <w:lang w:val="en-US" w:eastAsia="zh-CN"/>
              </w:rPr>
              <w:t>“3.6保安服务”</w:t>
            </w:r>
          </w:p>
        </w:tc>
      </w:tr>
      <w:tr w14:paraId="550A7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8" w:hRule="atLeast"/>
        </w:trPr>
        <w:tc>
          <w:tcPr>
            <w:tcW w:w="0" w:type="auto"/>
            <w:vMerge w:val="continue"/>
            <w:noWrap w:val="0"/>
            <w:vAlign w:val="center"/>
          </w:tcPr>
          <w:p w14:paraId="7C7D7E0E">
            <w:pPr>
              <w:keepNext w:val="0"/>
              <w:keepLines w:val="0"/>
              <w:pageBreakBefore w:val="0"/>
              <w:widowControl w:val="0"/>
              <w:kinsoku/>
              <w:wordWrap/>
              <w:overflowPunct/>
              <w:topLinePunct w:val="0"/>
              <w:autoSpaceDE/>
              <w:autoSpaceDN/>
              <w:bidi w:val="0"/>
              <w:adjustRightInd/>
              <w:snapToGrid w:val="0"/>
              <w:spacing w:line="300" w:lineRule="auto"/>
              <w:ind w:firstLine="420" w:firstLineChars="200"/>
              <w:jc w:val="center"/>
              <w:textAlignment w:val="auto"/>
              <w:rPr>
                <w:rFonts w:hint="eastAsia" w:ascii="仿宋" w:hAnsi="仿宋" w:eastAsia="仿宋" w:cs="仿宋"/>
                <w:sz w:val="21"/>
                <w:szCs w:val="21"/>
                <w:highlight w:val="none"/>
                <w:vertAlign w:val="baseline"/>
                <w:lang w:val="en-US" w:eastAsia="zh-CN"/>
              </w:rPr>
            </w:pPr>
          </w:p>
        </w:tc>
        <w:tc>
          <w:tcPr>
            <w:tcW w:w="0" w:type="auto"/>
            <w:vMerge w:val="continue"/>
            <w:noWrap w:val="0"/>
            <w:vAlign w:val="center"/>
          </w:tcPr>
          <w:p w14:paraId="773DB5E8">
            <w:pPr>
              <w:keepNext w:val="0"/>
              <w:keepLines w:val="0"/>
              <w:pageBreakBefore w:val="0"/>
              <w:widowControl w:val="0"/>
              <w:kinsoku/>
              <w:wordWrap/>
              <w:overflowPunct/>
              <w:topLinePunct w:val="0"/>
              <w:autoSpaceDE/>
              <w:autoSpaceDN/>
              <w:bidi w:val="0"/>
              <w:adjustRightInd/>
              <w:snapToGrid w:val="0"/>
              <w:spacing w:line="300" w:lineRule="auto"/>
              <w:ind w:firstLine="420" w:firstLineChars="200"/>
              <w:jc w:val="both"/>
              <w:textAlignment w:val="auto"/>
              <w:rPr>
                <w:rFonts w:hint="eastAsia" w:ascii="仿宋" w:hAnsi="仿宋" w:eastAsia="仿宋" w:cs="仿宋"/>
                <w:sz w:val="21"/>
                <w:szCs w:val="21"/>
                <w:highlight w:val="none"/>
                <w:vertAlign w:val="baseline"/>
                <w:lang w:val="en-US" w:eastAsia="zh-CN"/>
              </w:rPr>
            </w:pPr>
          </w:p>
        </w:tc>
        <w:tc>
          <w:tcPr>
            <w:tcW w:w="0" w:type="auto"/>
            <w:noWrap w:val="0"/>
            <w:vAlign w:val="center"/>
          </w:tcPr>
          <w:p w14:paraId="2F518C0D">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见“3.4保洁服务”</w:t>
            </w:r>
            <w:r>
              <w:rPr>
                <w:rFonts w:hint="eastAsia" w:ascii="仿宋" w:hAnsi="仿宋" w:eastAsia="仿宋" w:cs="仿宋"/>
                <w:color w:val="auto"/>
                <w:sz w:val="21"/>
                <w:szCs w:val="21"/>
                <w:highlight w:val="none"/>
                <w:lang w:val="en-US" w:eastAsia="zh-CN"/>
              </w:rPr>
              <w:t>“3.6保安服务”</w:t>
            </w:r>
          </w:p>
        </w:tc>
      </w:tr>
      <w:tr w14:paraId="5C599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0" w:type="auto"/>
            <w:noWrap w:val="0"/>
            <w:vAlign w:val="center"/>
          </w:tcPr>
          <w:p w14:paraId="71264190">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路灯、草坪灯、</w:t>
            </w:r>
          </w:p>
        </w:tc>
        <w:tc>
          <w:tcPr>
            <w:tcW w:w="0" w:type="auto"/>
            <w:noWrap w:val="0"/>
            <w:vAlign w:val="center"/>
          </w:tcPr>
          <w:p w14:paraId="3BDA6495">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射灯50个、灯带450米、地下室普通照明灯237个  室外花池5个</w:t>
            </w:r>
          </w:p>
        </w:tc>
        <w:tc>
          <w:tcPr>
            <w:tcW w:w="0" w:type="auto"/>
            <w:noWrap w:val="0"/>
            <w:vAlign w:val="center"/>
          </w:tcPr>
          <w:p w14:paraId="785B751B">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kern w:val="2"/>
                <w:sz w:val="21"/>
                <w:szCs w:val="21"/>
                <w:highlight w:val="none"/>
                <w:lang w:val="en-US" w:eastAsia="zh-CN" w:bidi="ar-SA"/>
              </w:rPr>
              <w:t>见“3.4保洁服务”</w:t>
            </w:r>
            <w:r>
              <w:rPr>
                <w:rFonts w:hint="eastAsia" w:ascii="仿宋" w:hAnsi="仿宋" w:eastAsia="仿宋" w:cs="仿宋"/>
                <w:color w:val="auto"/>
                <w:sz w:val="21"/>
                <w:szCs w:val="21"/>
                <w:highlight w:val="none"/>
                <w:lang w:val="en-US" w:eastAsia="zh-CN"/>
              </w:rPr>
              <w:t>“3.3公用设施设备维护服务”</w:t>
            </w:r>
          </w:p>
        </w:tc>
      </w:tr>
      <w:tr w14:paraId="5FBB0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0" w:type="auto"/>
            <w:noWrap w:val="0"/>
            <w:vAlign w:val="center"/>
          </w:tcPr>
          <w:p w14:paraId="2776D416">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消防栓</w:t>
            </w:r>
          </w:p>
        </w:tc>
        <w:tc>
          <w:tcPr>
            <w:tcW w:w="0" w:type="auto"/>
            <w:noWrap w:val="0"/>
            <w:vAlign w:val="center"/>
          </w:tcPr>
          <w:p w14:paraId="665B954F">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地下车库消防栓23个、地下室灭火器46个，</w:t>
            </w:r>
          </w:p>
        </w:tc>
        <w:tc>
          <w:tcPr>
            <w:tcW w:w="0" w:type="auto"/>
            <w:noWrap w:val="0"/>
            <w:vAlign w:val="center"/>
          </w:tcPr>
          <w:p w14:paraId="42C20A5B">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kern w:val="2"/>
                <w:sz w:val="21"/>
                <w:szCs w:val="21"/>
                <w:highlight w:val="none"/>
                <w:lang w:val="en-US" w:eastAsia="zh-CN" w:bidi="ar-SA"/>
              </w:rPr>
              <w:t>见“3.4保洁服务”</w:t>
            </w:r>
            <w:r>
              <w:rPr>
                <w:rFonts w:hint="eastAsia" w:ascii="仿宋" w:hAnsi="仿宋" w:eastAsia="仿宋" w:cs="仿宋"/>
                <w:color w:val="auto"/>
                <w:sz w:val="21"/>
                <w:szCs w:val="21"/>
                <w:highlight w:val="none"/>
                <w:lang w:val="en-US" w:eastAsia="zh-CN"/>
              </w:rPr>
              <w:t>“3.3公用设施设备维护服务”</w:t>
            </w:r>
          </w:p>
        </w:tc>
      </w:tr>
      <w:tr w14:paraId="2F4D2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0" w:type="auto"/>
            <w:noWrap w:val="0"/>
            <w:vAlign w:val="center"/>
          </w:tcPr>
          <w:p w14:paraId="6DED2375">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垃圾箱</w:t>
            </w:r>
          </w:p>
        </w:tc>
        <w:tc>
          <w:tcPr>
            <w:tcW w:w="0" w:type="auto"/>
            <w:noWrap w:val="0"/>
            <w:vAlign w:val="center"/>
          </w:tcPr>
          <w:p w14:paraId="11B51CCC">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环保大垃圾箱5个</w:t>
            </w:r>
          </w:p>
        </w:tc>
        <w:tc>
          <w:tcPr>
            <w:tcW w:w="0" w:type="auto"/>
            <w:noWrap w:val="0"/>
            <w:vAlign w:val="center"/>
          </w:tcPr>
          <w:p w14:paraId="16E60BB9">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kern w:val="2"/>
                <w:sz w:val="21"/>
                <w:szCs w:val="21"/>
                <w:highlight w:val="none"/>
                <w:lang w:val="en-US" w:eastAsia="zh-CN" w:bidi="ar-SA"/>
              </w:rPr>
              <w:t>见“3.4保洁服务”</w:t>
            </w:r>
          </w:p>
        </w:tc>
      </w:tr>
      <w:tr w14:paraId="476E4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0" w:type="auto"/>
            <w:noWrap w:val="0"/>
            <w:vAlign w:val="center"/>
          </w:tcPr>
          <w:p w14:paraId="038B8352">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室外配电箱</w:t>
            </w:r>
          </w:p>
        </w:tc>
        <w:tc>
          <w:tcPr>
            <w:tcW w:w="0" w:type="auto"/>
            <w:noWrap w:val="0"/>
            <w:vAlign w:val="center"/>
          </w:tcPr>
          <w:p w14:paraId="576ABF85">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lang w:val="en-US" w:eastAsia="zh-CN"/>
              </w:rPr>
              <w:t>变压器1台，功率500千瓦、高压柜1台、(功率10KV) 低压柜2台</w:t>
            </w:r>
          </w:p>
        </w:tc>
        <w:tc>
          <w:tcPr>
            <w:tcW w:w="0" w:type="auto"/>
            <w:noWrap w:val="0"/>
            <w:vAlign w:val="center"/>
          </w:tcPr>
          <w:p w14:paraId="4FE1372A">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kern w:val="2"/>
                <w:sz w:val="21"/>
                <w:szCs w:val="21"/>
                <w:highlight w:val="none"/>
                <w:lang w:val="en-US" w:eastAsia="zh-CN" w:bidi="ar-SA"/>
              </w:rPr>
              <w:t>见“3.4保洁服务”</w:t>
            </w:r>
            <w:r>
              <w:rPr>
                <w:rFonts w:hint="eastAsia" w:ascii="仿宋" w:hAnsi="仿宋" w:eastAsia="仿宋" w:cs="仿宋"/>
                <w:color w:val="auto"/>
                <w:sz w:val="21"/>
                <w:szCs w:val="21"/>
                <w:highlight w:val="none"/>
                <w:lang w:val="en-US" w:eastAsia="zh-CN"/>
              </w:rPr>
              <w:t>“3.3公用设施设备维护服务”</w:t>
            </w:r>
          </w:p>
        </w:tc>
      </w:tr>
      <w:tr w14:paraId="1EBD4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0" w:type="auto"/>
            <w:noWrap w:val="0"/>
            <w:vAlign w:val="center"/>
          </w:tcPr>
          <w:p w14:paraId="132A2F80">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监控</w:t>
            </w:r>
          </w:p>
        </w:tc>
        <w:tc>
          <w:tcPr>
            <w:tcW w:w="0" w:type="auto"/>
            <w:noWrap w:val="0"/>
            <w:vAlign w:val="center"/>
          </w:tcPr>
          <w:p w14:paraId="35B71A8E">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人脸识别系统1个、室外摄像头34个</w:t>
            </w:r>
          </w:p>
        </w:tc>
        <w:tc>
          <w:tcPr>
            <w:tcW w:w="0" w:type="auto"/>
            <w:noWrap w:val="0"/>
            <w:vAlign w:val="center"/>
          </w:tcPr>
          <w:p w14:paraId="42585FDF">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kern w:val="2"/>
                <w:sz w:val="21"/>
                <w:szCs w:val="21"/>
                <w:highlight w:val="none"/>
                <w:lang w:val="en-US" w:eastAsia="zh-CN" w:bidi="ar-SA"/>
              </w:rPr>
              <w:t>见“3.4保洁服务”</w:t>
            </w:r>
            <w:r>
              <w:rPr>
                <w:rFonts w:hint="eastAsia" w:ascii="仿宋" w:hAnsi="仿宋" w:eastAsia="仿宋" w:cs="仿宋"/>
                <w:color w:val="auto"/>
                <w:sz w:val="21"/>
                <w:szCs w:val="21"/>
                <w:highlight w:val="none"/>
                <w:lang w:val="en-US" w:eastAsia="zh-CN"/>
              </w:rPr>
              <w:t>“3.3公用设施设备维护服务”</w:t>
            </w:r>
          </w:p>
        </w:tc>
      </w:tr>
      <w:tr w14:paraId="7E79B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0" w:type="auto"/>
            <w:noWrap w:val="0"/>
            <w:vAlign w:val="center"/>
          </w:tcPr>
          <w:p w14:paraId="58B6EBB1">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广告牌、显示屏</w:t>
            </w:r>
          </w:p>
        </w:tc>
        <w:tc>
          <w:tcPr>
            <w:tcW w:w="0" w:type="auto"/>
            <w:noWrap w:val="0"/>
            <w:vAlign w:val="center"/>
          </w:tcPr>
          <w:p w14:paraId="5B3CB8D7">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显示屏1个、广告牌8个</w:t>
            </w:r>
          </w:p>
        </w:tc>
        <w:tc>
          <w:tcPr>
            <w:tcW w:w="0" w:type="auto"/>
            <w:noWrap w:val="0"/>
            <w:vAlign w:val="center"/>
          </w:tcPr>
          <w:p w14:paraId="4460B16C">
            <w:pPr>
              <w:keepNext w:val="0"/>
              <w:keepLines w:val="0"/>
              <w:pageBreakBefore w:val="0"/>
              <w:widowControl w:val="0"/>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kern w:val="2"/>
                <w:sz w:val="21"/>
                <w:szCs w:val="21"/>
                <w:highlight w:val="none"/>
                <w:lang w:val="en-US" w:eastAsia="zh-CN" w:bidi="ar-SA"/>
              </w:rPr>
              <w:t>见“3.4保洁服务”</w:t>
            </w:r>
            <w:r>
              <w:rPr>
                <w:rFonts w:hint="eastAsia" w:ascii="仿宋" w:hAnsi="仿宋" w:eastAsia="仿宋" w:cs="仿宋"/>
                <w:color w:val="auto"/>
                <w:sz w:val="21"/>
                <w:szCs w:val="21"/>
                <w:highlight w:val="none"/>
                <w:lang w:val="en-US" w:eastAsia="zh-CN"/>
              </w:rPr>
              <w:t>“3.3公用设施设备维护服务”</w:t>
            </w:r>
          </w:p>
        </w:tc>
      </w:tr>
    </w:tbl>
    <w:p w14:paraId="0D559D47">
      <w:pPr>
        <w:widowControl w:val="0"/>
        <w:bidi w:val="0"/>
        <w:snapToGrid w:val="0"/>
        <w:spacing w:line="300" w:lineRule="auto"/>
        <w:ind w:firstLine="562" w:firstLineChars="200"/>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3.物业管理服务内容及标准</w:t>
      </w:r>
    </w:p>
    <w:p w14:paraId="1FEE8A2F">
      <w:pPr>
        <w:widowControl w:val="0"/>
        <w:bidi w:val="0"/>
        <w:snapToGrid w:val="0"/>
        <w:spacing w:line="30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物业管理服务包括基本服务、房屋维护服务、公用设施设备维护服务、保洁服务、绿化服务、保安服务、会议服务等。</w:t>
      </w:r>
    </w:p>
    <w:p w14:paraId="79478F9B">
      <w:pPr>
        <w:widowControl w:val="0"/>
        <w:bidi w:val="0"/>
        <w:snapToGrid w:val="0"/>
        <w:spacing w:line="300" w:lineRule="auto"/>
        <w:ind w:firstLine="562" w:firstLineChars="200"/>
        <w:rPr>
          <w:rFonts w:hint="eastAsia" w:ascii="仿宋" w:hAnsi="仿宋" w:eastAsia="仿宋" w:cs="仿宋"/>
          <w:b/>
          <w:bCs/>
          <w:sz w:val="28"/>
          <w:szCs w:val="28"/>
          <w:lang w:val="en-US" w:eastAsia="zh-CN"/>
        </w:rPr>
      </w:pPr>
      <w:bookmarkStart w:id="7" w:name="_Toc26485"/>
      <w:bookmarkStart w:id="8" w:name="_Toc10498"/>
      <w:bookmarkStart w:id="9" w:name="_Toc26156"/>
      <w:r>
        <w:rPr>
          <w:rFonts w:hint="eastAsia" w:ascii="仿宋" w:hAnsi="仿宋" w:eastAsia="仿宋" w:cs="仿宋"/>
          <w:b/>
          <w:bCs/>
          <w:sz w:val="28"/>
          <w:szCs w:val="28"/>
          <w:lang w:val="en-US" w:eastAsia="zh-CN"/>
        </w:rPr>
        <w:t>3.</w:t>
      </w:r>
      <w:bookmarkEnd w:id="7"/>
      <w:bookmarkEnd w:id="8"/>
      <w:bookmarkEnd w:id="9"/>
      <w:r>
        <w:rPr>
          <w:rFonts w:hint="eastAsia" w:ascii="仿宋" w:hAnsi="仿宋" w:eastAsia="仿宋" w:cs="仿宋"/>
          <w:b/>
          <w:bCs/>
          <w:sz w:val="28"/>
          <w:szCs w:val="28"/>
          <w:lang w:val="en-US" w:eastAsia="zh-CN"/>
        </w:rPr>
        <w:t>1基本服务</w:t>
      </w:r>
    </w:p>
    <w:tbl>
      <w:tblPr>
        <w:tblStyle w:val="4"/>
        <w:tblW w:w="499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9"/>
        <w:gridCol w:w="1425"/>
        <w:gridCol w:w="6364"/>
      </w:tblGrid>
      <w:tr w14:paraId="1989E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9" w:type="dxa"/>
            <w:noWrap w:val="0"/>
            <w:vAlign w:val="center"/>
          </w:tcPr>
          <w:p w14:paraId="583DB4D9">
            <w:pPr>
              <w:pageBreakBefore w:val="0"/>
              <w:widowControl/>
              <w:kinsoku/>
              <w:wordWrap/>
              <w:overflowPunct/>
              <w:topLinePunct w:val="0"/>
              <w:bidi w:val="0"/>
              <w:snapToGrid w:val="0"/>
              <w:spacing w:line="240" w:lineRule="auto"/>
              <w:ind w:left="0" w:leftChars="0" w:firstLine="0" w:firstLineChars="0"/>
              <w:jc w:val="center"/>
              <w:rPr>
                <w:rFonts w:hint="eastAsia" w:ascii="仿宋" w:hAnsi="仿宋" w:eastAsia="仿宋" w:cs="仿宋"/>
                <w:b/>
                <w:bCs/>
                <w:color w:val="auto"/>
                <w:kern w:val="0"/>
                <w:sz w:val="21"/>
                <w:szCs w:val="21"/>
                <w:highlight w:val="none"/>
                <w:lang w:val="en-US" w:eastAsia="zh-CN"/>
              </w:rPr>
            </w:pPr>
            <w:r>
              <w:rPr>
                <w:rFonts w:hint="eastAsia" w:ascii="仿宋" w:hAnsi="仿宋" w:eastAsia="仿宋" w:cs="仿宋"/>
                <w:b/>
                <w:bCs/>
                <w:color w:val="auto"/>
                <w:kern w:val="0"/>
                <w:sz w:val="21"/>
                <w:szCs w:val="21"/>
                <w:highlight w:val="none"/>
                <w:lang w:val="en-US" w:eastAsia="zh-CN"/>
              </w:rPr>
              <w:t>序号</w:t>
            </w:r>
          </w:p>
        </w:tc>
        <w:tc>
          <w:tcPr>
            <w:tcW w:w="2474" w:type="dxa"/>
            <w:noWrap w:val="0"/>
            <w:vAlign w:val="center"/>
          </w:tcPr>
          <w:p w14:paraId="66FAEE07">
            <w:pPr>
              <w:pageBreakBefore w:val="0"/>
              <w:widowControl/>
              <w:kinsoku/>
              <w:wordWrap/>
              <w:overflowPunct/>
              <w:topLinePunct w:val="0"/>
              <w:bidi w:val="0"/>
              <w:snapToGrid w:val="0"/>
              <w:spacing w:line="240" w:lineRule="auto"/>
              <w:ind w:left="0" w:leftChars="0" w:firstLine="0" w:firstLineChars="0"/>
              <w:jc w:val="center"/>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服务内容</w:t>
            </w:r>
          </w:p>
        </w:tc>
        <w:tc>
          <w:tcPr>
            <w:tcW w:w="11042" w:type="dxa"/>
            <w:noWrap w:val="0"/>
            <w:vAlign w:val="center"/>
          </w:tcPr>
          <w:p w14:paraId="1CCFF774">
            <w:pPr>
              <w:pageBreakBefore w:val="0"/>
              <w:widowControl/>
              <w:kinsoku/>
              <w:wordWrap/>
              <w:overflowPunct/>
              <w:topLinePunct w:val="0"/>
              <w:bidi w:val="0"/>
              <w:snapToGrid w:val="0"/>
              <w:spacing w:line="240" w:lineRule="auto"/>
              <w:ind w:left="0" w:leftChars="0" w:firstLine="0" w:firstLineChars="0"/>
              <w:jc w:val="center"/>
              <w:rPr>
                <w:rFonts w:hint="eastAsia" w:ascii="仿宋" w:hAnsi="仿宋" w:eastAsia="仿宋" w:cs="仿宋"/>
                <w:b/>
                <w:bCs/>
                <w:color w:val="auto"/>
                <w:kern w:val="0"/>
                <w:sz w:val="21"/>
                <w:szCs w:val="21"/>
                <w:highlight w:val="none"/>
                <w:lang w:val="en-US" w:eastAsia="zh-CN"/>
              </w:rPr>
            </w:pPr>
            <w:r>
              <w:rPr>
                <w:rFonts w:hint="eastAsia" w:ascii="仿宋" w:hAnsi="仿宋" w:eastAsia="仿宋" w:cs="仿宋"/>
                <w:b/>
                <w:bCs/>
                <w:color w:val="auto"/>
                <w:kern w:val="0"/>
                <w:sz w:val="21"/>
                <w:szCs w:val="21"/>
                <w:highlight w:val="none"/>
                <w:lang w:val="en-US" w:eastAsia="zh-CN"/>
              </w:rPr>
              <w:t>服务标准</w:t>
            </w:r>
          </w:p>
        </w:tc>
      </w:tr>
      <w:tr w14:paraId="61D48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9" w:type="dxa"/>
            <w:vMerge w:val="restart"/>
            <w:noWrap w:val="0"/>
            <w:vAlign w:val="center"/>
          </w:tcPr>
          <w:p w14:paraId="52E952DB">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1</w:t>
            </w:r>
          </w:p>
        </w:tc>
        <w:tc>
          <w:tcPr>
            <w:tcW w:w="2474" w:type="dxa"/>
            <w:vMerge w:val="restart"/>
            <w:noWrap w:val="0"/>
            <w:vAlign w:val="center"/>
          </w:tcPr>
          <w:p w14:paraId="33247C66">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目标与责任</w:t>
            </w:r>
          </w:p>
        </w:tc>
        <w:tc>
          <w:tcPr>
            <w:tcW w:w="11042" w:type="dxa"/>
            <w:noWrap w:val="0"/>
            <w:vAlign w:val="center"/>
          </w:tcPr>
          <w:p w14:paraId="64950E45">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（1）结合采购人要求及物业服务实际情况，制定年度管理目标，明确责任分工，并制定配套实施方案。</w:t>
            </w:r>
          </w:p>
        </w:tc>
      </w:tr>
      <w:tr w14:paraId="21DBE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9" w:type="dxa"/>
            <w:vMerge w:val="continue"/>
            <w:noWrap w:val="0"/>
            <w:vAlign w:val="center"/>
          </w:tcPr>
          <w:p w14:paraId="02D93F56">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74" w:type="dxa"/>
            <w:vMerge w:val="continue"/>
            <w:noWrap w:val="0"/>
            <w:vAlign w:val="center"/>
          </w:tcPr>
          <w:p w14:paraId="7590124C">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11042" w:type="dxa"/>
            <w:noWrap w:val="0"/>
            <w:vAlign w:val="center"/>
          </w:tcPr>
          <w:p w14:paraId="542F870E">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w:t>
            </w:r>
          </w:p>
        </w:tc>
      </w:tr>
      <w:tr w14:paraId="4926E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9" w:type="dxa"/>
            <w:vMerge w:val="restart"/>
            <w:noWrap w:val="0"/>
            <w:vAlign w:val="center"/>
          </w:tcPr>
          <w:p w14:paraId="020234E3">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2474" w:type="dxa"/>
            <w:vMerge w:val="restart"/>
            <w:noWrap w:val="0"/>
            <w:vAlign w:val="center"/>
          </w:tcPr>
          <w:p w14:paraId="2A7221C8">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服务人员要求</w:t>
            </w:r>
          </w:p>
        </w:tc>
        <w:tc>
          <w:tcPr>
            <w:tcW w:w="11042" w:type="dxa"/>
            <w:noWrap w:val="0"/>
            <w:vAlign w:val="center"/>
          </w:tcPr>
          <w:p w14:paraId="45E54D80">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（1）每季度至少开展1次岗位技能、职业素质、服务知识、客户文化、绿色节能环保等教育培训，并进行适当形式的考核。</w:t>
            </w:r>
          </w:p>
        </w:tc>
      </w:tr>
      <w:tr w14:paraId="6129C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9" w:type="dxa"/>
            <w:vMerge w:val="continue"/>
            <w:noWrap w:val="0"/>
            <w:vAlign w:val="center"/>
          </w:tcPr>
          <w:p w14:paraId="4A06E6CD">
            <w:pPr>
              <w:widowControl w:val="0"/>
              <w:bidi w:val="0"/>
              <w:snapToGrid w:val="0"/>
              <w:spacing w:line="240" w:lineRule="auto"/>
              <w:ind w:firstLine="420" w:firstLineChars="200"/>
              <w:jc w:val="center"/>
              <w:rPr>
                <w:rFonts w:hint="eastAsia" w:ascii="仿宋" w:hAnsi="仿宋" w:eastAsia="仿宋" w:cs="仿宋"/>
                <w:sz w:val="21"/>
                <w:szCs w:val="21"/>
                <w:highlight w:val="none"/>
                <w:lang w:val="en-US" w:eastAsia="zh-CN"/>
              </w:rPr>
            </w:pPr>
          </w:p>
        </w:tc>
        <w:tc>
          <w:tcPr>
            <w:tcW w:w="2474" w:type="dxa"/>
            <w:vMerge w:val="continue"/>
            <w:noWrap w:val="0"/>
            <w:vAlign w:val="center"/>
          </w:tcPr>
          <w:p w14:paraId="33E0E7A9">
            <w:pPr>
              <w:widowControl w:val="0"/>
              <w:bidi w:val="0"/>
              <w:snapToGrid w:val="0"/>
              <w:spacing w:line="240" w:lineRule="auto"/>
              <w:ind w:firstLine="420" w:firstLineChars="200"/>
              <w:jc w:val="center"/>
              <w:rPr>
                <w:rFonts w:hint="eastAsia" w:ascii="仿宋" w:hAnsi="仿宋" w:eastAsia="仿宋" w:cs="仿宋"/>
                <w:sz w:val="21"/>
                <w:szCs w:val="21"/>
                <w:highlight w:val="none"/>
                <w:lang w:val="en-US" w:eastAsia="zh-CN"/>
              </w:rPr>
            </w:pPr>
          </w:p>
        </w:tc>
        <w:tc>
          <w:tcPr>
            <w:tcW w:w="11042" w:type="dxa"/>
            <w:noWrap w:val="0"/>
            <w:vAlign w:val="center"/>
          </w:tcPr>
          <w:p w14:paraId="0B3346BF">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（2）根据采购人要求对服务人员进行从业资格审查，审查结果向采购人报备。</w:t>
            </w:r>
          </w:p>
        </w:tc>
      </w:tr>
      <w:tr w14:paraId="58652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9" w:type="dxa"/>
            <w:vMerge w:val="continue"/>
            <w:noWrap w:val="0"/>
            <w:vAlign w:val="center"/>
          </w:tcPr>
          <w:p w14:paraId="7ADE9413">
            <w:pPr>
              <w:widowControl w:val="0"/>
              <w:bidi w:val="0"/>
              <w:snapToGrid w:val="0"/>
              <w:spacing w:line="240" w:lineRule="auto"/>
              <w:ind w:firstLine="420" w:firstLineChars="200"/>
              <w:jc w:val="center"/>
              <w:rPr>
                <w:rFonts w:hint="eastAsia" w:ascii="仿宋" w:hAnsi="仿宋" w:eastAsia="仿宋" w:cs="仿宋"/>
                <w:sz w:val="21"/>
                <w:szCs w:val="21"/>
                <w:highlight w:val="none"/>
                <w:lang w:val="en-US" w:eastAsia="zh-CN"/>
              </w:rPr>
            </w:pPr>
          </w:p>
        </w:tc>
        <w:tc>
          <w:tcPr>
            <w:tcW w:w="2474" w:type="dxa"/>
            <w:vMerge w:val="continue"/>
            <w:noWrap w:val="0"/>
            <w:vAlign w:val="center"/>
          </w:tcPr>
          <w:p w14:paraId="5488285C">
            <w:pPr>
              <w:widowControl w:val="0"/>
              <w:bidi w:val="0"/>
              <w:snapToGrid w:val="0"/>
              <w:spacing w:line="240" w:lineRule="auto"/>
              <w:ind w:firstLine="420" w:firstLineChars="200"/>
              <w:jc w:val="center"/>
              <w:rPr>
                <w:rFonts w:hint="eastAsia" w:ascii="仿宋" w:hAnsi="仿宋" w:eastAsia="仿宋" w:cs="仿宋"/>
                <w:sz w:val="21"/>
                <w:szCs w:val="21"/>
                <w:highlight w:val="none"/>
                <w:lang w:val="en-US" w:eastAsia="zh-CN"/>
              </w:rPr>
            </w:pPr>
          </w:p>
        </w:tc>
        <w:tc>
          <w:tcPr>
            <w:tcW w:w="11042" w:type="dxa"/>
            <w:noWrap w:val="0"/>
            <w:vAlign w:val="center"/>
          </w:tcPr>
          <w:p w14:paraId="322C2983">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（3）</w:t>
            </w:r>
            <w:r>
              <w:rPr>
                <w:rFonts w:hint="eastAsia" w:ascii="仿宋" w:hAnsi="仿宋" w:eastAsia="仿宋" w:cs="仿宋"/>
                <w:bCs/>
                <w:color w:val="auto"/>
                <w:sz w:val="21"/>
                <w:szCs w:val="21"/>
                <w:highlight w:val="none"/>
                <w:lang w:val="en-US" w:eastAsia="zh-CN"/>
              </w:rPr>
              <w:t>服务人员的年龄、学历、工作经验及资格条件应当与所在岗位能力要求相匹配，到岗前应当经过必要的岗前培训以达到岗位能力要求，国家、行业规定应当取得职业资格证书或特种作业证书的，应当按规定持证上岗。</w:t>
            </w:r>
          </w:p>
        </w:tc>
      </w:tr>
      <w:tr w14:paraId="2FB9F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9" w:type="dxa"/>
            <w:vMerge w:val="continue"/>
            <w:noWrap w:val="0"/>
            <w:vAlign w:val="center"/>
          </w:tcPr>
          <w:p w14:paraId="3C426567">
            <w:pPr>
              <w:widowControl w:val="0"/>
              <w:bidi w:val="0"/>
              <w:snapToGrid w:val="0"/>
              <w:spacing w:line="240" w:lineRule="auto"/>
              <w:ind w:firstLine="420" w:firstLineChars="200"/>
              <w:jc w:val="center"/>
              <w:rPr>
                <w:rFonts w:hint="eastAsia" w:ascii="仿宋" w:hAnsi="仿宋" w:eastAsia="仿宋" w:cs="仿宋"/>
                <w:sz w:val="21"/>
                <w:szCs w:val="21"/>
                <w:highlight w:val="none"/>
                <w:lang w:val="en-US" w:eastAsia="zh-CN"/>
              </w:rPr>
            </w:pPr>
          </w:p>
        </w:tc>
        <w:tc>
          <w:tcPr>
            <w:tcW w:w="2474" w:type="dxa"/>
            <w:vMerge w:val="continue"/>
            <w:noWrap w:val="0"/>
            <w:vAlign w:val="center"/>
          </w:tcPr>
          <w:p w14:paraId="42F269DC">
            <w:pPr>
              <w:widowControl w:val="0"/>
              <w:bidi w:val="0"/>
              <w:snapToGrid w:val="0"/>
              <w:spacing w:line="240" w:lineRule="auto"/>
              <w:ind w:firstLine="420" w:firstLineChars="200"/>
              <w:jc w:val="center"/>
              <w:rPr>
                <w:rFonts w:hint="eastAsia" w:ascii="仿宋" w:hAnsi="仿宋" w:eastAsia="仿宋" w:cs="仿宋"/>
                <w:sz w:val="21"/>
                <w:szCs w:val="21"/>
                <w:highlight w:val="none"/>
                <w:lang w:val="en-US" w:eastAsia="zh-CN"/>
              </w:rPr>
            </w:pPr>
          </w:p>
        </w:tc>
        <w:tc>
          <w:tcPr>
            <w:tcW w:w="11042" w:type="dxa"/>
            <w:noWrap w:val="0"/>
            <w:vAlign w:val="center"/>
          </w:tcPr>
          <w:p w14:paraId="65866FD6">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（4）</w:t>
            </w:r>
            <w:r>
              <w:rPr>
                <w:rFonts w:hint="eastAsia" w:ascii="仿宋" w:hAnsi="仿宋" w:eastAsia="仿宋" w:cs="仿宋"/>
                <w:bCs/>
                <w:color w:val="auto"/>
                <w:sz w:val="21"/>
                <w:szCs w:val="21"/>
                <w:highlight w:val="none"/>
                <w:lang w:val="en-US" w:eastAsia="zh-CN"/>
              </w:rPr>
              <w:t>如采购人认为服务人员不适应岗位要求或存在其他影响工作的，可要求供应商进行调换。如因供应商原因对服务人员进行调换，应当经采购人同意，更换比例不得超过本项目服务人员总数的20%。本项目服务人员不得在其他项目兼职。</w:t>
            </w:r>
          </w:p>
        </w:tc>
      </w:tr>
      <w:tr w14:paraId="20670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9" w:type="dxa"/>
            <w:vMerge w:val="continue"/>
            <w:noWrap w:val="0"/>
            <w:vAlign w:val="center"/>
          </w:tcPr>
          <w:p w14:paraId="2005C668">
            <w:pPr>
              <w:widowControl w:val="0"/>
              <w:bidi w:val="0"/>
              <w:snapToGrid w:val="0"/>
              <w:spacing w:line="240" w:lineRule="auto"/>
              <w:ind w:firstLine="420" w:firstLineChars="200"/>
              <w:jc w:val="center"/>
              <w:rPr>
                <w:rFonts w:hint="eastAsia" w:ascii="仿宋" w:hAnsi="仿宋" w:eastAsia="仿宋" w:cs="仿宋"/>
                <w:sz w:val="21"/>
                <w:szCs w:val="21"/>
                <w:highlight w:val="none"/>
                <w:lang w:val="en-US" w:eastAsia="zh-CN"/>
              </w:rPr>
            </w:pPr>
          </w:p>
        </w:tc>
        <w:tc>
          <w:tcPr>
            <w:tcW w:w="2474" w:type="dxa"/>
            <w:vMerge w:val="continue"/>
            <w:noWrap w:val="0"/>
            <w:vAlign w:val="center"/>
          </w:tcPr>
          <w:p w14:paraId="2788FED4">
            <w:pPr>
              <w:widowControl w:val="0"/>
              <w:bidi w:val="0"/>
              <w:snapToGrid w:val="0"/>
              <w:spacing w:line="240" w:lineRule="auto"/>
              <w:ind w:firstLine="420" w:firstLineChars="200"/>
              <w:jc w:val="center"/>
              <w:rPr>
                <w:rFonts w:hint="eastAsia" w:ascii="仿宋" w:hAnsi="仿宋" w:eastAsia="仿宋" w:cs="仿宋"/>
                <w:sz w:val="21"/>
                <w:szCs w:val="21"/>
                <w:highlight w:val="none"/>
                <w:lang w:val="en-US" w:eastAsia="zh-CN"/>
              </w:rPr>
            </w:pPr>
          </w:p>
        </w:tc>
        <w:tc>
          <w:tcPr>
            <w:tcW w:w="11042" w:type="dxa"/>
            <w:noWrap w:val="0"/>
            <w:vAlign w:val="center"/>
          </w:tcPr>
          <w:p w14:paraId="4AD7956C">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（5）着装分类统一，佩戴标识。仪容整洁、姿态端正、举止文明。用语文明礼貌，态度温和耐心。</w:t>
            </w:r>
          </w:p>
        </w:tc>
      </w:tr>
      <w:tr w14:paraId="6A74C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9" w:type="dxa"/>
            <w:vMerge w:val="continue"/>
            <w:noWrap w:val="0"/>
            <w:vAlign w:val="center"/>
          </w:tcPr>
          <w:p w14:paraId="481899A6">
            <w:pPr>
              <w:widowControl w:val="0"/>
              <w:bidi w:val="0"/>
              <w:snapToGrid w:val="0"/>
              <w:spacing w:line="240" w:lineRule="auto"/>
              <w:ind w:firstLine="420" w:firstLineChars="200"/>
              <w:jc w:val="center"/>
              <w:rPr>
                <w:rFonts w:hint="eastAsia" w:ascii="仿宋" w:hAnsi="仿宋" w:eastAsia="仿宋" w:cs="仿宋"/>
                <w:sz w:val="21"/>
                <w:szCs w:val="21"/>
                <w:highlight w:val="none"/>
                <w:lang w:val="en-US" w:eastAsia="zh-CN"/>
              </w:rPr>
            </w:pPr>
          </w:p>
        </w:tc>
        <w:tc>
          <w:tcPr>
            <w:tcW w:w="2474" w:type="dxa"/>
            <w:vMerge w:val="continue"/>
            <w:noWrap w:val="0"/>
            <w:vAlign w:val="center"/>
          </w:tcPr>
          <w:p w14:paraId="336FABBB">
            <w:pPr>
              <w:widowControl w:val="0"/>
              <w:bidi w:val="0"/>
              <w:snapToGrid w:val="0"/>
              <w:spacing w:line="240" w:lineRule="auto"/>
              <w:ind w:firstLine="420" w:firstLineChars="200"/>
              <w:jc w:val="center"/>
              <w:rPr>
                <w:rFonts w:hint="eastAsia" w:ascii="仿宋" w:hAnsi="仿宋" w:eastAsia="仿宋" w:cs="仿宋"/>
                <w:sz w:val="21"/>
                <w:szCs w:val="21"/>
                <w:highlight w:val="none"/>
                <w:lang w:val="en-US" w:eastAsia="zh-CN"/>
              </w:rPr>
            </w:pPr>
          </w:p>
        </w:tc>
        <w:tc>
          <w:tcPr>
            <w:tcW w:w="11042" w:type="dxa"/>
            <w:noWrap w:val="0"/>
            <w:vAlign w:val="center"/>
          </w:tcPr>
          <w:p w14:paraId="6E4F1DB0">
            <w:pPr>
              <w:keepNext w:val="0"/>
              <w:keepLines w:val="0"/>
              <w:pageBreakBefore w:val="0"/>
              <w:widowControl/>
              <w:kinsoku/>
              <w:wordWrap/>
              <w:overflowPunct/>
              <w:topLinePunct w:val="0"/>
              <w:autoSpaceDE/>
              <w:autoSpaceDN/>
              <w:bidi w:val="0"/>
              <w:adjustRightInd/>
              <w:snapToGrid w:val="0"/>
              <w:spacing w:line="240" w:lineRule="auto"/>
              <w:ind w:left="0" w:leftChars="0" w:firstLine="210" w:firstLineChars="100"/>
              <w:jc w:val="left"/>
              <w:textAlignment w:val="auto"/>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（6）......</w:t>
            </w:r>
          </w:p>
        </w:tc>
      </w:tr>
      <w:tr w14:paraId="249B3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9" w:type="dxa"/>
            <w:vMerge w:val="restart"/>
            <w:noWrap w:val="0"/>
            <w:vAlign w:val="center"/>
          </w:tcPr>
          <w:p w14:paraId="58980272">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w:t>
            </w:r>
          </w:p>
        </w:tc>
        <w:tc>
          <w:tcPr>
            <w:tcW w:w="2474" w:type="dxa"/>
            <w:vMerge w:val="restart"/>
            <w:noWrap w:val="0"/>
            <w:vAlign w:val="center"/>
          </w:tcPr>
          <w:p w14:paraId="78C05B6B">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保密和思想政治教育</w:t>
            </w:r>
          </w:p>
        </w:tc>
        <w:tc>
          <w:tcPr>
            <w:tcW w:w="11042" w:type="dxa"/>
            <w:noWrap w:val="0"/>
            <w:vAlign w:val="center"/>
          </w:tcPr>
          <w:p w14:paraId="0F506B8A">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（1）建立保密管理制度。制度内容应当包括但不限于：①明确重点要害岗位保密职责。②对涉密工作岗位的保密要求。</w:t>
            </w:r>
          </w:p>
        </w:tc>
      </w:tr>
      <w:tr w14:paraId="4E5AE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9" w:type="dxa"/>
            <w:vMerge w:val="continue"/>
            <w:noWrap w:val="0"/>
            <w:vAlign w:val="center"/>
          </w:tcPr>
          <w:p w14:paraId="26D079E6">
            <w:pPr>
              <w:widowControl w:val="0"/>
              <w:bidi w:val="0"/>
              <w:snapToGrid w:val="0"/>
              <w:spacing w:line="240" w:lineRule="auto"/>
              <w:ind w:firstLine="420" w:firstLineChars="200"/>
              <w:jc w:val="center"/>
              <w:rPr>
                <w:rFonts w:hint="eastAsia" w:ascii="仿宋" w:hAnsi="仿宋" w:eastAsia="仿宋" w:cs="仿宋"/>
                <w:sz w:val="21"/>
                <w:szCs w:val="21"/>
                <w:highlight w:val="none"/>
                <w:lang w:val="en-US" w:eastAsia="zh-CN"/>
              </w:rPr>
            </w:pPr>
          </w:p>
        </w:tc>
        <w:tc>
          <w:tcPr>
            <w:tcW w:w="2474" w:type="dxa"/>
            <w:vMerge w:val="continue"/>
            <w:noWrap w:val="0"/>
            <w:vAlign w:val="center"/>
          </w:tcPr>
          <w:p w14:paraId="25382F68">
            <w:pPr>
              <w:widowControl w:val="0"/>
              <w:bidi w:val="0"/>
              <w:snapToGrid w:val="0"/>
              <w:spacing w:line="240" w:lineRule="auto"/>
              <w:ind w:firstLine="420" w:firstLineChars="200"/>
              <w:jc w:val="center"/>
              <w:rPr>
                <w:rFonts w:hint="eastAsia" w:ascii="仿宋" w:hAnsi="仿宋" w:eastAsia="仿宋" w:cs="仿宋"/>
                <w:sz w:val="21"/>
                <w:szCs w:val="21"/>
                <w:highlight w:val="none"/>
                <w:lang w:val="en-US" w:eastAsia="zh-CN"/>
              </w:rPr>
            </w:pPr>
          </w:p>
        </w:tc>
        <w:tc>
          <w:tcPr>
            <w:tcW w:w="11042" w:type="dxa"/>
            <w:noWrap w:val="0"/>
            <w:vAlign w:val="center"/>
          </w:tcPr>
          <w:p w14:paraId="1FD0C171">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（2）根据采购人要求与涉密工作岗位的服务人员签订保密协议。保密协议应当向采购人报备。</w:t>
            </w:r>
          </w:p>
        </w:tc>
      </w:tr>
      <w:tr w14:paraId="7E1E8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9" w:type="dxa"/>
            <w:vMerge w:val="continue"/>
            <w:noWrap w:val="0"/>
            <w:vAlign w:val="center"/>
          </w:tcPr>
          <w:p w14:paraId="4164A051">
            <w:pPr>
              <w:widowControl w:val="0"/>
              <w:bidi w:val="0"/>
              <w:snapToGrid w:val="0"/>
              <w:spacing w:line="240" w:lineRule="auto"/>
              <w:ind w:firstLine="420" w:firstLineChars="200"/>
              <w:jc w:val="center"/>
              <w:rPr>
                <w:rFonts w:hint="eastAsia" w:ascii="仿宋" w:hAnsi="仿宋" w:eastAsia="仿宋" w:cs="仿宋"/>
                <w:sz w:val="21"/>
                <w:szCs w:val="21"/>
                <w:highlight w:val="none"/>
                <w:lang w:val="en-US" w:eastAsia="zh-CN"/>
              </w:rPr>
            </w:pPr>
          </w:p>
        </w:tc>
        <w:tc>
          <w:tcPr>
            <w:tcW w:w="2474" w:type="dxa"/>
            <w:vMerge w:val="continue"/>
            <w:noWrap w:val="0"/>
            <w:vAlign w:val="center"/>
          </w:tcPr>
          <w:p w14:paraId="70198FE2">
            <w:pPr>
              <w:widowControl w:val="0"/>
              <w:bidi w:val="0"/>
              <w:snapToGrid w:val="0"/>
              <w:spacing w:line="240" w:lineRule="auto"/>
              <w:ind w:firstLine="420" w:firstLineChars="200"/>
              <w:jc w:val="center"/>
              <w:rPr>
                <w:rFonts w:hint="eastAsia" w:ascii="仿宋" w:hAnsi="仿宋" w:eastAsia="仿宋" w:cs="仿宋"/>
                <w:sz w:val="21"/>
                <w:szCs w:val="21"/>
                <w:highlight w:val="none"/>
                <w:lang w:val="en-US" w:eastAsia="zh-CN"/>
              </w:rPr>
            </w:pPr>
          </w:p>
        </w:tc>
        <w:tc>
          <w:tcPr>
            <w:tcW w:w="11042" w:type="dxa"/>
            <w:noWrap w:val="0"/>
            <w:vAlign w:val="center"/>
          </w:tcPr>
          <w:p w14:paraId="1EFB3E83">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3）每季度至少开展1次对服务人员进行保密、思想政治教育的培训，提高服务人员保密意识和思想政治意识。新入职员工应当接受保密、思想政治教育培训，进行必要的人员经历审查，合格后签订保密协议方可上岗。</w:t>
            </w:r>
          </w:p>
        </w:tc>
      </w:tr>
      <w:tr w14:paraId="50235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9" w:type="dxa"/>
            <w:vMerge w:val="continue"/>
            <w:noWrap w:val="0"/>
            <w:vAlign w:val="center"/>
          </w:tcPr>
          <w:p w14:paraId="2833B166">
            <w:pPr>
              <w:widowControl w:val="0"/>
              <w:bidi w:val="0"/>
              <w:snapToGrid w:val="0"/>
              <w:spacing w:line="240" w:lineRule="auto"/>
              <w:ind w:firstLine="420" w:firstLineChars="200"/>
              <w:jc w:val="center"/>
              <w:rPr>
                <w:rFonts w:hint="eastAsia" w:ascii="仿宋" w:hAnsi="仿宋" w:eastAsia="仿宋" w:cs="仿宋"/>
                <w:sz w:val="21"/>
                <w:szCs w:val="21"/>
                <w:highlight w:val="none"/>
                <w:lang w:val="en-US" w:eastAsia="zh-CN"/>
              </w:rPr>
            </w:pPr>
          </w:p>
        </w:tc>
        <w:tc>
          <w:tcPr>
            <w:tcW w:w="2474" w:type="dxa"/>
            <w:vMerge w:val="continue"/>
            <w:noWrap w:val="0"/>
            <w:vAlign w:val="center"/>
          </w:tcPr>
          <w:p w14:paraId="30DA5093">
            <w:pPr>
              <w:widowControl w:val="0"/>
              <w:bidi w:val="0"/>
              <w:snapToGrid w:val="0"/>
              <w:spacing w:line="240" w:lineRule="auto"/>
              <w:ind w:firstLine="420" w:firstLineChars="200"/>
              <w:jc w:val="center"/>
              <w:rPr>
                <w:rFonts w:hint="eastAsia" w:ascii="仿宋" w:hAnsi="仿宋" w:eastAsia="仿宋" w:cs="仿宋"/>
                <w:sz w:val="21"/>
                <w:szCs w:val="21"/>
                <w:highlight w:val="none"/>
                <w:lang w:val="en-US" w:eastAsia="zh-CN"/>
              </w:rPr>
            </w:pPr>
          </w:p>
        </w:tc>
        <w:tc>
          <w:tcPr>
            <w:tcW w:w="11042" w:type="dxa"/>
            <w:noWrap w:val="0"/>
            <w:vAlign w:val="center"/>
          </w:tcPr>
          <w:p w14:paraId="6624BFA6">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（4）发现服务人员违法违规或重大过失，及时报告采购人，并采取必要补救措施。</w:t>
            </w:r>
          </w:p>
        </w:tc>
      </w:tr>
      <w:tr w14:paraId="34E7E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9" w:type="dxa"/>
            <w:vMerge w:val="continue"/>
            <w:noWrap w:val="0"/>
            <w:vAlign w:val="center"/>
          </w:tcPr>
          <w:p w14:paraId="41A90080">
            <w:pPr>
              <w:widowControl w:val="0"/>
              <w:bidi w:val="0"/>
              <w:snapToGrid w:val="0"/>
              <w:spacing w:line="240" w:lineRule="auto"/>
              <w:ind w:firstLine="420" w:firstLineChars="200"/>
              <w:jc w:val="center"/>
              <w:rPr>
                <w:rFonts w:hint="eastAsia" w:ascii="仿宋" w:hAnsi="仿宋" w:eastAsia="仿宋" w:cs="仿宋"/>
                <w:sz w:val="21"/>
                <w:szCs w:val="21"/>
                <w:highlight w:val="none"/>
                <w:lang w:val="en-US" w:eastAsia="zh-CN"/>
              </w:rPr>
            </w:pPr>
          </w:p>
        </w:tc>
        <w:tc>
          <w:tcPr>
            <w:tcW w:w="2474" w:type="dxa"/>
            <w:vMerge w:val="continue"/>
            <w:noWrap w:val="0"/>
            <w:vAlign w:val="center"/>
          </w:tcPr>
          <w:p w14:paraId="44C64BD0">
            <w:pPr>
              <w:widowControl w:val="0"/>
              <w:bidi w:val="0"/>
              <w:snapToGrid w:val="0"/>
              <w:spacing w:line="240" w:lineRule="auto"/>
              <w:ind w:firstLine="420" w:firstLineChars="200"/>
              <w:jc w:val="center"/>
              <w:rPr>
                <w:rFonts w:hint="eastAsia" w:ascii="仿宋" w:hAnsi="仿宋" w:eastAsia="仿宋" w:cs="仿宋"/>
                <w:sz w:val="21"/>
                <w:szCs w:val="21"/>
                <w:highlight w:val="none"/>
                <w:lang w:val="en-US" w:eastAsia="zh-CN"/>
              </w:rPr>
            </w:pPr>
          </w:p>
        </w:tc>
        <w:tc>
          <w:tcPr>
            <w:tcW w:w="11042" w:type="dxa"/>
            <w:noWrap w:val="0"/>
            <w:vAlign w:val="center"/>
          </w:tcPr>
          <w:p w14:paraId="559447B7">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（5）......</w:t>
            </w:r>
          </w:p>
        </w:tc>
      </w:tr>
      <w:tr w14:paraId="71733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9" w:type="dxa"/>
            <w:vMerge w:val="restart"/>
            <w:noWrap w:val="0"/>
            <w:vAlign w:val="center"/>
          </w:tcPr>
          <w:p w14:paraId="2622CDA0">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4</w:t>
            </w:r>
          </w:p>
        </w:tc>
        <w:tc>
          <w:tcPr>
            <w:tcW w:w="2474" w:type="dxa"/>
            <w:vMerge w:val="restart"/>
            <w:noWrap w:val="0"/>
            <w:vAlign w:val="center"/>
          </w:tcPr>
          <w:p w14:paraId="4D7D0ADB">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档案管理</w:t>
            </w:r>
          </w:p>
        </w:tc>
        <w:tc>
          <w:tcPr>
            <w:tcW w:w="11042" w:type="dxa"/>
            <w:noWrap w:val="0"/>
            <w:vAlign w:val="center"/>
          </w:tcPr>
          <w:p w14:paraId="124BD78D">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（1）建立物业信息，准确、及时地对文件资料和服务记录进行归档保存，并确保其物理安全。</w:t>
            </w:r>
          </w:p>
        </w:tc>
      </w:tr>
      <w:tr w14:paraId="7C9A0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9" w:type="dxa"/>
            <w:vMerge w:val="continue"/>
            <w:noWrap w:val="0"/>
            <w:vAlign w:val="center"/>
          </w:tcPr>
          <w:p w14:paraId="51FADC46">
            <w:pPr>
              <w:keepNext w:val="0"/>
              <w:keepLines w:val="0"/>
              <w:pageBreakBefore w:val="0"/>
              <w:widowControl/>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74" w:type="dxa"/>
            <w:vMerge w:val="continue"/>
            <w:noWrap w:val="0"/>
            <w:vAlign w:val="center"/>
          </w:tcPr>
          <w:p w14:paraId="5B1F6339">
            <w:pPr>
              <w:keepNext w:val="0"/>
              <w:keepLines w:val="0"/>
              <w:pageBreakBefore w:val="0"/>
              <w:widowControl/>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11042" w:type="dxa"/>
            <w:noWrap w:val="0"/>
            <w:vAlign w:val="center"/>
          </w:tcPr>
          <w:p w14:paraId="28C4DF99">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档案和记录齐全，包括但不限于：①采购人建议与投诉等。教育培训和考核记录。保密、思想政治教育培训记录。②房屋维护服务：房屋台账、使用说明、房屋装修、维保记录等。③公用设施设备维护服务：设备台账、设备卡、使用说明、维保记录、巡查记录、</w:t>
            </w:r>
            <w:r>
              <w:rPr>
                <w:rFonts w:hint="eastAsia" w:ascii="仿宋" w:hAnsi="仿宋" w:eastAsia="仿宋" w:cs="仿宋"/>
                <w:color w:val="auto"/>
                <w:kern w:val="0"/>
                <w:sz w:val="21"/>
                <w:szCs w:val="21"/>
                <w:highlight w:val="none"/>
              </w:rPr>
              <w:t>设施设备安全运行、设施设备定期巡检、维护保养、维修档案</w:t>
            </w:r>
            <w:r>
              <w:rPr>
                <w:rFonts w:hint="eastAsia" w:ascii="仿宋" w:hAnsi="仿宋" w:eastAsia="仿宋" w:cs="仿宋"/>
                <w:b w:val="0"/>
                <w:bCs w:val="0"/>
                <w:color w:val="auto"/>
                <w:kern w:val="0"/>
                <w:sz w:val="21"/>
                <w:szCs w:val="21"/>
                <w:highlight w:val="none"/>
                <w:lang w:val="en-US" w:eastAsia="zh-CN"/>
              </w:rPr>
              <w:t>等。④保安服务：监控记录、突发事件演习与处置记录等。⑤保洁服务：工作日志、清洁检查表、用品清单、客户反馈表等。⑥绿化服务：绿化总平面图、清洁整改记录、消杀记录等。⑦其他：客户信息、财务明细、合同协议、信报信息登记、大件物品进出登记等。</w:t>
            </w:r>
          </w:p>
        </w:tc>
      </w:tr>
      <w:tr w14:paraId="030FD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9" w:type="dxa"/>
            <w:vMerge w:val="continue"/>
            <w:noWrap w:val="0"/>
            <w:vAlign w:val="center"/>
          </w:tcPr>
          <w:p w14:paraId="342DA51E">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Chars="0" w:firstLine="420" w:firstLineChars="200"/>
              <w:jc w:val="center"/>
              <w:textAlignment w:val="auto"/>
              <w:rPr>
                <w:rFonts w:hint="eastAsia" w:ascii="仿宋" w:hAnsi="仿宋" w:eastAsia="仿宋" w:cs="仿宋"/>
                <w:sz w:val="21"/>
                <w:szCs w:val="21"/>
                <w:highlight w:val="none"/>
                <w:lang w:val="en-US" w:eastAsia="zh-CN"/>
              </w:rPr>
            </w:pPr>
          </w:p>
        </w:tc>
        <w:tc>
          <w:tcPr>
            <w:tcW w:w="2474" w:type="dxa"/>
            <w:vMerge w:val="continue"/>
            <w:noWrap w:val="0"/>
            <w:vAlign w:val="center"/>
          </w:tcPr>
          <w:p w14:paraId="6B5F241C">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Chars="0" w:firstLine="420" w:firstLineChars="200"/>
              <w:jc w:val="center"/>
              <w:textAlignment w:val="auto"/>
              <w:rPr>
                <w:rFonts w:hint="eastAsia" w:ascii="仿宋" w:hAnsi="仿宋" w:eastAsia="仿宋" w:cs="仿宋"/>
                <w:sz w:val="21"/>
                <w:szCs w:val="21"/>
                <w:highlight w:val="none"/>
                <w:lang w:val="en-US" w:eastAsia="zh-CN"/>
              </w:rPr>
            </w:pPr>
          </w:p>
        </w:tc>
        <w:tc>
          <w:tcPr>
            <w:tcW w:w="11042" w:type="dxa"/>
            <w:noWrap w:val="0"/>
            <w:vAlign w:val="center"/>
          </w:tcPr>
          <w:p w14:paraId="3BF171AE">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（3）遵守采购人的信息、档案资料保密要求，未经许可，不得将建筑物平面图等资料转作其他用途或向其他单位、个人提供。</w:t>
            </w:r>
          </w:p>
        </w:tc>
      </w:tr>
      <w:tr w14:paraId="18B1E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9" w:type="dxa"/>
            <w:vMerge w:val="continue"/>
            <w:noWrap w:val="0"/>
            <w:vAlign w:val="center"/>
          </w:tcPr>
          <w:p w14:paraId="2B4FBA20">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Chars="0" w:firstLine="420" w:firstLineChars="200"/>
              <w:jc w:val="center"/>
              <w:textAlignment w:val="auto"/>
              <w:rPr>
                <w:rFonts w:hint="eastAsia" w:ascii="仿宋" w:hAnsi="仿宋" w:eastAsia="仿宋" w:cs="仿宋"/>
                <w:sz w:val="21"/>
                <w:szCs w:val="21"/>
                <w:highlight w:val="none"/>
                <w:lang w:val="en-US" w:eastAsia="zh-CN"/>
              </w:rPr>
            </w:pPr>
          </w:p>
        </w:tc>
        <w:tc>
          <w:tcPr>
            <w:tcW w:w="2474" w:type="dxa"/>
            <w:vMerge w:val="continue"/>
            <w:noWrap w:val="0"/>
            <w:vAlign w:val="center"/>
          </w:tcPr>
          <w:p w14:paraId="4AE9A5DA">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Chars="0" w:firstLine="420" w:firstLineChars="200"/>
              <w:jc w:val="center"/>
              <w:textAlignment w:val="auto"/>
              <w:rPr>
                <w:rFonts w:hint="eastAsia" w:ascii="仿宋" w:hAnsi="仿宋" w:eastAsia="仿宋" w:cs="仿宋"/>
                <w:sz w:val="21"/>
                <w:szCs w:val="21"/>
                <w:highlight w:val="none"/>
                <w:lang w:val="en-US" w:eastAsia="zh-CN"/>
              </w:rPr>
            </w:pPr>
          </w:p>
        </w:tc>
        <w:tc>
          <w:tcPr>
            <w:tcW w:w="11042" w:type="dxa"/>
            <w:noWrap w:val="0"/>
            <w:vAlign w:val="center"/>
          </w:tcPr>
          <w:p w14:paraId="6F508739">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（4）履约结束后，相关资料交还采购人，采购人按政府采购相关规定存档。</w:t>
            </w:r>
          </w:p>
        </w:tc>
      </w:tr>
      <w:tr w14:paraId="59EF7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9" w:type="dxa"/>
            <w:vMerge w:val="continue"/>
            <w:noWrap w:val="0"/>
            <w:vAlign w:val="center"/>
          </w:tcPr>
          <w:p w14:paraId="64DC18B3">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Chars="0" w:firstLine="420" w:firstLineChars="200"/>
              <w:jc w:val="center"/>
              <w:textAlignment w:val="auto"/>
              <w:rPr>
                <w:rFonts w:hint="eastAsia" w:ascii="仿宋" w:hAnsi="仿宋" w:eastAsia="仿宋" w:cs="仿宋"/>
                <w:sz w:val="21"/>
                <w:szCs w:val="21"/>
                <w:highlight w:val="none"/>
                <w:lang w:val="en-US" w:eastAsia="zh-CN"/>
              </w:rPr>
            </w:pPr>
          </w:p>
        </w:tc>
        <w:tc>
          <w:tcPr>
            <w:tcW w:w="2474" w:type="dxa"/>
            <w:vMerge w:val="continue"/>
            <w:noWrap w:val="0"/>
            <w:vAlign w:val="center"/>
          </w:tcPr>
          <w:p w14:paraId="67ED61B4">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Chars="0" w:firstLine="420" w:firstLineChars="200"/>
              <w:jc w:val="center"/>
              <w:textAlignment w:val="auto"/>
              <w:rPr>
                <w:rFonts w:hint="eastAsia" w:ascii="仿宋" w:hAnsi="仿宋" w:eastAsia="仿宋" w:cs="仿宋"/>
                <w:sz w:val="21"/>
                <w:szCs w:val="21"/>
                <w:highlight w:val="none"/>
                <w:lang w:val="en-US" w:eastAsia="zh-CN"/>
              </w:rPr>
            </w:pPr>
          </w:p>
        </w:tc>
        <w:tc>
          <w:tcPr>
            <w:tcW w:w="11042" w:type="dxa"/>
            <w:noWrap w:val="0"/>
            <w:vAlign w:val="center"/>
          </w:tcPr>
          <w:p w14:paraId="59E339BD">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（5）......</w:t>
            </w:r>
          </w:p>
        </w:tc>
      </w:tr>
      <w:tr w14:paraId="0ED61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9" w:type="dxa"/>
            <w:vMerge w:val="restart"/>
            <w:noWrap w:val="0"/>
            <w:vAlign w:val="center"/>
          </w:tcPr>
          <w:p w14:paraId="2657226A">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5</w:t>
            </w:r>
          </w:p>
        </w:tc>
        <w:tc>
          <w:tcPr>
            <w:tcW w:w="2474" w:type="dxa"/>
            <w:vMerge w:val="restart"/>
            <w:noWrap w:val="0"/>
            <w:vAlign w:val="center"/>
          </w:tcPr>
          <w:p w14:paraId="71269A44">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分包供应商管理</w:t>
            </w:r>
          </w:p>
        </w:tc>
        <w:tc>
          <w:tcPr>
            <w:tcW w:w="11042" w:type="dxa"/>
            <w:noWrap w:val="0"/>
            <w:vAlign w:val="center"/>
          </w:tcPr>
          <w:p w14:paraId="2621026E">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（1）合理控制外包服务人员数量和流动率。</w:t>
            </w:r>
          </w:p>
        </w:tc>
      </w:tr>
      <w:tr w14:paraId="41EE8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9" w:type="dxa"/>
            <w:vMerge w:val="continue"/>
            <w:noWrap w:val="0"/>
            <w:vAlign w:val="center"/>
          </w:tcPr>
          <w:p w14:paraId="4D09C4B1">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Chars="0" w:firstLine="420" w:firstLineChars="200"/>
              <w:jc w:val="center"/>
              <w:textAlignment w:val="auto"/>
              <w:rPr>
                <w:rFonts w:hint="eastAsia" w:ascii="仿宋" w:hAnsi="仿宋" w:eastAsia="仿宋" w:cs="仿宋"/>
                <w:sz w:val="21"/>
                <w:szCs w:val="21"/>
                <w:highlight w:val="none"/>
                <w:lang w:val="en-US" w:eastAsia="zh-CN"/>
              </w:rPr>
            </w:pPr>
          </w:p>
        </w:tc>
        <w:tc>
          <w:tcPr>
            <w:tcW w:w="2474" w:type="dxa"/>
            <w:vMerge w:val="continue"/>
            <w:noWrap w:val="0"/>
            <w:vAlign w:val="center"/>
          </w:tcPr>
          <w:p w14:paraId="463DD727">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Chars="0" w:firstLine="420" w:firstLineChars="200"/>
              <w:jc w:val="center"/>
              <w:textAlignment w:val="auto"/>
              <w:rPr>
                <w:rFonts w:hint="eastAsia" w:ascii="仿宋" w:hAnsi="仿宋" w:eastAsia="仿宋" w:cs="仿宋"/>
                <w:sz w:val="21"/>
                <w:szCs w:val="21"/>
                <w:highlight w:val="none"/>
                <w:lang w:val="en-US" w:eastAsia="zh-CN"/>
              </w:rPr>
            </w:pPr>
          </w:p>
        </w:tc>
        <w:tc>
          <w:tcPr>
            <w:tcW w:w="11042" w:type="dxa"/>
            <w:noWrap w:val="0"/>
            <w:vAlign w:val="center"/>
          </w:tcPr>
          <w:p w14:paraId="5E756068">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（2）根据采购人要求明确对分包供应商的要求，确定工作流程。</w:t>
            </w:r>
          </w:p>
        </w:tc>
      </w:tr>
      <w:tr w14:paraId="52457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9" w:type="dxa"/>
            <w:vMerge w:val="continue"/>
            <w:noWrap w:val="0"/>
            <w:vAlign w:val="center"/>
          </w:tcPr>
          <w:p w14:paraId="12FF575A">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Chars="0" w:firstLine="420" w:firstLineChars="200"/>
              <w:jc w:val="center"/>
              <w:textAlignment w:val="auto"/>
              <w:rPr>
                <w:rFonts w:hint="eastAsia" w:ascii="仿宋" w:hAnsi="仿宋" w:eastAsia="仿宋" w:cs="仿宋"/>
                <w:sz w:val="21"/>
                <w:szCs w:val="21"/>
                <w:highlight w:val="none"/>
                <w:lang w:val="en-US" w:eastAsia="zh-CN"/>
              </w:rPr>
            </w:pPr>
          </w:p>
        </w:tc>
        <w:tc>
          <w:tcPr>
            <w:tcW w:w="2474" w:type="dxa"/>
            <w:vMerge w:val="continue"/>
            <w:noWrap w:val="0"/>
            <w:vAlign w:val="center"/>
          </w:tcPr>
          <w:p w14:paraId="2F61052F">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Chars="0" w:firstLine="420" w:firstLineChars="200"/>
              <w:jc w:val="center"/>
              <w:textAlignment w:val="auto"/>
              <w:rPr>
                <w:rFonts w:hint="eastAsia" w:ascii="仿宋" w:hAnsi="仿宋" w:eastAsia="仿宋" w:cs="仿宋"/>
                <w:sz w:val="21"/>
                <w:szCs w:val="21"/>
                <w:highlight w:val="none"/>
                <w:lang w:val="en-US" w:eastAsia="zh-CN"/>
              </w:rPr>
            </w:pPr>
          </w:p>
        </w:tc>
        <w:tc>
          <w:tcPr>
            <w:tcW w:w="11042" w:type="dxa"/>
            <w:noWrap w:val="0"/>
            <w:vAlign w:val="center"/>
          </w:tcPr>
          <w:p w14:paraId="2101747F">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（3）明确安全管理责任和保密责任，签订安全管理责任书和保密责任书。</w:t>
            </w:r>
          </w:p>
        </w:tc>
      </w:tr>
      <w:tr w14:paraId="48305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9" w:type="dxa"/>
            <w:vMerge w:val="continue"/>
            <w:noWrap w:val="0"/>
            <w:vAlign w:val="center"/>
          </w:tcPr>
          <w:p w14:paraId="5393A84B">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Chars="0" w:firstLine="420" w:firstLineChars="200"/>
              <w:jc w:val="center"/>
              <w:textAlignment w:val="auto"/>
              <w:rPr>
                <w:rFonts w:hint="eastAsia" w:ascii="仿宋" w:hAnsi="仿宋" w:eastAsia="仿宋" w:cs="仿宋"/>
                <w:sz w:val="21"/>
                <w:szCs w:val="21"/>
                <w:highlight w:val="none"/>
                <w:lang w:val="en-US" w:eastAsia="zh-CN"/>
              </w:rPr>
            </w:pPr>
          </w:p>
        </w:tc>
        <w:tc>
          <w:tcPr>
            <w:tcW w:w="2474" w:type="dxa"/>
            <w:vMerge w:val="continue"/>
            <w:noWrap w:val="0"/>
            <w:vAlign w:val="center"/>
          </w:tcPr>
          <w:p w14:paraId="4AC4C19D">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Chars="0" w:firstLine="420" w:firstLineChars="200"/>
              <w:jc w:val="center"/>
              <w:textAlignment w:val="auto"/>
              <w:rPr>
                <w:rFonts w:hint="eastAsia" w:ascii="仿宋" w:hAnsi="仿宋" w:eastAsia="仿宋" w:cs="仿宋"/>
                <w:sz w:val="21"/>
                <w:szCs w:val="21"/>
                <w:highlight w:val="none"/>
                <w:lang w:val="en-US" w:eastAsia="zh-CN"/>
              </w:rPr>
            </w:pPr>
          </w:p>
        </w:tc>
        <w:tc>
          <w:tcPr>
            <w:tcW w:w="11042" w:type="dxa"/>
            <w:noWrap w:val="0"/>
            <w:vAlign w:val="center"/>
          </w:tcPr>
          <w:p w14:paraId="6D519E7F">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（4）开展服务检查和监管，评估服务效果，必要时进行服务流程调整。</w:t>
            </w:r>
          </w:p>
        </w:tc>
      </w:tr>
      <w:tr w14:paraId="4C82C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9" w:type="dxa"/>
            <w:vMerge w:val="continue"/>
            <w:noWrap w:val="0"/>
            <w:vAlign w:val="center"/>
          </w:tcPr>
          <w:p w14:paraId="3AF77766">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Chars="0" w:firstLine="420" w:firstLineChars="200"/>
              <w:jc w:val="center"/>
              <w:textAlignment w:val="auto"/>
              <w:rPr>
                <w:rFonts w:hint="eastAsia" w:ascii="仿宋" w:hAnsi="仿宋" w:eastAsia="仿宋" w:cs="仿宋"/>
                <w:sz w:val="21"/>
                <w:szCs w:val="21"/>
                <w:highlight w:val="none"/>
                <w:lang w:val="en-US" w:eastAsia="zh-CN"/>
              </w:rPr>
            </w:pPr>
          </w:p>
        </w:tc>
        <w:tc>
          <w:tcPr>
            <w:tcW w:w="2474" w:type="dxa"/>
            <w:vMerge w:val="continue"/>
            <w:noWrap w:val="0"/>
            <w:vAlign w:val="center"/>
          </w:tcPr>
          <w:p w14:paraId="24EFDC8E">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Chars="0" w:firstLine="420" w:firstLineChars="200"/>
              <w:jc w:val="center"/>
              <w:textAlignment w:val="auto"/>
              <w:rPr>
                <w:rFonts w:hint="eastAsia" w:ascii="仿宋" w:hAnsi="仿宋" w:eastAsia="仿宋" w:cs="仿宋"/>
                <w:sz w:val="21"/>
                <w:szCs w:val="21"/>
                <w:highlight w:val="none"/>
                <w:lang w:val="en-US" w:eastAsia="zh-CN"/>
              </w:rPr>
            </w:pPr>
          </w:p>
        </w:tc>
        <w:tc>
          <w:tcPr>
            <w:tcW w:w="11042" w:type="dxa"/>
            <w:noWrap w:val="0"/>
            <w:vAlign w:val="center"/>
          </w:tcPr>
          <w:p w14:paraId="23D23859">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（5）根据工作反馈意见与建议，持续提升服务品质。</w:t>
            </w:r>
          </w:p>
        </w:tc>
      </w:tr>
      <w:tr w14:paraId="2969A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9" w:type="dxa"/>
            <w:vMerge w:val="continue"/>
            <w:noWrap w:val="0"/>
            <w:vAlign w:val="center"/>
          </w:tcPr>
          <w:p w14:paraId="695DDCC1">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Chars="0" w:firstLine="420" w:firstLineChars="200"/>
              <w:jc w:val="center"/>
              <w:textAlignment w:val="auto"/>
              <w:rPr>
                <w:rFonts w:hint="eastAsia" w:ascii="仿宋" w:hAnsi="仿宋" w:eastAsia="仿宋" w:cs="仿宋"/>
                <w:sz w:val="21"/>
                <w:szCs w:val="21"/>
                <w:highlight w:val="none"/>
                <w:lang w:val="en-US" w:eastAsia="zh-CN"/>
              </w:rPr>
            </w:pPr>
          </w:p>
        </w:tc>
        <w:tc>
          <w:tcPr>
            <w:tcW w:w="2474" w:type="dxa"/>
            <w:vMerge w:val="continue"/>
            <w:noWrap w:val="0"/>
            <w:vAlign w:val="center"/>
          </w:tcPr>
          <w:p w14:paraId="2C5AB81F">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Chars="0" w:firstLine="420" w:firstLineChars="200"/>
              <w:jc w:val="center"/>
              <w:textAlignment w:val="auto"/>
              <w:rPr>
                <w:rFonts w:hint="eastAsia" w:ascii="仿宋" w:hAnsi="仿宋" w:eastAsia="仿宋" w:cs="仿宋"/>
                <w:sz w:val="21"/>
                <w:szCs w:val="21"/>
                <w:highlight w:val="none"/>
                <w:lang w:val="en-US" w:eastAsia="zh-CN"/>
              </w:rPr>
            </w:pPr>
          </w:p>
        </w:tc>
        <w:tc>
          <w:tcPr>
            <w:tcW w:w="11042" w:type="dxa"/>
            <w:noWrap w:val="0"/>
            <w:vAlign w:val="center"/>
          </w:tcPr>
          <w:p w14:paraId="110B496C">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（6）......</w:t>
            </w:r>
          </w:p>
        </w:tc>
      </w:tr>
      <w:tr w14:paraId="3E38B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9" w:type="dxa"/>
            <w:vMerge w:val="restart"/>
            <w:noWrap w:val="0"/>
            <w:vAlign w:val="center"/>
          </w:tcPr>
          <w:p w14:paraId="77B47A8A">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6</w:t>
            </w:r>
          </w:p>
          <w:p w14:paraId="4C9E1ADE">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74" w:type="dxa"/>
            <w:vMerge w:val="restart"/>
            <w:noWrap w:val="0"/>
            <w:vAlign w:val="center"/>
          </w:tcPr>
          <w:p w14:paraId="683ADFB0">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服务改进</w:t>
            </w:r>
          </w:p>
          <w:p w14:paraId="249C9D7B">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11042" w:type="dxa"/>
            <w:noWrap w:val="0"/>
            <w:vAlign w:val="center"/>
          </w:tcPr>
          <w:p w14:paraId="32BEA237">
            <w:pPr>
              <w:keepNext w:val="0"/>
              <w:keepLines w:val="0"/>
              <w:pageBreakBefore w:val="0"/>
              <w:widowControl/>
              <w:kinsoku/>
              <w:wordWrap/>
              <w:overflowPunct/>
              <w:topLinePunct w:val="0"/>
              <w:autoSpaceDE/>
              <w:autoSpaceDN/>
              <w:bidi w:val="0"/>
              <w:adjustRightInd/>
              <w:snapToGrid w:val="0"/>
              <w:spacing w:line="240" w:lineRule="auto"/>
              <w:ind w:left="0" w:leftChars="0" w:firstLine="210" w:firstLineChars="100"/>
              <w:jc w:val="left"/>
              <w:textAlignment w:val="auto"/>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（1）明确负责人，定期对物业服务过程进行自查，结合反馈意见与评价结果采取改进措施，持续提升管理与服务水平。</w:t>
            </w:r>
          </w:p>
        </w:tc>
      </w:tr>
      <w:tr w14:paraId="77D14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9" w:type="dxa"/>
            <w:vMerge w:val="continue"/>
            <w:noWrap w:val="0"/>
            <w:vAlign w:val="center"/>
          </w:tcPr>
          <w:p w14:paraId="6FBB981F">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Chars="0" w:firstLine="420" w:firstLineChars="200"/>
              <w:jc w:val="center"/>
              <w:textAlignment w:val="auto"/>
              <w:rPr>
                <w:rFonts w:hint="eastAsia" w:ascii="仿宋" w:hAnsi="仿宋" w:eastAsia="仿宋" w:cs="仿宋"/>
                <w:sz w:val="21"/>
                <w:szCs w:val="21"/>
                <w:highlight w:val="none"/>
                <w:lang w:val="en-US" w:eastAsia="zh-CN"/>
              </w:rPr>
            </w:pPr>
          </w:p>
        </w:tc>
        <w:tc>
          <w:tcPr>
            <w:tcW w:w="2474" w:type="dxa"/>
            <w:vMerge w:val="continue"/>
            <w:noWrap w:val="0"/>
            <w:vAlign w:val="center"/>
          </w:tcPr>
          <w:p w14:paraId="5A1182AF">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Chars="0" w:firstLine="420" w:firstLineChars="200"/>
              <w:jc w:val="center"/>
              <w:textAlignment w:val="auto"/>
              <w:rPr>
                <w:rFonts w:hint="eastAsia" w:ascii="仿宋" w:hAnsi="仿宋" w:eastAsia="仿宋" w:cs="仿宋"/>
                <w:sz w:val="21"/>
                <w:szCs w:val="21"/>
                <w:highlight w:val="none"/>
                <w:lang w:val="en-US" w:eastAsia="zh-CN"/>
              </w:rPr>
            </w:pPr>
          </w:p>
        </w:tc>
        <w:tc>
          <w:tcPr>
            <w:tcW w:w="11042" w:type="dxa"/>
            <w:noWrap w:val="0"/>
            <w:vAlign w:val="center"/>
          </w:tcPr>
          <w:p w14:paraId="79B99BCE">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（2）对不合格服务进行控制，对不合格服务的原因进行识别和分析，及时采取纠正措施，消除不合格的原因，防止不合格再发生。</w:t>
            </w:r>
          </w:p>
        </w:tc>
      </w:tr>
      <w:tr w14:paraId="2E614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9" w:type="dxa"/>
            <w:vMerge w:val="continue"/>
            <w:noWrap w:val="0"/>
            <w:vAlign w:val="center"/>
          </w:tcPr>
          <w:p w14:paraId="3B03D8F8">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74" w:type="dxa"/>
            <w:vMerge w:val="continue"/>
            <w:noWrap w:val="0"/>
            <w:vAlign w:val="center"/>
          </w:tcPr>
          <w:p w14:paraId="44483275">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11042" w:type="dxa"/>
            <w:noWrap w:val="0"/>
            <w:vAlign w:val="center"/>
          </w:tcPr>
          <w:p w14:paraId="565C4079">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（3）需整改问题及时整改完成。</w:t>
            </w:r>
          </w:p>
        </w:tc>
      </w:tr>
      <w:tr w14:paraId="2B25A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9" w:type="dxa"/>
            <w:vMerge w:val="continue"/>
            <w:noWrap w:val="0"/>
            <w:vAlign w:val="center"/>
          </w:tcPr>
          <w:p w14:paraId="0BAFE47C">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74" w:type="dxa"/>
            <w:vMerge w:val="continue"/>
            <w:noWrap w:val="0"/>
            <w:vAlign w:val="center"/>
          </w:tcPr>
          <w:p w14:paraId="5CA17FDB">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11042" w:type="dxa"/>
            <w:noWrap w:val="0"/>
            <w:vAlign w:val="center"/>
          </w:tcPr>
          <w:p w14:paraId="5B8326A6">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（4）......</w:t>
            </w:r>
          </w:p>
        </w:tc>
      </w:tr>
      <w:tr w14:paraId="6523C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9" w:type="dxa"/>
            <w:vMerge w:val="restart"/>
            <w:noWrap w:val="0"/>
            <w:vAlign w:val="center"/>
          </w:tcPr>
          <w:p w14:paraId="20E4321B">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7</w:t>
            </w:r>
          </w:p>
        </w:tc>
        <w:tc>
          <w:tcPr>
            <w:tcW w:w="2474" w:type="dxa"/>
            <w:vMerge w:val="restart"/>
            <w:noWrap w:val="0"/>
            <w:vAlign w:val="center"/>
          </w:tcPr>
          <w:p w14:paraId="41D3D29A">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rPr>
              <w:t>重大活动后勤保障</w:t>
            </w:r>
          </w:p>
        </w:tc>
        <w:tc>
          <w:tcPr>
            <w:tcW w:w="11042" w:type="dxa"/>
            <w:noWrap w:val="0"/>
            <w:vAlign w:val="center"/>
          </w:tcPr>
          <w:p w14:paraId="5BFDB464">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（1）制订流程。配合采购人制订重大活动后勤保障工作流程，需对任务进行详细了解，并根据工作安排制定详细的后勤保障计划。</w:t>
            </w:r>
          </w:p>
        </w:tc>
      </w:tr>
      <w:tr w14:paraId="78E54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9" w:type="dxa"/>
            <w:vMerge w:val="continue"/>
            <w:noWrap w:val="0"/>
            <w:vAlign w:val="center"/>
          </w:tcPr>
          <w:p w14:paraId="578B69ED">
            <w:pPr>
              <w:keepNext w:val="0"/>
              <w:keepLines w:val="0"/>
              <w:pageBreakBefore w:val="0"/>
              <w:widowControl/>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74" w:type="dxa"/>
            <w:vMerge w:val="continue"/>
            <w:noWrap w:val="0"/>
            <w:vAlign w:val="center"/>
          </w:tcPr>
          <w:p w14:paraId="2B458237">
            <w:pPr>
              <w:keepNext w:val="0"/>
              <w:keepLines w:val="0"/>
              <w:pageBreakBefore w:val="0"/>
              <w:widowControl/>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11042" w:type="dxa"/>
            <w:noWrap w:val="0"/>
            <w:vAlign w:val="center"/>
          </w:tcPr>
          <w:p w14:paraId="1F228EC9">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实施保障。按计划在关键区域和重点部位进行部署，确保任务顺利进行，对活动区域进行全面安全检查，发现并排除安全隐患，对车辆进行有序引导和管理，确保交通安全畅通，以礼貌、专业的态度对待来宾，展现良好形象。</w:t>
            </w:r>
          </w:p>
        </w:tc>
      </w:tr>
      <w:tr w14:paraId="28482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9" w:type="dxa"/>
            <w:vMerge w:val="continue"/>
            <w:noWrap w:val="0"/>
            <w:vAlign w:val="center"/>
          </w:tcPr>
          <w:p w14:paraId="51A56C3D">
            <w:pPr>
              <w:keepNext w:val="0"/>
              <w:keepLines w:val="0"/>
              <w:pageBreakBefore w:val="0"/>
              <w:widowControl/>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74" w:type="dxa"/>
            <w:vMerge w:val="continue"/>
            <w:noWrap w:val="0"/>
            <w:vAlign w:val="center"/>
          </w:tcPr>
          <w:p w14:paraId="24685EA3">
            <w:pPr>
              <w:keepNext w:val="0"/>
              <w:keepLines w:val="0"/>
              <w:pageBreakBefore w:val="0"/>
              <w:widowControl/>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11042" w:type="dxa"/>
            <w:noWrap w:val="0"/>
            <w:vAlign w:val="center"/>
          </w:tcPr>
          <w:p w14:paraId="3B88301F">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（3）收尾工作。对现场进行检查，做好清理工作。</w:t>
            </w:r>
          </w:p>
        </w:tc>
      </w:tr>
      <w:tr w14:paraId="574B0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9" w:type="dxa"/>
            <w:vMerge w:val="continue"/>
            <w:noWrap w:val="0"/>
            <w:vAlign w:val="center"/>
          </w:tcPr>
          <w:p w14:paraId="174053A9">
            <w:pPr>
              <w:keepNext w:val="0"/>
              <w:keepLines w:val="0"/>
              <w:pageBreakBefore w:val="0"/>
              <w:widowControl/>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74" w:type="dxa"/>
            <w:vMerge w:val="continue"/>
            <w:noWrap w:val="0"/>
            <w:vAlign w:val="center"/>
          </w:tcPr>
          <w:p w14:paraId="7D25F18E">
            <w:pPr>
              <w:keepNext w:val="0"/>
              <w:keepLines w:val="0"/>
              <w:pageBreakBefore w:val="0"/>
              <w:widowControl/>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11042" w:type="dxa"/>
            <w:noWrap w:val="0"/>
            <w:vAlign w:val="center"/>
          </w:tcPr>
          <w:p w14:paraId="013A1BE3">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（4）......</w:t>
            </w:r>
          </w:p>
        </w:tc>
      </w:tr>
      <w:tr w14:paraId="3B777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9" w:type="dxa"/>
            <w:vMerge w:val="restart"/>
            <w:noWrap w:val="0"/>
            <w:vAlign w:val="center"/>
          </w:tcPr>
          <w:p w14:paraId="5ED90CF7">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8</w:t>
            </w:r>
          </w:p>
        </w:tc>
        <w:tc>
          <w:tcPr>
            <w:tcW w:w="2474" w:type="dxa"/>
            <w:vMerge w:val="restart"/>
            <w:noWrap w:val="0"/>
            <w:vAlign w:val="center"/>
          </w:tcPr>
          <w:p w14:paraId="76CD825B">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color w:val="auto"/>
                <w:kern w:val="0"/>
                <w:sz w:val="21"/>
                <w:szCs w:val="21"/>
                <w:highlight w:val="none"/>
                <w:lang w:val="en-US" w:eastAsia="zh-CN"/>
              </w:rPr>
              <w:t>应急保障预案</w:t>
            </w:r>
          </w:p>
        </w:tc>
        <w:tc>
          <w:tcPr>
            <w:tcW w:w="11042" w:type="dxa"/>
            <w:noWrap w:val="0"/>
            <w:vAlign w:val="center"/>
          </w:tcPr>
          <w:p w14:paraId="0EB9ED6E">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color w:val="auto"/>
                <w:sz w:val="21"/>
                <w:szCs w:val="21"/>
                <w:highlight w:val="none"/>
                <w:u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w:t>
            </w:r>
            <w:r>
              <w:rPr>
                <w:rFonts w:hint="eastAsia" w:ascii="仿宋" w:hAnsi="仿宋" w:eastAsia="仿宋" w:cs="仿宋"/>
                <w:color w:val="auto"/>
                <w:sz w:val="21"/>
                <w:szCs w:val="21"/>
                <w:highlight w:val="none"/>
                <w:u w:val="none"/>
                <w:lang w:val="en-US" w:eastAsia="zh-CN"/>
              </w:rPr>
              <w:t>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p>
        </w:tc>
      </w:tr>
      <w:tr w14:paraId="783F1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9" w:type="dxa"/>
            <w:vMerge w:val="continue"/>
            <w:noWrap w:val="0"/>
            <w:vAlign w:val="center"/>
          </w:tcPr>
          <w:p w14:paraId="147C8ECE">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color w:val="auto"/>
                <w:kern w:val="0"/>
                <w:sz w:val="21"/>
                <w:szCs w:val="21"/>
                <w:highlight w:val="none"/>
                <w:lang w:val="en-US" w:eastAsia="zh-CN"/>
              </w:rPr>
            </w:pPr>
          </w:p>
        </w:tc>
        <w:tc>
          <w:tcPr>
            <w:tcW w:w="2474" w:type="dxa"/>
            <w:vMerge w:val="continue"/>
            <w:noWrap w:val="0"/>
            <w:vAlign w:val="center"/>
          </w:tcPr>
          <w:p w14:paraId="23B5AAF2">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color w:val="auto"/>
                <w:kern w:val="0"/>
                <w:sz w:val="21"/>
                <w:szCs w:val="21"/>
                <w:highlight w:val="none"/>
                <w:lang w:val="en-US" w:eastAsia="zh-CN"/>
              </w:rPr>
            </w:pPr>
          </w:p>
        </w:tc>
        <w:tc>
          <w:tcPr>
            <w:tcW w:w="11042" w:type="dxa"/>
            <w:noWrap w:val="0"/>
            <w:vAlign w:val="center"/>
          </w:tcPr>
          <w:p w14:paraId="6FEF892B">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color w:val="auto"/>
                <w:sz w:val="21"/>
                <w:szCs w:val="21"/>
                <w:highlight w:val="none"/>
                <w:u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w:t>
            </w:r>
            <w:r>
              <w:rPr>
                <w:rFonts w:hint="eastAsia" w:ascii="仿宋" w:hAnsi="仿宋" w:eastAsia="仿宋" w:cs="仿宋"/>
                <w:color w:val="auto"/>
                <w:sz w:val="21"/>
                <w:szCs w:val="21"/>
                <w:highlight w:val="none"/>
                <w:u w:val="none"/>
                <w:lang w:val="en-US" w:eastAsia="zh-CN"/>
              </w:rPr>
              <w:t>应急预案的建立。根据办公楼隐患排查的结果和实际情况，制定专项预案，包括但不限于：火情火警紧急处理应急预案、紧急疏散应急预案、停水停电应急预案、有限空间救援应急预案、高空作业救援应急预案、恶劣天气应对应急预案等。</w:t>
            </w:r>
          </w:p>
        </w:tc>
      </w:tr>
      <w:tr w14:paraId="3313F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9" w:type="dxa"/>
            <w:vMerge w:val="continue"/>
            <w:noWrap w:val="0"/>
            <w:vAlign w:val="center"/>
          </w:tcPr>
          <w:p w14:paraId="311E9360">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color w:val="auto"/>
                <w:kern w:val="0"/>
                <w:sz w:val="21"/>
                <w:szCs w:val="21"/>
                <w:highlight w:val="none"/>
                <w:lang w:val="en-US" w:eastAsia="zh-CN"/>
              </w:rPr>
            </w:pPr>
          </w:p>
        </w:tc>
        <w:tc>
          <w:tcPr>
            <w:tcW w:w="2474" w:type="dxa"/>
            <w:vMerge w:val="continue"/>
            <w:noWrap w:val="0"/>
            <w:vAlign w:val="center"/>
          </w:tcPr>
          <w:p w14:paraId="40F95F3B">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color w:val="auto"/>
                <w:kern w:val="0"/>
                <w:sz w:val="21"/>
                <w:szCs w:val="21"/>
                <w:highlight w:val="none"/>
                <w:lang w:val="en-US" w:eastAsia="zh-CN"/>
              </w:rPr>
            </w:pPr>
          </w:p>
        </w:tc>
        <w:tc>
          <w:tcPr>
            <w:tcW w:w="11042" w:type="dxa"/>
            <w:noWrap w:val="0"/>
            <w:vAlign w:val="center"/>
          </w:tcPr>
          <w:p w14:paraId="19F5BBB6">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color w:val="auto"/>
                <w:sz w:val="21"/>
                <w:szCs w:val="21"/>
                <w:highlight w:val="none"/>
                <w:u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（3）</w:t>
            </w:r>
            <w:r>
              <w:rPr>
                <w:rFonts w:hint="eastAsia" w:ascii="仿宋" w:hAnsi="仿宋" w:eastAsia="仿宋" w:cs="仿宋"/>
                <w:color w:val="auto"/>
                <w:sz w:val="21"/>
                <w:szCs w:val="21"/>
                <w:highlight w:val="none"/>
                <w:u w:val="none"/>
                <w:lang w:val="en-US" w:eastAsia="zh-CN"/>
              </w:rPr>
              <w:t>应急预案的培训和演练。应急预案定期培训和演练，组织相关岗位每半年至少开展一次专项应急预案演练；留存培训及演练记录和影像资料，并对预案进行评价，确保与实际情况相结合。</w:t>
            </w:r>
          </w:p>
        </w:tc>
      </w:tr>
      <w:tr w14:paraId="02596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9" w:type="dxa"/>
            <w:vMerge w:val="continue"/>
            <w:noWrap w:val="0"/>
            <w:vAlign w:val="center"/>
          </w:tcPr>
          <w:p w14:paraId="0208EFA6">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color w:val="auto"/>
                <w:kern w:val="0"/>
                <w:sz w:val="21"/>
                <w:szCs w:val="21"/>
                <w:highlight w:val="none"/>
                <w:lang w:val="en-US" w:eastAsia="zh-CN"/>
              </w:rPr>
            </w:pPr>
          </w:p>
        </w:tc>
        <w:tc>
          <w:tcPr>
            <w:tcW w:w="2474" w:type="dxa"/>
            <w:vMerge w:val="continue"/>
            <w:noWrap w:val="0"/>
            <w:vAlign w:val="center"/>
          </w:tcPr>
          <w:p w14:paraId="15CFFA34">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11042" w:type="dxa"/>
            <w:noWrap w:val="0"/>
            <w:vAlign w:val="center"/>
          </w:tcPr>
          <w:p w14:paraId="588F4401">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（4）</w:t>
            </w:r>
            <w:r>
              <w:rPr>
                <w:rFonts w:hint="eastAsia" w:ascii="仿宋" w:hAnsi="仿宋" w:eastAsia="仿宋" w:cs="仿宋"/>
                <w:color w:val="auto"/>
                <w:sz w:val="21"/>
                <w:szCs w:val="21"/>
                <w:highlight w:val="none"/>
                <w:u w:val="none"/>
                <w:lang w:val="en-US" w:eastAsia="zh-CN"/>
              </w:rPr>
              <w:t>应急物资的管理。根据专项预案中的应对需要、必要的应急物资，建立清单或台账，并由专人定期对应急物资进行检查，如有应急物资不足，及时通知采购人购置齐全，确保能够随时正常使用。</w:t>
            </w:r>
          </w:p>
        </w:tc>
      </w:tr>
      <w:tr w14:paraId="65C31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9" w:type="dxa"/>
            <w:vMerge w:val="continue"/>
            <w:noWrap w:val="0"/>
            <w:vAlign w:val="center"/>
          </w:tcPr>
          <w:p w14:paraId="3533F8F6">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color w:val="auto"/>
                <w:kern w:val="0"/>
                <w:sz w:val="21"/>
                <w:szCs w:val="21"/>
                <w:highlight w:val="none"/>
                <w:lang w:val="en-US" w:eastAsia="zh-CN"/>
              </w:rPr>
            </w:pPr>
          </w:p>
        </w:tc>
        <w:tc>
          <w:tcPr>
            <w:tcW w:w="2474" w:type="dxa"/>
            <w:vMerge w:val="continue"/>
            <w:noWrap w:val="0"/>
            <w:vAlign w:val="center"/>
          </w:tcPr>
          <w:p w14:paraId="46491A2F">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11042" w:type="dxa"/>
            <w:noWrap w:val="0"/>
            <w:vAlign w:val="center"/>
          </w:tcPr>
          <w:p w14:paraId="396F5AA4">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（5）......</w:t>
            </w:r>
          </w:p>
        </w:tc>
      </w:tr>
      <w:tr w14:paraId="529D4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9" w:type="dxa"/>
            <w:vMerge w:val="restart"/>
            <w:noWrap w:val="0"/>
            <w:vAlign w:val="center"/>
          </w:tcPr>
          <w:p w14:paraId="718D58A7">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9</w:t>
            </w:r>
          </w:p>
        </w:tc>
        <w:tc>
          <w:tcPr>
            <w:tcW w:w="2474" w:type="dxa"/>
            <w:vMerge w:val="restart"/>
            <w:noWrap w:val="0"/>
            <w:vAlign w:val="center"/>
          </w:tcPr>
          <w:p w14:paraId="27624E11">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服务方案及工作制度</w:t>
            </w:r>
          </w:p>
        </w:tc>
        <w:tc>
          <w:tcPr>
            <w:tcW w:w="11042" w:type="dxa"/>
            <w:noWrap w:val="0"/>
            <w:vAlign w:val="center"/>
          </w:tcPr>
          <w:p w14:paraId="7A0AEB73">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Cs/>
                <w:color w:val="auto"/>
                <w:sz w:val="21"/>
                <w:szCs w:val="21"/>
                <w:highlight w:val="none"/>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（1）制定工作制度，</w:t>
            </w:r>
            <w:r>
              <w:rPr>
                <w:rFonts w:hint="eastAsia" w:ascii="仿宋" w:hAnsi="仿宋" w:eastAsia="仿宋" w:cs="仿宋"/>
                <w:bCs/>
                <w:color w:val="auto"/>
                <w:sz w:val="21"/>
                <w:szCs w:val="21"/>
                <w:highlight w:val="none"/>
                <w:lang w:eastAsia="zh-CN"/>
              </w:rPr>
              <w:t>主要</w:t>
            </w:r>
            <w:r>
              <w:rPr>
                <w:rFonts w:hint="eastAsia" w:ascii="仿宋" w:hAnsi="仿宋" w:eastAsia="仿宋" w:cs="仿宋"/>
                <w:bCs/>
                <w:color w:val="auto"/>
                <w:sz w:val="21"/>
                <w:szCs w:val="21"/>
                <w:highlight w:val="none"/>
              </w:rPr>
              <w:t>包括：</w:t>
            </w:r>
            <w:r>
              <w:rPr>
                <w:rFonts w:hint="eastAsia" w:ascii="仿宋" w:hAnsi="仿宋" w:eastAsia="仿宋" w:cs="仿宋"/>
                <w:bCs/>
                <w:color w:val="auto"/>
                <w:sz w:val="21"/>
                <w:szCs w:val="21"/>
                <w:highlight w:val="none"/>
                <w:lang w:val="en-US" w:eastAsia="zh-CN"/>
              </w:rPr>
              <w:t>人员录用制度、</w:t>
            </w:r>
            <w:r>
              <w:rPr>
                <w:rFonts w:hint="eastAsia" w:ascii="仿宋" w:hAnsi="仿宋" w:eastAsia="仿宋" w:cs="仿宋"/>
                <w:b w:val="0"/>
                <w:bCs w:val="0"/>
                <w:color w:val="auto"/>
                <w:kern w:val="0"/>
                <w:sz w:val="21"/>
                <w:szCs w:val="21"/>
                <w:highlight w:val="none"/>
                <w:lang w:val="en-US" w:eastAsia="zh-CN"/>
              </w:rPr>
              <w:t>档案管理制度、</w:t>
            </w:r>
            <w:r>
              <w:rPr>
                <w:rFonts w:hint="eastAsia" w:ascii="仿宋" w:hAnsi="仿宋" w:eastAsia="仿宋" w:cs="仿宋"/>
                <w:bCs/>
                <w:color w:val="auto"/>
                <w:sz w:val="21"/>
                <w:szCs w:val="21"/>
                <w:highlight w:val="none"/>
              </w:rPr>
              <w:t>物业服务管理制度</w:t>
            </w:r>
            <w:r>
              <w:rPr>
                <w:rFonts w:hint="eastAsia" w:ascii="仿宋" w:hAnsi="仿宋" w:eastAsia="仿宋" w:cs="仿宋"/>
                <w:bCs/>
                <w:color w:val="auto"/>
                <w:sz w:val="21"/>
                <w:szCs w:val="21"/>
                <w:highlight w:val="none"/>
                <w:lang w:eastAsia="zh-CN"/>
              </w:rPr>
              <w:t>、</w:t>
            </w:r>
            <w:r>
              <w:rPr>
                <w:rFonts w:hint="eastAsia" w:ascii="仿宋" w:hAnsi="仿宋" w:eastAsia="仿宋" w:cs="仿宋"/>
                <w:b w:val="0"/>
                <w:bCs w:val="0"/>
                <w:color w:val="auto"/>
                <w:kern w:val="0"/>
                <w:sz w:val="21"/>
                <w:szCs w:val="21"/>
                <w:highlight w:val="none"/>
                <w:lang w:val="en-US" w:eastAsia="zh-CN"/>
              </w:rPr>
              <w:t>公用设施设备相关管理制度等</w:t>
            </w:r>
            <w:r>
              <w:rPr>
                <w:rFonts w:hint="eastAsia" w:ascii="仿宋" w:hAnsi="仿宋" w:eastAsia="仿宋" w:cs="仿宋"/>
                <w:bCs/>
                <w:color w:val="auto"/>
                <w:sz w:val="21"/>
                <w:szCs w:val="21"/>
                <w:highlight w:val="none"/>
                <w:lang w:eastAsia="zh-CN"/>
              </w:rPr>
              <w:t>。</w:t>
            </w:r>
          </w:p>
        </w:tc>
      </w:tr>
      <w:tr w14:paraId="38C3E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9" w:type="dxa"/>
            <w:vMerge w:val="continue"/>
            <w:noWrap w:val="0"/>
            <w:vAlign w:val="center"/>
          </w:tcPr>
          <w:p w14:paraId="0701D055">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74" w:type="dxa"/>
            <w:vMerge w:val="continue"/>
            <w:noWrap w:val="0"/>
            <w:vAlign w:val="center"/>
          </w:tcPr>
          <w:p w14:paraId="1872D425">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11042" w:type="dxa"/>
            <w:noWrap w:val="0"/>
            <w:vAlign w:val="center"/>
          </w:tcPr>
          <w:p w14:paraId="384A4BBE">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（2）制定</w:t>
            </w:r>
            <w:r>
              <w:rPr>
                <w:rFonts w:hint="eastAsia" w:ascii="仿宋" w:hAnsi="仿宋" w:eastAsia="仿宋" w:cs="仿宋"/>
                <w:bCs/>
                <w:color w:val="auto"/>
                <w:sz w:val="21"/>
                <w:szCs w:val="21"/>
                <w:highlight w:val="none"/>
              </w:rPr>
              <w:t>项目实施方案</w:t>
            </w:r>
            <w:r>
              <w:rPr>
                <w:rFonts w:hint="eastAsia" w:ascii="仿宋" w:hAnsi="仿宋" w:eastAsia="仿宋" w:cs="仿宋"/>
                <w:bCs/>
                <w:color w:val="auto"/>
                <w:sz w:val="21"/>
                <w:szCs w:val="21"/>
                <w:highlight w:val="none"/>
                <w:lang w:eastAsia="zh-CN"/>
              </w:rPr>
              <w:t>，主要</w:t>
            </w:r>
            <w:r>
              <w:rPr>
                <w:rFonts w:hint="eastAsia" w:ascii="仿宋" w:hAnsi="仿宋" w:eastAsia="仿宋" w:cs="仿宋"/>
                <w:bCs/>
                <w:color w:val="auto"/>
                <w:sz w:val="21"/>
                <w:szCs w:val="21"/>
                <w:highlight w:val="none"/>
              </w:rPr>
              <w:t>包括：</w:t>
            </w:r>
            <w:r>
              <w:rPr>
                <w:rFonts w:hint="eastAsia" w:ascii="仿宋" w:hAnsi="仿宋" w:eastAsia="仿宋" w:cs="仿宋"/>
                <w:bCs/>
                <w:color w:val="auto"/>
                <w:sz w:val="21"/>
                <w:szCs w:val="21"/>
                <w:highlight w:val="none"/>
                <w:lang w:val="en-US" w:eastAsia="zh-CN"/>
              </w:rPr>
              <w:t>交接</w:t>
            </w:r>
            <w:r>
              <w:rPr>
                <w:rFonts w:hint="eastAsia" w:ascii="仿宋" w:hAnsi="仿宋" w:eastAsia="仿宋" w:cs="仿宋"/>
                <w:bCs/>
                <w:color w:val="auto"/>
                <w:sz w:val="21"/>
                <w:szCs w:val="21"/>
                <w:highlight w:val="none"/>
              </w:rPr>
              <w:t>方案、人员培训方案、人员稳定性方案、保密方案</w:t>
            </w:r>
            <w:r>
              <w:rPr>
                <w:rFonts w:hint="eastAsia" w:ascii="仿宋" w:hAnsi="仿宋" w:eastAsia="仿宋" w:cs="仿宋"/>
                <w:bCs/>
                <w:color w:val="auto"/>
                <w:sz w:val="21"/>
                <w:szCs w:val="21"/>
                <w:highlight w:val="none"/>
                <w:lang w:eastAsia="zh-CN"/>
              </w:rPr>
              <w:t>等</w:t>
            </w:r>
            <w:r>
              <w:rPr>
                <w:rFonts w:hint="eastAsia" w:ascii="仿宋" w:hAnsi="仿宋" w:eastAsia="仿宋" w:cs="仿宋"/>
                <w:bCs/>
                <w:color w:val="auto"/>
                <w:sz w:val="21"/>
                <w:szCs w:val="21"/>
                <w:highlight w:val="none"/>
              </w:rPr>
              <w:t>。</w:t>
            </w:r>
          </w:p>
        </w:tc>
      </w:tr>
      <w:tr w14:paraId="10C84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9" w:type="dxa"/>
            <w:vMerge w:val="continue"/>
            <w:noWrap w:val="0"/>
            <w:vAlign w:val="center"/>
          </w:tcPr>
          <w:p w14:paraId="638EE9E7">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74" w:type="dxa"/>
            <w:vMerge w:val="continue"/>
            <w:noWrap w:val="0"/>
            <w:vAlign w:val="center"/>
          </w:tcPr>
          <w:p w14:paraId="0E174DBA">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11042" w:type="dxa"/>
            <w:noWrap w:val="0"/>
            <w:vAlign w:val="center"/>
          </w:tcPr>
          <w:p w14:paraId="1CDA3DCE">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（3）制定</w:t>
            </w:r>
            <w:r>
              <w:rPr>
                <w:rFonts w:hint="eastAsia" w:ascii="仿宋" w:hAnsi="仿宋" w:eastAsia="仿宋" w:cs="仿宋"/>
                <w:bCs/>
                <w:color w:val="auto"/>
                <w:sz w:val="21"/>
                <w:szCs w:val="21"/>
                <w:highlight w:val="none"/>
              </w:rPr>
              <w:t>物业服务方案</w:t>
            </w:r>
            <w:r>
              <w:rPr>
                <w:rFonts w:hint="eastAsia" w:ascii="仿宋" w:hAnsi="仿宋" w:eastAsia="仿宋" w:cs="仿宋"/>
                <w:bCs/>
                <w:color w:val="auto"/>
                <w:sz w:val="21"/>
                <w:szCs w:val="21"/>
                <w:highlight w:val="none"/>
                <w:lang w:eastAsia="zh-CN"/>
              </w:rPr>
              <w:t>，主要</w:t>
            </w:r>
            <w:r>
              <w:rPr>
                <w:rFonts w:hint="eastAsia" w:ascii="仿宋" w:hAnsi="仿宋" w:eastAsia="仿宋" w:cs="仿宋"/>
                <w:bCs/>
                <w:color w:val="auto"/>
                <w:sz w:val="21"/>
                <w:szCs w:val="21"/>
                <w:highlight w:val="none"/>
              </w:rPr>
              <w:t>包括：</w:t>
            </w:r>
            <w:r>
              <w:rPr>
                <w:rFonts w:hint="eastAsia" w:ascii="仿宋" w:hAnsi="仿宋" w:eastAsia="仿宋" w:cs="仿宋"/>
                <w:bCs/>
                <w:color w:val="auto"/>
                <w:sz w:val="21"/>
                <w:szCs w:val="21"/>
                <w:highlight w:val="none"/>
                <w:lang w:val="en-US" w:eastAsia="zh-CN"/>
              </w:rPr>
              <w:t>房屋维护服务方案、公用设施设备维护服务方案、</w:t>
            </w:r>
            <w:r>
              <w:rPr>
                <w:rFonts w:hint="eastAsia" w:ascii="仿宋" w:hAnsi="仿宋" w:eastAsia="仿宋" w:cs="仿宋"/>
                <w:bCs/>
                <w:color w:val="auto"/>
                <w:sz w:val="21"/>
                <w:szCs w:val="21"/>
                <w:highlight w:val="none"/>
              </w:rPr>
              <w:t>绿化</w:t>
            </w:r>
            <w:r>
              <w:rPr>
                <w:rFonts w:hint="eastAsia" w:ascii="仿宋" w:hAnsi="仿宋" w:eastAsia="仿宋" w:cs="仿宋"/>
                <w:bCs/>
                <w:color w:val="auto"/>
                <w:sz w:val="21"/>
                <w:szCs w:val="21"/>
                <w:highlight w:val="none"/>
                <w:lang w:val="en-US" w:eastAsia="zh-CN"/>
              </w:rPr>
              <w:t>服务</w:t>
            </w:r>
            <w:r>
              <w:rPr>
                <w:rFonts w:hint="eastAsia" w:ascii="仿宋" w:hAnsi="仿宋" w:eastAsia="仿宋" w:cs="仿宋"/>
                <w:bCs/>
                <w:color w:val="auto"/>
                <w:sz w:val="21"/>
                <w:szCs w:val="21"/>
                <w:highlight w:val="none"/>
              </w:rPr>
              <w:t>方案</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rPr>
              <w:t>保洁服务方案、</w:t>
            </w:r>
            <w:r>
              <w:rPr>
                <w:rFonts w:hint="eastAsia" w:ascii="仿宋" w:hAnsi="仿宋" w:eastAsia="仿宋" w:cs="仿宋"/>
                <w:bCs/>
                <w:color w:val="auto"/>
                <w:sz w:val="21"/>
                <w:szCs w:val="21"/>
                <w:highlight w:val="none"/>
                <w:lang w:val="en-US" w:eastAsia="zh-CN"/>
              </w:rPr>
              <w:t>保安</w:t>
            </w:r>
            <w:r>
              <w:rPr>
                <w:rFonts w:hint="eastAsia" w:ascii="仿宋" w:hAnsi="仿宋" w:eastAsia="仿宋" w:cs="仿宋"/>
                <w:bCs/>
                <w:color w:val="auto"/>
                <w:sz w:val="21"/>
                <w:szCs w:val="21"/>
                <w:highlight w:val="none"/>
              </w:rPr>
              <w:t>服务方案、会议服务方案</w:t>
            </w:r>
            <w:r>
              <w:rPr>
                <w:rFonts w:hint="eastAsia" w:ascii="仿宋" w:hAnsi="仿宋" w:eastAsia="仿宋" w:cs="仿宋"/>
                <w:bCs/>
                <w:color w:val="auto"/>
                <w:sz w:val="21"/>
                <w:szCs w:val="21"/>
                <w:highlight w:val="none"/>
                <w:lang w:val="en-US" w:eastAsia="zh-CN"/>
              </w:rPr>
              <w:t>等</w:t>
            </w:r>
            <w:r>
              <w:rPr>
                <w:rFonts w:hint="eastAsia" w:ascii="仿宋" w:hAnsi="仿宋" w:eastAsia="仿宋" w:cs="仿宋"/>
                <w:bCs/>
                <w:color w:val="auto"/>
                <w:sz w:val="21"/>
                <w:szCs w:val="21"/>
                <w:highlight w:val="none"/>
              </w:rPr>
              <w:t>。</w:t>
            </w:r>
          </w:p>
        </w:tc>
      </w:tr>
      <w:tr w14:paraId="17F72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9" w:type="dxa"/>
            <w:vMerge w:val="continue"/>
            <w:noWrap w:val="0"/>
            <w:vAlign w:val="center"/>
          </w:tcPr>
          <w:p w14:paraId="4911CCC3">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74" w:type="dxa"/>
            <w:vMerge w:val="continue"/>
            <w:noWrap w:val="0"/>
            <w:vAlign w:val="center"/>
          </w:tcPr>
          <w:p w14:paraId="6453AC7A">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11042" w:type="dxa"/>
            <w:noWrap w:val="0"/>
            <w:vAlign w:val="center"/>
          </w:tcPr>
          <w:p w14:paraId="6126BF31">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（4）......</w:t>
            </w:r>
          </w:p>
        </w:tc>
      </w:tr>
      <w:tr w14:paraId="21FAF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9" w:type="dxa"/>
            <w:vMerge w:val="restart"/>
            <w:noWrap w:val="0"/>
            <w:vAlign w:val="center"/>
          </w:tcPr>
          <w:p w14:paraId="3875916B">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10</w:t>
            </w:r>
          </w:p>
        </w:tc>
        <w:tc>
          <w:tcPr>
            <w:tcW w:w="2474" w:type="dxa"/>
            <w:vMerge w:val="restart"/>
            <w:noWrap w:val="0"/>
            <w:vAlign w:val="center"/>
          </w:tcPr>
          <w:p w14:paraId="48759207">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信报服务</w:t>
            </w:r>
          </w:p>
        </w:tc>
        <w:tc>
          <w:tcPr>
            <w:tcW w:w="11042" w:type="dxa"/>
            <w:noWrap w:val="0"/>
            <w:vAlign w:val="center"/>
          </w:tcPr>
          <w:p w14:paraId="3B075D40">
            <w:pPr>
              <w:keepNext w:val="0"/>
              <w:keepLines w:val="0"/>
              <w:pageBreakBefore w:val="0"/>
              <w:widowControl/>
              <w:kinsoku/>
              <w:wordWrap/>
              <w:overflowPunct/>
              <w:topLinePunct w:val="0"/>
              <w:autoSpaceDE/>
              <w:autoSpaceDN/>
              <w:bidi w:val="0"/>
              <w:adjustRightInd/>
              <w:snapToGrid w:val="0"/>
              <w:spacing w:line="240" w:lineRule="auto"/>
              <w:ind w:left="0" w:leftChars="0" w:firstLine="210" w:firstLineChars="100"/>
              <w:jc w:val="left"/>
              <w:textAlignment w:val="auto"/>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（1）对邮件、包裹和挂号信等进行正确分理、安全检查和防疫卫生检查。</w:t>
            </w:r>
          </w:p>
        </w:tc>
      </w:tr>
      <w:tr w14:paraId="2ED05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9" w:type="dxa"/>
            <w:vMerge w:val="continue"/>
            <w:noWrap w:val="0"/>
            <w:vAlign w:val="center"/>
          </w:tcPr>
          <w:p w14:paraId="14B5F456">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74" w:type="dxa"/>
            <w:vMerge w:val="continue"/>
            <w:noWrap w:val="0"/>
            <w:vAlign w:val="center"/>
          </w:tcPr>
          <w:p w14:paraId="3AF86390">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11042" w:type="dxa"/>
            <w:noWrap w:val="0"/>
            <w:vAlign w:val="center"/>
          </w:tcPr>
          <w:p w14:paraId="0F01ACBA">
            <w:pPr>
              <w:keepNext w:val="0"/>
              <w:keepLines w:val="0"/>
              <w:pageBreakBefore w:val="0"/>
              <w:widowControl/>
              <w:kinsoku/>
              <w:wordWrap/>
              <w:overflowPunct/>
              <w:topLinePunct w:val="0"/>
              <w:autoSpaceDE/>
              <w:autoSpaceDN/>
              <w:bidi w:val="0"/>
              <w:adjustRightInd/>
              <w:snapToGrid w:val="0"/>
              <w:spacing w:line="240" w:lineRule="auto"/>
              <w:ind w:left="0" w:leftChars="0" w:firstLine="210" w:firstLineChars="100"/>
              <w:jc w:val="left"/>
              <w:textAlignment w:val="auto"/>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（2）及时投送或通知收件人领取。</w:t>
            </w:r>
          </w:p>
        </w:tc>
      </w:tr>
      <w:tr w14:paraId="5E4C7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9" w:type="dxa"/>
            <w:vMerge w:val="continue"/>
            <w:noWrap w:val="0"/>
            <w:vAlign w:val="center"/>
          </w:tcPr>
          <w:p w14:paraId="37C00985">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74" w:type="dxa"/>
            <w:vMerge w:val="continue"/>
            <w:noWrap w:val="0"/>
            <w:vAlign w:val="center"/>
          </w:tcPr>
          <w:p w14:paraId="65FC856F">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11042" w:type="dxa"/>
            <w:noWrap w:val="0"/>
            <w:vAlign w:val="center"/>
          </w:tcPr>
          <w:p w14:paraId="198DF424">
            <w:pPr>
              <w:keepNext w:val="0"/>
              <w:keepLines w:val="0"/>
              <w:pageBreakBefore w:val="0"/>
              <w:widowControl/>
              <w:kinsoku/>
              <w:wordWrap/>
              <w:overflowPunct/>
              <w:topLinePunct w:val="0"/>
              <w:autoSpaceDE/>
              <w:autoSpaceDN/>
              <w:bidi w:val="0"/>
              <w:adjustRightInd/>
              <w:snapToGrid w:val="0"/>
              <w:spacing w:line="240" w:lineRule="auto"/>
              <w:ind w:left="0" w:leftChars="0" w:firstLine="210" w:firstLineChars="100"/>
              <w:jc w:val="left"/>
              <w:textAlignment w:val="auto"/>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（3）</w:t>
            </w:r>
            <w:r>
              <w:rPr>
                <w:rFonts w:hint="eastAsia" w:ascii="仿宋" w:hAnsi="仿宋" w:eastAsia="仿宋" w:cs="仿宋"/>
                <w:color w:val="auto"/>
                <w:sz w:val="21"/>
                <w:szCs w:val="21"/>
                <w:highlight w:val="none"/>
                <w:u w:val="none"/>
              </w:rPr>
              <w:t>大件物品出入</w:t>
            </w:r>
            <w:r>
              <w:rPr>
                <w:rFonts w:hint="eastAsia" w:ascii="仿宋" w:hAnsi="仿宋" w:eastAsia="仿宋" w:cs="仿宋"/>
                <w:color w:val="auto"/>
                <w:sz w:val="21"/>
                <w:szCs w:val="21"/>
                <w:highlight w:val="none"/>
                <w:u w:val="none"/>
                <w:lang w:val="en-US" w:eastAsia="zh-CN"/>
              </w:rPr>
              <w:t>向采购人报告，待采购人确认无误后放行</w:t>
            </w:r>
            <w:r>
              <w:rPr>
                <w:rFonts w:hint="eastAsia" w:ascii="仿宋" w:hAnsi="仿宋" w:eastAsia="仿宋" w:cs="仿宋"/>
                <w:color w:val="auto"/>
                <w:sz w:val="21"/>
                <w:szCs w:val="21"/>
                <w:highlight w:val="none"/>
                <w:u w:val="none"/>
                <w:lang w:eastAsia="zh-CN"/>
              </w:rPr>
              <w:t>。</w:t>
            </w:r>
          </w:p>
        </w:tc>
      </w:tr>
      <w:tr w14:paraId="0C002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9" w:type="dxa"/>
            <w:vMerge w:val="continue"/>
            <w:noWrap w:val="0"/>
            <w:vAlign w:val="center"/>
          </w:tcPr>
          <w:p w14:paraId="3A2625F9">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74" w:type="dxa"/>
            <w:vMerge w:val="continue"/>
            <w:noWrap w:val="0"/>
            <w:vAlign w:val="center"/>
          </w:tcPr>
          <w:p w14:paraId="60EEAA10">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11042" w:type="dxa"/>
            <w:noWrap w:val="0"/>
            <w:vAlign w:val="center"/>
          </w:tcPr>
          <w:p w14:paraId="659E1B85">
            <w:pPr>
              <w:keepNext w:val="0"/>
              <w:keepLines w:val="0"/>
              <w:pageBreakBefore w:val="0"/>
              <w:widowControl/>
              <w:kinsoku/>
              <w:wordWrap/>
              <w:overflowPunct/>
              <w:topLinePunct w:val="0"/>
              <w:autoSpaceDE/>
              <w:autoSpaceDN/>
              <w:bidi w:val="0"/>
              <w:adjustRightInd/>
              <w:snapToGrid w:val="0"/>
              <w:spacing w:line="240" w:lineRule="auto"/>
              <w:ind w:left="0" w:leftChars="0" w:firstLine="210" w:firstLineChars="100"/>
              <w:jc w:val="left"/>
              <w:textAlignment w:val="auto"/>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（4）......</w:t>
            </w:r>
          </w:p>
        </w:tc>
      </w:tr>
      <w:tr w14:paraId="4905A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9" w:type="dxa"/>
            <w:vMerge w:val="restart"/>
            <w:noWrap w:val="0"/>
            <w:vAlign w:val="center"/>
          </w:tcPr>
          <w:p w14:paraId="125CDD32">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11</w:t>
            </w:r>
          </w:p>
        </w:tc>
        <w:tc>
          <w:tcPr>
            <w:tcW w:w="2474" w:type="dxa"/>
            <w:vMerge w:val="restart"/>
            <w:noWrap w:val="0"/>
            <w:vAlign w:val="center"/>
          </w:tcPr>
          <w:p w14:paraId="334125A5">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服务热线及紧急维修</w:t>
            </w:r>
          </w:p>
        </w:tc>
        <w:tc>
          <w:tcPr>
            <w:tcW w:w="11042" w:type="dxa"/>
            <w:noWrap w:val="0"/>
            <w:vAlign w:val="center"/>
          </w:tcPr>
          <w:p w14:paraId="734323B6">
            <w:pPr>
              <w:keepNext w:val="0"/>
              <w:keepLines w:val="0"/>
              <w:pageBreakBefore w:val="0"/>
              <w:widowControl/>
              <w:kinsoku/>
              <w:wordWrap/>
              <w:overflowPunct/>
              <w:topLinePunct w:val="0"/>
              <w:autoSpaceDE/>
              <w:autoSpaceDN/>
              <w:bidi w:val="0"/>
              <w:adjustRightInd/>
              <w:snapToGrid w:val="0"/>
              <w:spacing w:line="240" w:lineRule="auto"/>
              <w:ind w:left="0" w:leftChars="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（1）设置24小时报修服务热线。</w:t>
            </w:r>
          </w:p>
        </w:tc>
      </w:tr>
      <w:tr w14:paraId="0B48C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9" w:type="dxa"/>
            <w:vMerge w:val="continue"/>
            <w:noWrap w:val="0"/>
            <w:vAlign w:val="center"/>
          </w:tcPr>
          <w:p w14:paraId="68697A5D">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74" w:type="dxa"/>
            <w:vMerge w:val="continue"/>
            <w:noWrap w:val="0"/>
            <w:vAlign w:val="center"/>
          </w:tcPr>
          <w:p w14:paraId="05254070">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both"/>
              <w:textAlignment w:val="auto"/>
              <w:rPr>
                <w:rFonts w:hint="eastAsia" w:ascii="仿宋" w:hAnsi="仿宋" w:eastAsia="仿宋" w:cs="仿宋"/>
                <w:sz w:val="21"/>
                <w:szCs w:val="21"/>
                <w:highlight w:val="none"/>
                <w:lang w:val="en-US" w:eastAsia="zh-CN"/>
              </w:rPr>
            </w:pPr>
          </w:p>
        </w:tc>
        <w:tc>
          <w:tcPr>
            <w:tcW w:w="11042" w:type="dxa"/>
            <w:noWrap w:val="0"/>
            <w:vAlign w:val="center"/>
          </w:tcPr>
          <w:p w14:paraId="4AA11DC0">
            <w:pPr>
              <w:keepNext w:val="0"/>
              <w:keepLines w:val="0"/>
              <w:pageBreakBefore w:val="0"/>
              <w:widowControl/>
              <w:kinsoku/>
              <w:wordWrap/>
              <w:overflowPunct/>
              <w:topLinePunct w:val="0"/>
              <w:autoSpaceDE/>
              <w:autoSpaceDN/>
              <w:bidi w:val="0"/>
              <w:adjustRightInd/>
              <w:snapToGrid w:val="0"/>
              <w:spacing w:line="240" w:lineRule="auto"/>
              <w:ind w:left="0" w:leftChars="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w:t>
            </w:r>
            <w:r>
              <w:rPr>
                <w:rFonts w:hint="eastAsia" w:ascii="仿宋" w:hAnsi="仿宋" w:eastAsia="仿宋" w:cs="仿宋"/>
                <w:color w:val="auto"/>
                <w:sz w:val="21"/>
                <w:szCs w:val="21"/>
                <w:highlight w:val="none"/>
                <w:u w:val="none"/>
                <w:lang w:val="en-US" w:eastAsia="zh-CN"/>
              </w:rPr>
              <w:t>紧急维修应当15分钟内到达现场，不间断维修直至修复。</w:t>
            </w:r>
          </w:p>
        </w:tc>
      </w:tr>
      <w:tr w14:paraId="7FBD3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9" w:type="dxa"/>
            <w:vMerge w:val="continue"/>
            <w:noWrap w:val="0"/>
            <w:vAlign w:val="center"/>
          </w:tcPr>
          <w:p w14:paraId="0A26722F">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74" w:type="dxa"/>
            <w:vMerge w:val="continue"/>
            <w:noWrap w:val="0"/>
            <w:vAlign w:val="center"/>
          </w:tcPr>
          <w:p w14:paraId="5ACB156C">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both"/>
              <w:textAlignment w:val="auto"/>
              <w:rPr>
                <w:rFonts w:hint="eastAsia" w:ascii="仿宋" w:hAnsi="仿宋" w:eastAsia="仿宋" w:cs="仿宋"/>
                <w:sz w:val="21"/>
                <w:szCs w:val="21"/>
                <w:highlight w:val="none"/>
                <w:lang w:val="en-US" w:eastAsia="zh-CN"/>
              </w:rPr>
            </w:pPr>
          </w:p>
        </w:tc>
        <w:tc>
          <w:tcPr>
            <w:tcW w:w="11042" w:type="dxa"/>
            <w:noWrap w:val="0"/>
            <w:vAlign w:val="center"/>
          </w:tcPr>
          <w:p w14:paraId="56568250">
            <w:pPr>
              <w:keepNext w:val="0"/>
              <w:keepLines w:val="0"/>
              <w:pageBreakBefore w:val="0"/>
              <w:widowControl/>
              <w:kinsoku/>
              <w:wordWrap/>
              <w:overflowPunct/>
              <w:topLinePunct w:val="0"/>
              <w:autoSpaceDE/>
              <w:autoSpaceDN/>
              <w:bidi w:val="0"/>
              <w:adjustRightInd/>
              <w:snapToGrid w:val="0"/>
              <w:spacing w:line="240" w:lineRule="auto"/>
              <w:ind w:left="0" w:leftChars="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（3）......</w:t>
            </w:r>
          </w:p>
        </w:tc>
      </w:tr>
    </w:tbl>
    <w:p w14:paraId="0FD287CB">
      <w:pPr>
        <w:widowControl w:val="0"/>
        <w:bidi w:val="0"/>
        <w:snapToGrid w:val="0"/>
        <w:spacing w:line="300" w:lineRule="auto"/>
        <w:ind w:firstLine="562" w:firstLineChars="200"/>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3.2房屋维护服务</w:t>
      </w:r>
    </w:p>
    <w:tbl>
      <w:tblPr>
        <w:tblStyle w:val="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7"/>
        <w:gridCol w:w="1421"/>
        <w:gridCol w:w="6374"/>
      </w:tblGrid>
      <w:tr w14:paraId="43D8F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0" w:type="dxa"/>
            <w:noWrap w:val="0"/>
            <w:vAlign w:val="center"/>
          </w:tcPr>
          <w:p w14:paraId="55385072">
            <w:pPr>
              <w:pageBreakBefore w:val="0"/>
              <w:widowControl/>
              <w:kinsoku/>
              <w:wordWrap/>
              <w:overflowPunct/>
              <w:topLinePunct w:val="0"/>
              <w:bidi w:val="0"/>
              <w:snapToGrid w:val="0"/>
              <w:spacing w:line="300" w:lineRule="auto"/>
              <w:ind w:left="0" w:leftChars="0" w:firstLine="0" w:firstLineChars="0"/>
              <w:jc w:val="center"/>
              <w:rPr>
                <w:rFonts w:hint="eastAsia" w:ascii="仿宋" w:hAnsi="仿宋" w:eastAsia="仿宋" w:cs="仿宋"/>
                <w:b/>
                <w:bCs/>
                <w:color w:val="auto"/>
                <w:kern w:val="0"/>
                <w:sz w:val="21"/>
                <w:szCs w:val="21"/>
                <w:highlight w:val="none"/>
                <w:lang w:val="en-US" w:eastAsia="zh-CN"/>
              </w:rPr>
            </w:pPr>
            <w:r>
              <w:rPr>
                <w:rFonts w:hint="eastAsia" w:ascii="仿宋" w:hAnsi="仿宋" w:eastAsia="仿宋" w:cs="仿宋"/>
                <w:b/>
                <w:bCs/>
                <w:color w:val="auto"/>
                <w:kern w:val="0"/>
                <w:sz w:val="21"/>
                <w:szCs w:val="21"/>
                <w:highlight w:val="none"/>
                <w:lang w:val="en-US" w:eastAsia="zh-CN"/>
              </w:rPr>
              <w:t>序号</w:t>
            </w:r>
          </w:p>
        </w:tc>
        <w:tc>
          <w:tcPr>
            <w:tcW w:w="2465" w:type="dxa"/>
            <w:noWrap w:val="0"/>
            <w:vAlign w:val="center"/>
          </w:tcPr>
          <w:p w14:paraId="3539C2D3">
            <w:pPr>
              <w:pageBreakBefore w:val="0"/>
              <w:widowControl/>
              <w:kinsoku/>
              <w:wordWrap/>
              <w:overflowPunct/>
              <w:topLinePunct w:val="0"/>
              <w:bidi w:val="0"/>
              <w:snapToGrid w:val="0"/>
              <w:spacing w:line="300" w:lineRule="auto"/>
              <w:ind w:left="0" w:leftChars="0" w:firstLine="0" w:firstLineChars="0"/>
              <w:jc w:val="center"/>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服务内容</w:t>
            </w:r>
          </w:p>
        </w:tc>
        <w:tc>
          <w:tcPr>
            <w:tcW w:w="11061" w:type="dxa"/>
            <w:noWrap w:val="0"/>
            <w:vAlign w:val="center"/>
          </w:tcPr>
          <w:p w14:paraId="4056F0F7">
            <w:pPr>
              <w:pageBreakBefore w:val="0"/>
              <w:widowControl/>
              <w:kinsoku/>
              <w:wordWrap/>
              <w:overflowPunct/>
              <w:topLinePunct w:val="0"/>
              <w:bidi w:val="0"/>
              <w:snapToGrid w:val="0"/>
              <w:spacing w:line="300" w:lineRule="auto"/>
              <w:ind w:left="0" w:leftChars="0" w:firstLine="0" w:firstLineChars="0"/>
              <w:jc w:val="center"/>
              <w:rPr>
                <w:rFonts w:hint="eastAsia" w:ascii="仿宋" w:hAnsi="仿宋" w:eastAsia="仿宋" w:cs="仿宋"/>
                <w:b/>
                <w:bCs/>
                <w:color w:val="auto"/>
                <w:kern w:val="0"/>
                <w:sz w:val="21"/>
                <w:szCs w:val="21"/>
                <w:highlight w:val="none"/>
                <w:lang w:val="en-US" w:eastAsia="zh-CN"/>
              </w:rPr>
            </w:pPr>
            <w:r>
              <w:rPr>
                <w:rFonts w:hint="eastAsia" w:ascii="仿宋" w:hAnsi="仿宋" w:eastAsia="仿宋" w:cs="仿宋"/>
                <w:b/>
                <w:bCs/>
                <w:color w:val="auto"/>
                <w:kern w:val="0"/>
                <w:sz w:val="21"/>
                <w:szCs w:val="21"/>
                <w:highlight w:val="none"/>
                <w:lang w:val="en-US" w:eastAsia="zh-CN"/>
              </w:rPr>
              <w:t>服务标准</w:t>
            </w:r>
          </w:p>
        </w:tc>
      </w:tr>
      <w:tr w14:paraId="3FE8E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0" w:type="dxa"/>
            <w:vMerge w:val="restart"/>
            <w:noWrap w:val="0"/>
            <w:vAlign w:val="center"/>
          </w:tcPr>
          <w:p w14:paraId="52B3B2A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1</w:t>
            </w:r>
          </w:p>
        </w:tc>
        <w:tc>
          <w:tcPr>
            <w:tcW w:w="2465" w:type="dxa"/>
            <w:vMerge w:val="restart"/>
            <w:noWrap w:val="0"/>
            <w:vAlign w:val="center"/>
          </w:tcPr>
          <w:p w14:paraId="713BC9B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b w:val="0"/>
                <w:bCs w:val="0"/>
                <w:color w:val="auto"/>
                <w:sz w:val="21"/>
                <w:szCs w:val="21"/>
              </w:rPr>
              <w:t>主体结构、围护结构、部品部件</w:t>
            </w:r>
          </w:p>
        </w:tc>
        <w:tc>
          <w:tcPr>
            <w:tcW w:w="11061" w:type="dxa"/>
            <w:noWrap w:val="0"/>
            <w:vAlign w:val="center"/>
          </w:tcPr>
          <w:p w14:paraId="77B6D409">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（1）每季度至少开展1次房屋结构安全巡视，发现外观有变形、开裂等现象，及时建议采购人申请房屋安全鉴定，并采取必要的避险和防护措施。</w:t>
            </w:r>
          </w:p>
        </w:tc>
      </w:tr>
      <w:tr w14:paraId="10F65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0" w:type="dxa"/>
            <w:vMerge w:val="continue"/>
            <w:noWrap w:val="0"/>
            <w:vAlign w:val="center"/>
          </w:tcPr>
          <w:p w14:paraId="64D552E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65" w:type="dxa"/>
            <w:vMerge w:val="continue"/>
            <w:noWrap w:val="0"/>
            <w:vAlign w:val="center"/>
          </w:tcPr>
          <w:p w14:paraId="521EE94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11061" w:type="dxa"/>
            <w:noWrap w:val="0"/>
            <w:vAlign w:val="center"/>
          </w:tcPr>
          <w:p w14:paraId="4F987C1D">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（2）每季度至少开展1次外墙贴饰面、幕墙玻璃、雨篷、散水、空调室外机支撑构件等检查，发现破损，及时向采购人报告，按采购人要求出具维修方案，待采购人同意后按维修方案实施维修。</w:t>
            </w:r>
          </w:p>
        </w:tc>
      </w:tr>
      <w:tr w14:paraId="255D7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0" w:type="dxa"/>
            <w:vMerge w:val="continue"/>
            <w:noWrap w:val="0"/>
            <w:vAlign w:val="center"/>
          </w:tcPr>
          <w:p w14:paraId="6920EF3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65" w:type="dxa"/>
            <w:vMerge w:val="continue"/>
            <w:noWrap w:val="0"/>
            <w:vAlign w:val="center"/>
          </w:tcPr>
          <w:p w14:paraId="2F22A30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1061" w:type="dxa"/>
            <w:noWrap w:val="0"/>
            <w:vAlign w:val="center"/>
          </w:tcPr>
          <w:p w14:paraId="63740B44">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（3）每半月至少开展1次公用部位的门、窗、楼梯、通风道、室内地面、墙面、吊顶和室外屋面等巡查，发现破损，及时向采购人报告，按采购人要求出具维修方案，待采购人同意后按维修方案实施维修。</w:t>
            </w:r>
          </w:p>
        </w:tc>
      </w:tr>
      <w:tr w14:paraId="0676F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0" w:type="dxa"/>
            <w:vMerge w:val="continue"/>
            <w:noWrap w:val="0"/>
            <w:vAlign w:val="center"/>
          </w:tcPr>
          <w:p w14:paraId="711A2E9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65" w:type="dxa"/>
            <w:vMerge w:val="continue"/>
            <w:noWrap w:val="0"/>
            <w:vAlign w:val="center"/>
          </w:tcPr>
          <w:p w14:paraId="2BF026F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1061" w:type="dxa"/>
            <w:noWrap w:val="0"/>
            <w:vAlign w:val="center"/>
          </w:tcPr>
          <w:p w14:paraId="24E690DA">
            <w:pPr>
              <w:keepNext w:val="0"/>
              <w:keepLines w:val="0"/>
              <w:pageBreakBefore w:val="0"/>
              <w:widowControl/>
              <w:kinsoku/>
              <w:wordWrap/>
              <w:overflowPunct/>
              <w:topLinePunct w:val="0"/>
              <w:autoSpaceDE/>
              <w:autoSpaceDN/>
              <w:bidi w:val="0"/>
              <w:adjustRightInd/>
              <w:snapToGrid w:val="0"/>
              <w:spacing w:line="300" w:lineRule="auto"/>
              <w:ind w:left="0" w:leftChars="0" w:firstLine="210" w:firstLineChars="100"/>
              <w:jc w:val="left"/>
              <w:textAlignment w:val="auto"/>
              <w:rPr>
                <w:rFonts w:hint="eastAsia" w:ascii="仿宋" w:hAnsi="仿宋" w:eastAsia="仿宋" w:cs="仿宋"/>
                <w:color w:val="auto"/>
                <w:kern w:val="2"/>
                <w:sz w:val="21"/>
                <w:szCs w:val="21"/>
                <w:highlight w:val="none"/>
                <w:u w:val="none"/>
                <w:lang w:val="en-US" w:eastAsia="zh-CN" w:bidi="ar-SA"/>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（4）每年强降雨天气前后、雨雪季节检查屋面防水和雨落管等，发现破损，及时向采购人报告，按采购人要求出具维修方案，待采购人同意后按维修方案实施维修。</w:t>
            </w:r>
          </w:p>
        </w:tc>
      </w:tr>
      <w:tr w14:paraId="369A4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0" w:type="dxa"/>
            <w:vMerge w:val="continue"/>
            <w:noWrap w:val="0"/>
            <w:vAlign w:val="center"/>
          </w:tcPr>
          <w:p w14:paraId="06F50F2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65" w:type="dxa"/>
            <w:vMerge w:val="continue"/>
            <w:noWrap w:val="0"/>
            <w:vAlign w:val="center"/>
          </w:tcPr>
          <w:p w14:paraId="4C9C66B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1061" w:type="dxa"/>
            <w:noWrap w:val="0"/>
            <w:vAlign w:val="center"/>
          </w:tcPr>
          <w:p w14:paraId="5359A175">
            <w:pPr>
              <w:keepNext w:val="0"/>
              <w:keepLines w:val="0"/>
              <w:pageBreakBefore w:val="0"/>
              <w:widowControl/>
              <w:kinsoku/>
              <w:wordWrap/>
              <w:overflowPunct/>
              <w:topLinePunct w:val="0"/>
              <w:autoSpaceDE/>
              <w:autoSpaceDN/>
              <w:bidi w:val="0"/>
              <w:adjustRightInd/>
              <w:snapToGrid w:val="0"/>
              <w:spacing w:line="300" w:lineRule="auto"/>
              <w:ind w:left="0" w:leftChars="0" w:firstLine="210" w:firstLineChars="100"/>
              <w:jc w:val="left"/>
              <w:textAlignment w:val="auto"/>
              <w:rPr>
                <w:rFonts w:hint="eastAsia" w:ascii="仿宋" w:hAnsi="仿宋" w:eastAsia="仿宋" w:cs="仿宋"/>
                <w:color w:val="auto"/>
                <w:kern w:val="2"/>
                <w:sz w:val="21"/>
                <w:szCs w:val="21"/>
                <w:highlight w:val="none"/>
                <w:u w:val="none"/>
                <w:lang w:val="en-US" w:eastAsia="zh-CN" w:bidi="ar-SA"/>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（5）</w:t>
            </w:r>
            <w:r>
              <w:rPr>
                <w:rFonts w:hint="eastAsia" w:ascii="仿宋" w:hAnsi="仿宋" w:eastAsia="仿宋" w:cs="仿宋"/>
                <w:color w:val="auto"/>
                <w:sz w:val="21"/>
                <w:szCs w:val="21"/>
                <w:highlight w:val="none"/>
                <w:u w:val="none"/>
                <w:lang w:val="en-US" w:eastAsia="zh-CN"/>
              </w:rPr>
              <w:t>办公楼外观完好，建筑装饰面无脱落、无破损、无污渍，玻璃幕墙清洁明亮、无破损。</w:t>
            </w:r>
          </w:p>
        </w:tc>
      </w:tr>
      <w:tr w14:paraId="47845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0" w:type="dxa"/>
            <w:vMerge w:val="continue"/>
            <w:noWrap w:val="0"/>
            <w:vAlign w:val="center"/>
          </w:tcPr>
          <w:p w14:paraId="1B92CF3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65" w:type="dxa"/>
            <w:vMerge w:val="continue"/>
            <w:noWrap w:val="0"/>
            <w:vAlign w:val="center"/>
          </w:tcPr>
          <w:p w14:paraId="0374A8A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1061" w:type="dxa"/>
            <w:noWrap w:val="0"/>
            <w:vAlign w:val="center"/>
          </w:tcPr>
          <w:p w14:paraId="394B5F03">
            <w:pPr>
              <w:keepNext w:val="0"/>
              <w:keepLines w:val="0"/>
              <w:pageBreakBefore w:val="0"/>
              <w:widowControl/>
              <w:kinsoku/>
              <w:wordWrap/>
              <w:overflowPunct/>
              <w:topLinePunct w:val="0"/>
              <w:autoSpaceDE/>
              <w:autoSpaceDN/>
              <w:bidi w:val="0"/>
              <w:adjustRightInd/>
              <w:snapToGrid w:val="0"/>
              <w:spacing w:line="300" w:lineRule="auto"/>
              <w:ind w:left="0" w:leftChars="0" w:firstLine="210" w:firstLineChars="100"/>
              <w:jc w:val="left"/>
              <w:textAlignment w:val="auto"/>
              <w:rPr>
                <w:rFonts w:hint="eastAsia" w:ascii="仿宋" w:hAnsi="仿宋" w:eastAsia="仿宋" w:cs="仿宋"/>
                <w:color w:val="auto"/>
                <w:kern w:val="2"/>
                <w:sz w:val="21"/>
                <w:szCs w:val="21"/>
                <w:highlight w:val="none"/>
                <w:u w:val="none"/>
                <w:lang w:val="en-US" w:eastAsia="zh-CN" w:bidi="ar-SA"/>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（6）</w:t>
            </w:r>
            <w:r>
              <w:rPr>
                <w:rFonts w:hint="eastAsia" w:ascii="仿宋" w:hAnsi="仿宋" w:eastAsia="仿宋" w:cs="仿宋"/>
                <w:color w:val="auto"/>
                <w:sz w:val="21"/>
                <w:szCs w:val="21"/>
                <w:highlight w:val="none"/>
                <w:u w:val="none"/>
                <w:lang w:val="en-US" w:eastAsia="zh-CN"/>
              </w:rPr>
              <w:t>通道、楼梯、门窗等设施的完好和正常使用。</w:t>
            </w:r>
          </w:p>
        </w:tc>
      </w:tr>
      <w:tr w14:paraId="76947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0" w:type="dxa"/>
            <w:vMerge w:val="continue"/>
            <w:noWrap w:val="0"/>
            <w:vAlign w:val="center"/>
          </w:tcPr>
          <w:p w14:paraId="1CD0BDC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65" w:type="dxa"/>
            <w:vMerge w:val="continue"/>
            <w:noWrap w:val="0"/>
            <w:vAlign w:val="center"/>
          </w:tcPr>
          <w:p w14:paraId="0C4E94A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1061" w:type="dxa"/>
            <w:noWrap w:val="0"/>
            <w:vAlign w:val="center"/>
          </w:tcPr>
          <w:p w14:paraId="7876D548">
            <w:pPr>
              <w:keepNext w:val="0"/>
              <w:keepLines w:val="0"/>
              <w:pageBreakBefore w:val="0"/>
              <w:widowControl/>
              <w:kinsoku/>
              <w:wordWrap/>
              <w:overflowPunct/>
              <w:topLinePunct w:val="0"/>
              <w:autoSpaceDE/>
              <w:autoSpaceDN/>
              <w:bidi w:val="0"/>
              <w:adjustRightInd/>
              <w:snapToGrid w:val="0"/>
              <w:spacing w:line="300" w:lineRule="auto"/>
              <w:ind w:left="0" w:leftChars="0" w:firstLine="210" w:firstLineChars="100"/>
              <w:jc w:val="left"/>
              <w:textAlignment w:val="auto"/>
              <w:rPr>
                <w:rFonts w:hint="eastAsia" w:ascii="仿宋" w:hAnsi="仿宋" w:eastAsia="仿宋" w:cs="仿宋"/>
                <w:color w:val="auto"/>
                <w:kern w:val="2"/>
                <w:sz w:val="21"/>
                <w:szCs w:val="21"/>
                <w:highlight w:val="none"/>
                <w:u w:val="none"/>
                <w:lang w:val="en-US" w:eastAsia="zh-CN" w:bidi="ar-SA"/>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（7）......</w:t>
            </w:r>
          </w:p>
        </w:tc>
      </w:tr>
      <w:tr w14:paraId="7FB06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0" w:type="dxa"/>
            <w:vMerge w:val="restart"/>
            <w:noWrap w:val="0"/>
            <w:vAlign w:val="center"/>
          </w:tcPr>
          <w:p w14:paraId="2D7BC1F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2465" w:type="dxa"/>
            <w:vMerge w:val="restart"/>
            <w:noWrap w:val="0"/>
            <w:vAlign w:val="center"/>
          </w:tcPr>
          <w:p w14:paraId="0DD3ACF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rPr>
            </w:pPr>
            <w:r>
              <w:rPr>
                <w:rFonts w:hint="eastAsia" w:ascii="仿宋" w:hAnsi="仿宋" w:eastAsia="仿宋" w:cs="仿宋"/>
                <w:sz w:val="21"/>
                <w:szCs w:val="21"/>
                <w:highlight w:val="none"/>
                <w:lang w:val="en-US" w:eastAsia="zh-CN"/>
              </w:rPr>
              <w:t>其他设施</w:t>
            </w:r>
          </w:p>
        </w:tc>
        <w:tc>
          <w:tcPr>
            <w:tcW w:w="11061" w:type="dxa"/>
            <w:noWrap w:val="0"/>
            <w:vAlign w:val="center"/>
          </w:tcPr>
          <w:p w14:paraId="442F8C57">
            <w:pPr>
              <w:keepNext w:val="0"/>
              <w:keepLines w:val="0"/>
              <w:pageBreakBefore w:val="0"/>
              <w:widowControl/>
              <w:kinsoku/>
              <w:wordWrap/>
              <w:overflowPunct/>
              <w:topLinePunct w:val="0"/>
              <w:autoSpaceDE/>
              <w:autoSpaceDN/>
              <w:bidi w:val="0"/>
              <w:adjustRightInd/>
              <w:snapToGrid w:val="0"/>
              <w:spacing w:line="300" w:lineRule="auto"/>
              <w:ind w:left="0" w:leftChars="0" w:firstLine="210" w:firstLineChars="100"/>
              <w:jc w:val="left"/>
              <w:textAlignment w:val="auto"/>
              <w:rPr>
                <w:rFonts w:hint="eastAsia" w:ascii="仿宋" w:hAnsi="仿宋" w:eastAsia="仿宋" w:cs="仿宋"/>
                <w:color w:val="auto"/>
                <w:kern w:val="2"/>
                <w:sz w:val="21"/>
                <w:szCs w:val="21"/>
                <w:highlight w:val="none"/>
                <w:u w:val="none"/>
                <w:lang w:val="en-US" w:eastAsia="zh-CN" w:bidi="ar-SA"/>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每半月至少开展1次大门、围墙、道路、场地、管井、沟渠等巡查，每半月至少检查1次雨污水管井、化粪池等巡查，发现破损，及时向采购人报告，按采购人要求出具维修方案，待采购人同意后按维修方案实施维修。</w:t>
            </w:r>
          </w:p>
        </w:tc>
      </w:tr>
      <w:tr w14:paraId="6A273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0" w:type="dxa"/>
            <w:vMerge w:val="continue"/>
            <w:noWrap w:val="0"/>
            <w:vAlign w:val="center"/>
          </w:tcPr>
          <w:p w14:paraId="6FE8213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65" w:type="dxa"/>
            <w:vMerge w:val="continue"/>
            <w:noWrap w:val="0"/>
            <w:vAlign w:val="center"/>
          </w:tcPr>
          <w:p w14:paraId="2877178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11061" w:type="dxa"/>
            <w:noWrap w:val="0"/>
            <w:vAlign w:val="center"/>
          </w:tcPr>
          <w:p w14:paraId="6682D85E">
            <w:pPr>
              <w:keepNext w:val="0"/>
              <w:keepLines w:val="0"/>
              <w:pageBreakBefore w:val="0"/>
              <w:widowControl/>
              <w:kinsoku/>
              <w:wordWrap/>
              <w:overflowPunct/>
              <w:topLinePunct w:val="0"/>
              <w:autoSpaceDE/>
              <w:autoSpaceDN/>
              <w:bidi w:val="0"/>
              <w:adjustRightInd/>
              <w:snapToGrid w:val="0"/>
              <w:spacing w:line="300" w:lineRule="auto"/>
              <w:ind w:left="0" w:leftChars="0" w:firstLine="210" w:firstLineChars="100"/>
              <w:jc w:val="left"/>
              <w:textAlignment w:val="auto"/>
              <w:rPr>
                <w:rFonts w:hint="eastAsia" w:ascii="仿宋" w:hAnsi="仿宋" w:eastAsia="仿宋" w:cs="仿宋"/>
                <w:color w:val="auto"/>
                <w:kern w:val="2"/>
                <w:sz w:val="21"/>
                <w:szCs w:val="21"/>
                <w:highlight w:val="none"/>
                <w:u w:val="none"/>
                <w:lang w:val="en-US" w:eastAsia="zh-CN" w:bidi="ar-SA"/>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（2）每年至少开展1次防雷装置检测，发现失效，及时向采购人报告，按采购人要求出具维修方案，待采购人同意后按维修方案实施维修。</w:t>
            </w:r>
          </w:p>
        </w:tc>
      </w:tr>
      <w:tr w14:paraId="63982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0" w:type="dxa"/>
            <w:vMerge w:val="continue"/>
            <w:noWrap w:val="0"/>
            <w:vAlign w:val="center"/>
          </w:tcPr>
          <w:p w14:paraId="004A562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65" w:type="dxa"/>
            <w:vMerge w:val="continue"/>
            <w:noWrap w:val="0"/>
            <w:vAlign w:val="center"/>
          </w:tcPr>
          <w:p w14:paraId="578A6044">
            <w:pPr>
              <w:keepNext w:val="0"/>
              <w:keepLines w:val="0"/>
              <w:pageBreakBefore w:val="0"/>
              <w:widowControl/>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11061" w:type="dxa"/>
            <w:noWrap w:val="0"/>
            <w:vAlign w:val="center"/>
          </w:tcPr>
          <w:p w14:paraId="61D1919F">
            <w:pPr>
              <w:keepNext w:val="0"/>
              <w:keepLines w:val="0"/>
              <w:pageBreakBefore w:val="0"/>
              <w:widowControl/>
              <w:kinsoku/>
              <w:wordWrap/>
              <w:overflowPunct/>
              <w:topLinePunct w:val="0"/>
              <w:autoSpaceDE/>
              <w:autoSpaceDN/>
              <w:bidi w:val="0"/>
              <w:adjustRightInd/>
              <w:snapToGrid w:val="0"/>
              <w:spacing w:line="300" w:lineRule="auto"/>
              <w:ind w:left="0" w:leftChars="0" w:firstLine="210" w:firstLineChars="100"/>
              <w:jc w:val="left"/>
              <w:textAlignment w:val="auto"/>
              <w:rPr>
                <w:rFonts w:hint="eastAsia" w:ascii="仿宋" w:hAnsi="仿宋" w:eastAsia="仿宋" w:cs="仿宋"/>
                <w:color w:val="auto"/>
                <w:kern w:val="2"/>
                <w:sz w:val="21"/>
                <w:szCs w:val="21"/>
                <w:highlight w:val="none"/>
                <w:u w:val="none"/>
                <w:lang w:val="en-US" w:eastAsia="zh-CN" w:bidi="ar-SA"/>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（3）</w:t>
            </w:r>
            <w:r>
              <w:rPr>
                <w:rFonts w:hint="eastAsia" w:ascii="仿宋" w:hAnsi="仿宋" w:eastAsia="仿宋" w:cs="仿宋"/>
                <w:color w:val="auto"/>
                <w:sz w:val="21"/>
                <w:szCs w:val="21"/>
                <w:highlight w:val="none"/>
                <w:u w:val="none"/>
                <w:lang w:val="en-US" w:eastAsia="zh-CN"/>
              </w:rPr>
              <w:t>路面状态良好，地漏通畅不堵塞。</w:t>
            </w:r>
          </w:p>
        </w:tc>
      </w:tr>
      <w:tr w14:paraId="252F0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0" w:type="dxa"/>
            <w:vMerge w:val="continue"/>
            <w:noWrap w:val="0"/>
            <w:vAlign w:val="center"/>
          </w:tcPr>
          <w:p w14:paraId="53AE98A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65" w:type="dxa"/>
            <w:vMerge w:val="continue"/>
            <w:noWrap w:val="0"/>
            <w:vAlign w:val="center"/>
          </w:tcPr>
          <w:p w14:paraId="637208BA">
            <w:pPr>
              <w:keepNext w:val="0"/>
              <w:keepLines w:val="0"/>
              <w:pageBreakBefore w:val="0"/>
              <w:widowControl/>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11061" w:type="dxa"/>
            <w:noWrap w:val="0"/>
            <w:vAlign w:val="center"/>
          </w:tcPr>
          <w:p w14:paraId="55C61507">
            <w:pPr>
              <w:keepNext w:val="0"/>
              <w:keepLines w:val="0"/>
              <w:pageBreakBefore w:val="0"/>
              <w:widowControl/>
              <w:kinsoku/>
              <w:wordWrap/>
              <w:overflowPunct/>
              <w:topLinePunct w:val="0"/>
              <w:autoSpaceDE/>
              <w:autoSpaceDN/>
              <w:bidi w:val="0"/>
              <w:adjustRightInd/>
              <w:snapToGrid w:val="0"/>
              <w:spacing w:line="300" w:lineRule="auto"/>
              <w:ind w:left="0" w:leftChars="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（4）接到采购人家具报修服务后，及时通知家具供货商对保修期内的家具进行维修，及时对保修期外的家具进行维修。</w:t>
            </w:r>
          </w:p>
        </w:tc>
      </w:tr>
      <w:tr w14:paraId="01102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0" w:type="dxa"/>
            <w:vMerge w:val="continue"/>
            <w:noWrap w:val="0"/>
            <w:vAlign w:val="center"/>
          </w:tcPr>
          <w:p w14:paraId="6929C3D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65" w:type="dxa"/>
            <w:vMerge w:val="continue"/>
            <w:noWrap w:val="0"/>
            <w:vAlign w:val="center"/>
          </w:tcPr>
          <w:p w14:paraId="2F794C38">
            <w:pPr>
              <w:keepNext w:val="0"/>
              <w:keepLines w:val="0"/>
              <w:pageBreakBefore w:val="0"/>
              <w:widowControl/>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11061" w:type="dxa"/>
            <w:noWrap w:val="0"/>
            <w:vAlign w:val="center"/>
          </w:tcPr>
          <w:p w14:paraId="7E8BA248">
            <w:pPr>
              <w:keepNext w:val="0"/>
              <w:keepLines w:val="0"/>
              <w:pageBreakBefore w:val="0"/>
              <w:widowControl/>
              <w:kinsoku/>
              <w:wordWrap/>
              <w:overflowPunct/>
              <w:topLinePunct w:val="0"/>
              <w:autoSpaceDE/>
              <w:autoSpaceDN/>
              <w:bidi w:val="0"/>
              <w:adjustRightInd/>
              <w:snapToGrid w:val="0"/>
              <w:spacing w:line="300" w:lineRule="auto"/>
              <w:ind w:left="0" w:leftChars="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（5）......</w:t>
            </w:r>
          </w:p>
        </w:tc>
      </w:tr>
      <w:tr w14:paraId="32E0A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0" w:type="dxa"/>
            <w:vMerge w:val="restart"/>
            <w:noWrap w:val="0"/>
            <w:vAlign w:val="center"/>
          </w:tcPr>
          <w:p w14:paraId="14D1900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w:t>
            </w:r>
          </w:p>
        </w:tc>
        <w:tc>
          <w:tcPr>
            <w:tcW w:w="2465" w:type="dxa"/>
            <w:vMerge w:val="restart"/>
            <w:noWrap w:val="0"/>
            <w:vAlign w:val="center"/>
          </w:tcPr>
          <w:p w14:paraId="108E970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rPr>
              <w:t>装饰装修</w:t>
            </w:r>
            <w:r>
              <w:rPr>
                <w:rFonts w:hint="eastAsia" w:ascii="仿宋" w:hAnsi="仿宋" w:eastAsia="仿宋" w:cs="仿宋"/>
                <w:sz w:val="21"/>
                <w:szCs w:val="21"/>
                <w:highlight w:val="none"/>
                <w:lang w:val="en-US" w:eastAsia="zh-CN"/>
              </w:rPr>
              <w:t>监督</w:t>
            </w:r>
            <w:r>
              <w:rPr>
                <w:rFonts w:hint="eastAsia" w:ascii="仿宋" w:hAnsi="仿宋" w:eastAsia="仿宋" w:cs="仿宋"/>
                <w:sz w:val="21"/>
                <w:szCs w:val="21"/>
                <w:highlight w:val="none"/>
              </w:rPr>
              <w:t>管理</w:t>
            </w:r>
          </w:p>
        </w:tc>
        <w:tc>
          <w:tcPr>
            <w:tcW w:w="11061" w:type="dxa"/>
            <w:noWrap w:val="0"/>
            <w:vAlign w:val="center"/>
          </w:tcPr>
          <w:p w14:paraId="43F08599">
            <w:pPr>
              <w:keepNext w:val="0"/>
              <w:keepLines w:val="0"/>
              <w:pageBreakBefore w:val="0"/>
              <w:widowControl/>
              <w:kinsoku/>
              <w:wordWrap/>
              <w:overflowPunct/>
              <w:topLinePunct w:val="0"/>
              <w:autoSpaceDE/>
              <w:autoSpaceDN/>
              <w:bidi w:val="0"/>
              <w:adjustRightInd/>
              <w:snapToGrid w:val="0"/>
              <w:spacing w:line="300" w:lineRule="auto"/>
              <w:ind w:left="0" w:leftChars="0" w:firstLine="210" w:firstLineChars="100"/>
              <w:jc w:val="left"/>
              <w:textAlignment w:val="auto"/>
              <w:rPr>
                <w:rFonts w:hint="eastAsia" w:ascii="仿宋" w:hAnsi="仿宋" w:eastAsia="仿宋" w:cs="仿宋"/>
                <w:color w:val="auto"/>
                <w:kern w:val="2"/>
                <w:sz w:val="21"/>
                <w:szCs w:val="21"/>
                <w:highlight w:val="none"/>
                <w:u w:val="none"/>
                <w:lang w:val="en-US" w:eastAsia="zh-CN" w:bidi="ar-SA"/>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（1）装饰装修前，供应商应当与采购人或采购人委托的装修企业签订装饰装修管理服务协议，告知装饰装修须知，并对装饰装修过程进行管理服务。</w:t>
            </w:r>
          </w:p>
        </w:tc>
      </w:tr>
      <w:tr w14:paraId="4C9BF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0" w:type="dxa"/>
            <w:vMerge w:val="continue"/>
            <w:noWrap w:val="0"/>
            <w:vAlign w:val="center"/>
          </w:tcPr>
          <w:p w14:paraId="16B2C38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65" w:type="dxa"/>
            <w:vMerge w:val="continue"/>
            <w:noWrap w:val="0"/>
            <w:vAlign w:val="center"/>
          </w:tcPr>
          <w:p w14:paraId="087A9A6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11061" w:type="dxa"/>
            <w:noWrap w:val="0"/>
            <w:vAlign w:val="center"/>
          </w:tcPr>
          <w:p w14:paraId="275C1DEF">
            <w:pPr>
              <w:keepNext w:val="0"/>
              <w:keepLines w:val="0"/>
              <w:pageBreakBefore w:val="0"/>
              <w:widowControl/>
              <w:kinsoku/>
              <w:wordWrap/>
              <w:overflowPunct/>
              <w:topLinePunct w:val="0"/>
              <w:autoSpaceDE/>
              <w:autoSpaceDN/>
              <w:bidi w:val="0"/>
              <w:adjustRightInd/>
              <w:snapToGrid w:val="0"/>
              <w:spacing w:line="300" w:lineRule="auto"/>
              <w:ind w:left="0" w:leftChars="0" w:firstLine="210" w:firstLineChars="100"/>
              <w:jc w:val="left"/>
              <w:textAlignment w:val="auto"/>
              <w:rPr>
                <w:rFonts w:hint="eastAsia" w:ascii="仿宋" w:hAnsi="仿宋" w:eastAsia="仿宋" w:cs="仿宋"/>
                <w:color w:val="auto"/>
                <w:kern w:val="2"/>
                <w:sz w:val="21"/>
                <w:szCs w:val="21"/>
                <w:highlight w:val="none"/>
                <w:u w:val="none"/>
                <w:lang w:val="en-US" w:eastAsia="zh-CN" w:bidi="ar-SA"/>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（2）根据协议内容，做好装修垃圾临时堆放、清运等</w:t>
            </w:r>
            <w:r>
              <w:rPr>
                <w:rFonts w:hint="eastAsia" w:ascii="仿宋" w:hAnsi="仿宋" w:eastAsia="仿宋" w:cs="仿宋"/>
                <w:sz w:val="21"/>
                <w:szCs w:val="21"/>
                <w:highlight w:val="none"/>
                <w:lang w:eastAsia="zh-CN"/>
              </w:rPr>
              <w:t>。</w:t>
            </w:r>
          </w:p>
        </w:tc>
      </w:tr>
      <w:tr w14:paraId="6B32B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0" w:type="dxa"/>
            <w:vMerge w:val="continue"/>
            <w:noWrap w:val="0"/>
            <w:vAlign w:val="center"/>
          </w:tcPr>
          <w:p w14:paraId="4080877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65" w:type="dxa"/>
            <w:vMerge w:val="continue"/>
            <w:noWrap w:val="0"/>
            <w:vAlign w:val="center"/>
          </w:tcPr>
          <w:p w14:paraId="49BEA14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11061" w:type="dxa"/>
            <w:noWrap w:val="0"/>
            <w:vAlign w:val="center"/>
          </w:tcPr>
          <w:p w14:paraId="5631000D">
            <w:pPr>
              <w:keepNext w:val="0"/>
              <w:keepLines w:val="0"/>
              <w:pageBreakBefore w:val="0"/>
              <w:widowControl/>
              <w:kinsoku/>
              <w:wordWrap/>
              <w:overflowPunct/>
              <w:topLinePunct w:val="0"/>
              <w:autoSpaceDE/>
              <w:autoSpaceDN/>
              <w:bidi w:val="0"/>
              <w:adjustRightInd/>
              <w:snapToGrid w:val="0"/>
              <w:spacing w:line="300" w:lineRule="auto"/>
              <w:ind w:left="0" w:leftChars="0" w:firstLine="210" w:firstLineChars="100"/>
              <w:jc w:val="left"/>
              <w:textAlignment w:val="auto"/>
              <w:rPr>
                <w:rFonts w:hint="eastAsia" w:ascii="仿宋" w:hAnsi="仿宋" w:eastAsia="仿宋" w:cs="仿宋"/>
                <w:color w:val="auto"/>
                <w:kern w:val="2"/>
                <w:sz w:val="21"/>
                <w:szCs w:val="21"/>
                <w:highlight w:val="none"/>
                <w:u w:val="none"/>
                <w:lang w:val="en-US" w:eastAsia="zh-CN" w:bidi="ar-SA"/>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（3）</w:t>
            </w:r>
            <w:r>
              <w:rPr>
                <w:rFonts w:hint="eastAsia" w:ascii="仿宋" w:hAnsi="仿宋" w:eastAsia="仿宋" w:cs="仿宋"/>
                <w:color w:val="auto"/>
                <w:sz w:val="21"/>
                <w:szCs w:val="21"/>
                <w:highlight w:val="none"/>
                <w:u w:val="none"/>
                <w:lang w:val="en-US" w:eastAsia="zh-CN"/>
              </w:rPr>
              <w:t>受</w:t>
            </w:r>
            <w:r>
              <w:rPr>
                <w:rFonts w:hint="eastAsia" w:ascii="仿宋" w:hAnsi="仿宋" w:eastAsia="仿宋" w:cs="仿宋"/>
                <w:b w:val="0"/>
                <w:bCs w:val="0"/>
                <w:color w:val="auto"/>
                <w:kern w:val="0"/>
                <w:sz w:val="21"/>
                <w:szCs w:val="21"/>
                <w:highlight w:val="none"/>
                <w:lang w:val="en-US" w:eastAsia="zh-CN"/>
              </w:rPr>
              <w:t>采购人</w:t>
            </w:r>
            <w:r>
              <w:rPr>
                <w:rFonts w:hint="eastAsia" w:ascii="仿宋" w:hAnsi="仿宋" w:eastAsia="仿宋" w:cs="仿宋"/>
                <w:color w:val="auto"/>
                <w:sz w:val="21"/>
                <w:szCs w:val="21"/>
                <w:highlight w:val="none"/>
                <w:u w:val="none"/>
                <w:lang w:val="en-US" w:eastAsia="zh-CN"/>
              </w:rPr>
              <w:t>委托对房屋内装修进行严格的监督管理，发现问题及时上报，确保不因装修而危及大楼结构安全、人身安全和影响正常办公秩序。</w:t>
            </w:r>
          </w:p>
        </w:tc>
      </w:tr>
      <w:tr w14:paraId="4011F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0" w:type="dxa"/>
            <w:vMerge w:val="continue"/>
            <w:noWrap w:val="0"/>
            <w:vAlign w:val="center"/>
          </w:tcPr>
          <w:p w14:paraId="6F2C527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65" w:type="dxa"/>
            <w:vMerge w:val="continue"/>
            <w:noWrap w:val="0"/>
            <w:vAlign w:val="center"/>
          </w:tcPr>
          <w:p w14:paraId="03946F5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11061" w:type="dxa"/>
            <w:noWrap w:val="0"/>
            <w:vAlign w:val="center"/>
          </w:tcPr>
          <w:p w14:paraId="1D67967E">
            <w:pPr>
              <w:keepNext w:val="0"/>
              <w:keepLines w:val="0"/>
              <w:pageBreakBefore w:val="0"/>
              <w:widowControl/>
              <w:kinsoku/>
              <w:wordWrap/>
              <w:overflowPunct/>
              <w:topLinePunct w:val="0"/>
              <w:autoSpaceDE/>
              <w:autoSpaceDN/>
              <w:bidi w:val="0"/>
              <w:adjustRightInd/>
              <w:snapToGrid w:val="0"/>
              <w:spacing w:line="300" w:lineRule="auto"/>
              <w:ind w:left="0" w:leftChars="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（4）......</w:t>
            </w:r>
          </w:p>
        </w:tc>
      </w:tr>
      <w:tr w14:paraId="7FD8D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0" w:type="dxa"/>
            <w:vMerge w:val="restart"/>
            <w:noWrap w:val="0"/>
            <w:vAlign w:val="center"/>
          </w:tcPr>
          <w:p w14:paraId="5030AC3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4</w:t>
            </w:r>
          </w:p>
        </w:tc>
        <w:tc>
          <w:tcPr>
            <w:tcW w:w="2465" w:type="dxa"/>
            <w:vMerge w:val="restart"/>
            <w:noWrap w:val="0"/>
            <w:vAlign w:val="center"/>
          </w:tcPr>
          <w:p w14:paraId="3810AED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标识标牌</w:t>
            </w:r>
          </w:p>
        </w:tc>
        <w:tc>
          <w:tcPr>
            <w:tcW w:w="11061" w:type="dxa"/>
            <w:noWrap w:val="0"/>
            <w:vAlign w:val="center"/>
          </w:tcPr>
          <w:p w14:paraId="3AD5AF88">
            <w:pPr>
              <w:keepNext w:val="0"/>
              <w:keepLines w:val="0"/>
              <w:pageBreakBefore w:val="0"/>
              <w:widowControl/>
              <w:kinsoku/>
              <w:wordWrap/>
              <w:overflowPunct/>
              <w:topLinePunct w:val="0"/>
              <w:autoSpaceDE/>
              <w:autoSpaceDN/>
              <w:bidi w:val="0"/>
              <w:adjustRightInd/>
              <w:snapToGrid w:val="0"/>
              <w:spacing w:line="300" w:lineRule="auto"/>
              <w:ind w:left="0" w:leftChars="0" w:firstLine="210" w:firstLineChars="100"/>
              <w:jc w:val="left"/>
              <w:textAlignment w:val="auto"/>
              <w:rPr>
                <w:rFonts w:hint="eastAsia" w:ascii="仿宋" w:hAnsi="仿宋" w:eastAsia="仿宋" w:cs="仿宋"/>
                <w:color w:val="auto"/>
                <w:kern w:val="2"/>
                <w:sz w:val="21"/>
                <w:szCs w:val="21"/>
                <w:highlight w:val="none"/>
                <w:u w:val="none"/>
                <w:lang w:val="en-US" w:eastAsia="zh-CN" w:bidi="ar-SA"/>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（1）标识标牌符合《</w:t>
            </w:r>
            <w:r>
              <w:rPr>
                <w:rFonts w:hint="eastAsia" w:ascii="仿宋" w:hAnsi="仿宋" w:eastAsia="仿宋" w:cs="仿宋"/>
                <w:color w:val="auto"/>
                <w:kern w:val="0"/>
                <w:sz w:val="21"/>
                <w:szCs w:val="21"/>
                <w:highlight w:val="none"/>
              </w:rPr>
              <w:t>公共信息图形符号 第1部分：通用符号</w:t>
            </w:r>
            <w:r>
              <w:rPr>
                <w:rFonts w:hint="eastAsia" w:ascii="仿宋" w:hAnsi="仿宋" w:eastAsia="仿宋" w:cs="仿宋"/>
                <w:b w:val="0"/>
                <w:bCs w:val="0"/>
                <w:color w:val="auto"/>
                <w:kern w:val="0"/>
                <w:sz w:val="21"/>
                <w:szCs w:val="21"/>
                <w:highlight w:val="none"/>
                <w:lang w:val="en-US" w:eastAsia="zh-CN"/>
              </w:rPr>
              <w:t>》（</w:t>
            </w:r>
            <w:r>
              <w:rPr>
                <w:rFonts w:hint="eastAsia" w:ascii="仿宋" w:hAnsi="仿宋" w:eastAsia="仿宋" w:cs="仿宋"/>
                <w:color w:val="auto"/>
                <w:kern w:val="0"/>
                <w:sz w:val="21"/>
                <w:szCs w:val="21"/>
                <w:highlight w:val="none"/>
              </w:rPr>
              <w:t>GB/T 10001.1</w:t>
            </w:r>
            <w:r>
              <w:rPr>
                <w:rFonts w:hint="eastAsia" w:ascii="仿宋" w:hAnsi="仿宋" w:eastAsia="仿宋" w:cs="仿宋"/>
                <w:b w:val="0"/>
                <w:bCs w:val="0"/>
                <w:color w:val="auto"/>
                <w:kern w:val="0"/>
                <w:sz w:val="21"/>
                <w:szCs w:val="21"/>
                <w:highlight w:val="none"/>
                <w:lang w:val="en-US" w:eastAsia="zh-CN"/>
              </w:rPr>
              <w:t>）的相关要求，消防与安全标识符合《</w:t>
            </w:r>
            <w:r>
              <w:rPr>
                <w:rFonts w:hint="eastAsia" w:ascii="仿宋" w:hAnsi="仿宋" w:eastAsia="仿宋" w:cs="仿宋"/>
                <w:color w:val="auto"/>
                <w:kern w:val="0"/>
                <w:sz w:val="21"/>
                <w:szCs w:val="21"/>
                <w:highlight w:val="none"/>
              </w:rPr>
              <w:t>安全标志及其使用导则</w:t>
            </w:r>
            <w:r>
              <w:rPr>
                <w:rFonts w:hint="eastAsia" w:ascii="仿宋" w:hAnsi="仿宋" w:eastAsia="仿宋" w:cs="仿宋"/>
                <w:b w:val="0"/>
                <w:bCs w:val="0"/>
                <w:color w:val="auto"/>
                <w:kern w:val="0"/>
                <w:sz w:val="21"/>
                <w:szCs w:val="21"/>
                <w:highlight w:val="none"/>
                <w:lang w:val="en-US" w:eastAsia="zh-CN"/>
              </w:rPr>
              <w:t>》（GB2894）、《消防安全标志　第1部分：标志》（GB13495.1）的相关要求。</w:t>
            </w:r>
          </w:p>
        </w:tc>
      </w:tr>
      <w:tr w14:paraId="01732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0" w:type="dxa"/>
            <w:vMerge w:val="continue"/>
            <w:noWrap w:val="0"/>
            <w:vAlign w:val="center"/>
          </w:tcPr>
          <w:p w14:paraId="3EE11D8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65" w:type="dxa"/>
            <w:vMerge w:val="continue"/>
            <w:noWrap w:val="0"/>
            <w:vAlign w:val="center"/>
          </w:tcPr>
          <w:p w14:paraId="528523D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1"/>
                <w:szCs w:val="21"/>
                <w:highlight w:val="none"/>
              </w:rPr>
            </w:pPr>
          </w:p>
        </w:tc>
        <w:tc>
          <w:tcPr>
            <w:tcW w:w="11061" w:type="dxa"/>
            <w:noWrap w:val="0"/>
            <w:vAlign w:val="center"/>
          </w:tcPr>
          <w:p w14:paraId="029C767C">
            <w:pPr>
              <w:keepNext w:val="0"/>
              <w:keepLines w:val="0"/>
              <w:pageBreakBefore w:val="0"/>
              <w:widowControl/>
              <w:kinsoku/>
              <w:wordWrap/>
              <w:overflowPunct/>
              <w:topLinePunct w:val="0"/>
              <w:autoSpaceDE/>
              <w:autoSpaceDN/>
              <w:bidi w:val="0"/>
              <w:adjustRightInd/>
              <w:snapToGrid w:val="0"/>
              <w:spacing w:line="300" w:lineRule="auto"/>
              <w:ind w:left="0" w:leftChars="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（2）每月至少检查1次标识标牌和消防与安全标识。应当规范清晰、路线指引正确、安装稳固。</w:t>
            </w:r>
          </w:p>
        </w:tc>
      </w:tr>
      <w:tr w14:paraId="4093F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0" w:type="dxa"/>
            <w:vMerge w:val="continue"/>
            <w:noWrap w:val="0"/>
            <w:vAlign w:val="center"/>
          </w:tcPr>
          <w:p w14:paraId="6647588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65" w:type="dxa"/>
            <w:vMerge w:val="continue"/>
            <w:noWrap w:val="0"/>
            <w:vAlign w:val="center"/>
          </w:tcPr>
          <w:p w14:paraId="229172B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1"/>
                <w:szCs w:val="21"/>
                <w:highlight w:val="none"/>
              </w:rPr>
            </w:pPr>
          </w:p>
        </w:tc>
        <w:tc>
          <w:tcPr>
            <w:tcW w:w="11061" w:type="dxa"/>
            <w:noWrap w:val="0"/>
            <w:vAlign w:val="center"/>
          </w:tcPr>
          <w:p w14:paraId="459AFBA2">
            <w:pPr>
              <w:keepNext w:val="0"/>
              <w:keepLines w:val="0"/>
              <w:pageBreakBefore w:val="0"/>
              <w:widowControl/>
              <w:kinsoku/>
              <w:wordWrap/>
              <w:overflowPunct/>
              <w:topLinePunct w:val="0"/>
              <w:autoSpaceDE/>
              <w:autoSpaceDN/>
              <w:bidi w:val="0"/>
              <w:adjustRightInd/>
              <w:snapToGrid w:val="0"/>
              <w:spacing w:line="300" w:lineRule="auto"/>
              <w:ind w:left="0" w:leftChars="0" w:firstLine="210" w:firstLineChars="100"/>
              <w:jc w:val="left"/>
              <w:textAlignment w:val="auto"/>
              <w:rPr>
                <w:rFonts w:hint="eastAsia" w:ascii="仿宋" w:hAnsi="仿宋" w:eastAsia="仿宋" w:cs="仿宋"/>
                <w:color w:val="auto"/>
                <w:kern w:val="2"/>
                <w:sz w:val="21"/>
                <w:szCs w:val="21"/>
                <w:highlight w:val="none"/>
                <w:u w:val="none"/>
                <w:lang w:val="en-US" w:eastAsia="zh-CN" w:bidi="ar-SA"/>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（3）......</w:t>
            </w:r>
          </w:p>
        </w:tc>
      </w:tr>
    </w:tbl>
    <w:p w14:paraId="4305C479">
      <w:pPr>
        <w:widowControl w:val="0"/>
        <w:bidi w:val="0"/>
        <w:snapToGrid w:val="0"/>
        <w:spacing w:line="300" w:lineRule="auto"/>
        <w:ind w:firstLine="562" w:firstLineChars="200"/>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3.3公用设施设备维护服务</w:t>
      </w:r>
    </w:p>
    <w:tbl>
      <w:tblPr>
        <w:tblStyle w:val="4"/>
        <w:tblW w:w="501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7"/>
        <w:gridCol w:w="1421"/>
        <w:gridCol w:w="6401"/>
      </w:tblGrid>
      <w:tr w14:paraId="52072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1" w:type="dxa"/>
            <w:noWrap w:val="0"/>
            <w:vAlign w:val="center"/>
          </w:tcPr>
          <w:p w14:paraId="07B3BDCC">
            <w:pPr>
              <w:pageBreakBefore w:val="0"/>
              <w:widowControl/>
              <w:kinsoku/>
              <w:wordWrap/>
              <w:overflowPunct/>
              <w:topLinePunct w:val="0"/>
              <w:bidi w:val="0"/>
              <w:snapToGrid w:val="0"/>
              <w:spacing w:line="300" w:lineRule="auto"/>
              <w:ind w:left="0" w:leftChars="0" w:firstLine="0" w:firstLineChars="0"/>
              <w:jc w:val="center"/>
              <w:rPr>
                <w:rFonts w:hint="eastAsia" w:ascii="仿宋" w:hAnsi="仿宋" w:eastAsia="仿宋" w:cs="仿宋"/>
                <w:b/>
                <w:bCs/>
                <w:color w:val="auto"/>
                <w:kern w:val="0"/>
                <w:sz w:val="21"/>
                <w:szCs w:val="21"/>
                <w:highlight w:val="none"/>
                <w:lang w:val="en-US" w:eastAsia="zh-CN"/>
              </w:rPr>
            </w:pPr>
            <w:r>
              <w:rPr>
                <w:rFonts w:hint="eastAsia" w:ascii="仿宋" w:hAnsi="仿宋" w:eastAsia="仿宋" w:cs="仿宋"/>
                <w:b/>
                <w:bCs/>
                <w:color w:val="auto"/>
                <w:kern w:val="0"/>
                <w:sz w:val="21"/>
                <w:szCs w:val="21"/>
                <w:highlight w:val="none"/>
                <w:lang w:val="en-US" w:eastAsia="zh-CN"/>
              </w:rPr>
              <w:t>序号</w:t>
            </w:r>
          </w:p>
        </w:tc>
        <w:tc>
          <w:tcPr>
            <w:tcW w:w="2464" w:type="dxa"/>
            <w:noWrap w:val="0"/>
            <w:vAlign w:val="center"/>
          </w:tcPr>
          <w:p w14:paraId="778900F1">
            <w:pPr>
              <w:pageBreakBefore w:val="0"/>
              <w:widowControl/>
              <w:kinsoku/>
              <w:wordWrap/>
              <w:overflowPunct/>
              <w:topLinePunct w:val="0"/>
              <w:bidi w:val="0"/>
              <w:snapToGrid w:val="0"/>
              <w:spacing w:line="300" w:lineRule="auto"/>
              <w:ind w:left="0" w:leftChars="0" w:firstLine="0" w:firstLineChars="0"/>
              <w:jc w:val="center"/>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服务内容</w:t>
            </w:r>
          </w:p>
        </w:tc>
        <w:tc>
          <w:tcPr>
            <w:tcW w:w="11111" w:type="dxa"/>
            <w:noWrap w:val="0"/>
            <w:vAlign w:val="center"/>
          </w:tcPr>
          <w:p w14:paraId="0820C67E">
            <w:pPr>
              <w:pageBreakBefore w:val="0"/>
              <w:widowControl/>
              <w:kinsoku/>
              <w:wordWrap/>
              <w:overflowPunct/>
              <w:topLinePunct w:val="0"/>
              <w:bidi w:val="0"/>
              <w:snapToGrid w:val="0"/>
              <w:spacing w:line="300" w:lineRule="auto"/>
              <w:ind w:left="0" w:leftChars="0" w:firstLine="0" w:firstLineChars="0"/>
              <w:jc w:val="center"/>
              <w:rPr>
                <w:rFonts w:hint="eastAsia" w:ascii="仿宋" w:hAnsi="仿宋" w:eastAsia="仿宋" w:cs="仿宋"/>
                <w:b/>
                <w:bCs/>
                <w:color w:val="auto"/>
                <w:kern w:val="0"/>
                <w:sz w:val="21"/>
                <w:szCs w:val="21"/>
                <w:highlight w:val="none"/>
                <w:lang w:val="en-US" w:eastAsia="zh-CN"/>
              </w:rPr>
            </w:pPr>
            <w:r>
              <w:rPr>
                <w:rFonts w:hint="eastAsia" w:ascii="仿宋" w:hAnsi="仿宋" w:eastAsia="仿宋" w:cs="仿宋"/>
                <w:b/>
                <w:bCs/>
                <w:color w:val="auto"/>
                <w:kern w:val="0"/>
                <w:sz w:val="21"/>
                <w:szCs w:val="21"/>
                <w:highlight w:val="none"/>
                <w:lang w:val="en-US" w:eastAsia="zh-CN"/>
              </w:rPr>
              <w:t>服务标准</w:t>
            </w:r>
          </w:p>
        </w:tc>
      </w:tr>
      <w:tr w14:paraId="59EF6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1" w:type="dxa"/>
            <w:vMerge w:val="restart"/>
            <w:noWrap w:val="0"/>
            <w:vAlign w:val="center"/>
          </w:tcPr>
          <w:p w14:paraId="2FE58B2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1</w:t>
            </w:r>
          </w:p>
        </w:tc>
        <w:tc>
          <w:tcPr>
            <w:tcW w:w="2464" w:type="dxa"/>
            <w:vMerge w:val="restart"/>
            <w:noWrap w:val="0"/>
            <w:vAlign w:val="center"/>
          </w:tcPr>
          <w:p w14:paraId="68BEF1C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基本要求</w:t>
            </w:r>
          </w:p>
        </w:tc>
        <w:tc>
          <w:tcPr>
            <w:tcW w:w="11111" w:type="dxa"/>
            <w:noWrap w:val="0"/>
            <w:vAlign w:val="center"/>
          </w:tcPr>
          <w:p w14:paraId="323831E1">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（1）重大节假日及恶劣天气前后，组织系统巡检1次。</w:t>
            </w:r>
          </w:p>
        </w:tc>
      </w:tr>
      <w:tr w14:paraId="1C713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1" w:type="dxa"/>
            <w:vMerge w:val="continue"/>
            <w:noWrap w:val="0"/>
            <w:vAlign w:val="center"/>
          </w:tcPr>
          <w:p w14:paraId="6F90FDF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64" w:type="dxa"/>
            <w:vMerge w:val="continue"/>
            <w:noWrap w:val="0"/>
            <w:vAlign w:val="center"/>
          </w:tcPr>
          <w:p w14:paraId="3765D5A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11111" w:type="dxa"/>
            <w:noWrap w:val="0"/>
            <w:vAlign w:val="center"/>
          </w:tcPr>
          <w:p w14:paraId="17778710">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（2）具备设施设备安全、稳定运行的环境和场所（含有限空间），温湿度、照度、粉尘和烟雾浓度等符合相关安全规范。</w:t>
            </w:r>
          </w:p>
        </w:tc>
      </w:tr>
      <w:tr w14:paraId="3D65B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1" w:type="dxa"/>
            <w:vMerge w:val="continue"/>
            <w:noWrap w:val="0"/>
            <w:vAlign w:val="center"/>
          </w:tcPr>
          <w:p w14:paraId="22F975C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64" w:type="dxa"/>
            <w:vMerge w:val="continue"/>
            <w:noWrap w:val="0"/>
            <w:vAlign w:val="center"/>
          </w:tcPr>
          <w:p w14:paraId="422A002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11111" w:type="dxa"/>
            <w:noWrap w:val="0"/>
            <w:vAlign w:val="center"/>
          </w:tcPr>
          <w:p w14:paraId="53771E1A">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（3）......</w:t>
            </w:r>
          </w:p>
        </w:tc>
      </w:tr>
      <w:tr w14:paraId="58EA7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61" w:type="dxa"/>
            <w:vMerge w:val="restart"/>
            <w:noWrap w:val="0"/>
            <w:vAlign w:val="center"/>
          </w:tcPr>
          <w:p w14:paraId="522AACA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2464" w:type="dxa"/>
            <w:vMerge w:val="restart"/>
            <w:noWrap w:val="0"/>
            <w:vAlign w:val="center"/>
          </w:tcPr>
          <w:p w14:paraId="1B40B74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设备机房</w:t>
            </w:r>
          </w:p>
        </w:tc>
        <w:tc>
          <w:tcPr>
            <w:tcW w:w="11111" w:type="dxa"/>
            <w:noWrap w:val="0"/>
            <w:vAlign w:val="center"/>
          </w:tcPr>
          <w:p w14:paraId="64C2FA8A">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p>
        </w:tc>
      </w:tr>
      <w:tr w14:paraId="1E0C0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1261" w:type="dxa"/>
            <w:vMerge w:val="continue"/>
            <w:noWrap w:val="0"/>
            <w:vAlign w:val="center"/>
          </w:tcPr>
          <w:p w14:paraId="142CDA1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64" w:type="dxa"/>
            <w:vMerge w:val="continue"/>
            <w:noWrap w:val="0"/>
            <w:vAlign w:val="center"/>
          </w:tcPr>
          <w:p w14:paraId="46121C5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1111" w:type="dxa"/>
            <w:noWrap w:val="0"/>
            <w:vAlign w:val="center"/>
          </w:tcPr>
          <w:p w14:paraId="4BEA76BA">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（2）设备机房门窗、锁具应当完好、有效。</w:t>
            </w:r>
          </w:p>
        </w:tc>
      </w:tr>
      <w:tr w14:paraId="1620C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1261" w:type="dxa"/>
            <w:vMerge w:val="continue"/>
            <w:noWrap w:val="0"/>
            <w:vAlign w:val="center"/>
          </w:tcPr>
          <w:p w14:paraId="53815B5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64" w:type="dxa"/>
            <w:vMerge w:val="continue"/>
            <w:noWrap w:val="0"/>
            <w:vAlign w:val="center"/>
          </w:tcPr>
          <w:p w14:paraId="6BA724A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1111" w:type="dxa"/>
            <w:noWrap w:val="0"/>
            <w:vAlign w:val="center"/>
          </w:tcPr>
          <w:p w14:paraId="2C4B4642">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（3）每半月至少开展1次清洁，整洁有序、无杂物、无积尘、无鼠、无虫害，温湿度符合设备运行要求。</w:t>
            </w:r>
          </w:p>
        </w:tc>
      </w:tr>
      <w:tr w14:paraId="7FF65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1261" w:type="dxa"/>
            <w:vMerge w:val="continue"/>
            <w:noWrap w:val="0"/>
            <w:vAlign w:val="center"/>
          </w:tcPr>
          <w:p w14:paraId="0560CF1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64" w:type="dxa"/>
            <w:vMerge w:val="continue"/>
            <w:noWrap w:val="0"/>
            <w:vAlign w:val="center"/>
          </w:tcPr>
          <w:p w14:paraId="387B10A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1111" w:type="dxa"/>
            <w:noWrap w:val="0"/>
            <w:vAlign w:val="center"/>
          </w:tcPr>
          <w:p w14:paraId="49D27D0B">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（4）按各设备机房国家标准规范规定维护/保管消防、通风、应急照明，防止小动物进入。</w:t>
            </w:r>
          </w:p>
        </w:tc>
      </w:tr>
      <w:tr w14:paraId="12AB5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1261" w:type="dxa"/>
            <w:vMerge w:val="continue"/>
            <w:noWrap w:val="0"/>
            <w:vAlign w:val="center"/>
          </w:tcPr>
          <w:p w14:paraId="6459242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64" w:type="dxa"/>
            <w:vMerge w:val="continue"/>
            <w:noWrap w:val="0"/>
            <w:vAlign w:val="center"/>
          </w:tcPr>
          <w:p w14:paraId="442CC71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1111" w:type="dxa"/>
            <w:noWrap w:val="0"/>
            <w:vAlign w:val="center"/>
          </w:tcPr>
          <w:p w14:paraId="4C255F79">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（5）安全防护用具配置齐全，检验合格。</w:t>
            </w:r>
          </w:p>
        </w:tc>
      </w:tr>
      <w:tr w14:paraId="339AC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1261" w:type="dxa"/>
            <w:vMerge w:val="continue"/>
            <w:noWrap w:val="0"/>
            <w:vAlign w:val="center"/>
          </w:tcPr>
          <w:p w14:paraId="5139956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64" w:type="dxa"/>
            <w:vMerge w:val="continue"/>
            <w:noWrap w:val="0"/>
            <w:vAlign w:val="center"/>
          </w:tcPr>
          <w:p w14:paraId="0E6CEA8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1111" w:type="dxa"/>
            <w:noWrap w:val="0"/>
            <w:vAlign w:val="center"/>
          </w:tcPr>
          <w:p w14:paraId="229AC83E">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（6）应急设施设备用品应当齐全、完备，可随时启用。</w:t>
            </w:r>
          </w:p>
        </w:tc>
      </w:tr>
      <w:tr w14:paraId="15F16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1261" w:type="dxa"/>
            <w:vMerge w:val="continue"/>
            <w:noWrap w:val="0"/>
            <w:vAlign w:val="center"/>
          </w:tcPr>
          <w:p w14:paraId="0796195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64" w:type="dxa"/>
            <w:vMerge w:val="continue"/>
            <w:noWrap w:val="0"/>
            <w:vAlign w:val="center"/>
          </w:tcPr>
          <w:p w14:paraId="32A1F11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1111" w:type="dxa"/>
            <w:noWrap w:val="0"/>
            <w:vAlign w:val="center"/>
          </w:tcPr>
          <w:p w14:paraId="43FFF0BF">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（7）......</w:t>
            </w:r>
          </w:p>
        </w:tc>
      </w:tr>
      <w:tr w14:paraId="5BE81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1" w:type="dxa"/>
            <w:vMerge w:val="restart"/>
            <w:noWrap w:val="0"/>
            <w:vAlign w:val="center"/>
          </w:tcPr>
          <w:p w14:paraId="2956C10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w:t>
            </w:r>
          </w:p>
        </w:tc>
        <w:tc>
          <w:tcPr>
            <w:tcW w:w="2464" w:type="dxa"/>
            <w:vMerge w:val="restart"/>
            <w:noWrap w:val="0"/>
            <w:vAlign w:val="center"/>
          </w:tcPr>
          <w:p w14:paraId="2E2530C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rPr>
              <w:t>给排水系统</w:t>
            </w:r>
          </w:p>
        </w:tc>
        <w:tc>
          <w:tcPr>
            <w:tcW w:w="11111" w:type="dxa"/>
            <w:noWrap w:val="0"/>
            <w:vAlign w:val="center"/>
          </w:tcPr>
          <w:p w14:paraId="7976930A">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（1）生活饮用水卫生符合《</w:t>
            </w:r>
            <w:r>
              <w:rPr>
                <w:rFonts w:hint="eastAsia" w:ascii="仿宋" w:hAnsi="仿宋" w:eastAsia="仿宋" w:cs="仿宋"/>
                <w:color w:val="auto"/>
                <w:kern w:val="0"/>
                <w:sz w:val="21"/>
                <w:szCs w:val="21"/>
                <w:highlight w:val="none"/>
              </w:rPr>
              <w:t>生活饮用水卫生标准</w:t>
            </w:r>
            <w:r>
              <w:rPr>
                <w:rFonts w:hint="eastAsia" w:ascii="仿宋" w:hAnsi="仿宋" w:eastAsia="仿宋" w:cs="仿宋"/>
                <w:b w:val="0"/>
                <w:bCs w:val="0"/>
                <w:color w:val="auto"/>
                <w:kern w:val="0"/>
                <w:sz w:val="21"/>
                <w:szCs w:val="21"/>
                <w:highlight w:val="none"/>
                <w:lang w:val="en-US" w:eastAsia="zh-CN"/>
              </w:rPr>
              <w:t>》（GB5749）的相关要求。</w:t>
            </w:r>
          </w:p>
        </w:tc>
      </w:tr>
      <w:tr w14:paraId="1D967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1" w:type="dxa"/>
            <w:vMerge w:val="continue"/>
            <w:noWrap w:val="0"/>
            <w:vAlign w:val="center"/>
          </w:tcPr>
          <w:p w14:paraId="2E1C94B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64" w:type="dxa"/>
            <w:vMerge w:val="continue"/>
            <w:noWrap w:val="0"/>
            <w:vAlign w:val="center"/>
          </w:tcPr>
          <w:p w14:paraId="07A134C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1111" w:type="dxa"/>
            <w:noWrap w:val="0"/>
            <w:vAlign w:val="center"/>
          </w:tcPr>
          <w:p w14:paraId="17A07BA0">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（2）二次供水卫生符合《二次供水设施卫生规范》（GB17051）的相关要求。</w:t>
            </w:r>
          </w:p>
        </w:tc>
      </w:tr>
      <w:tr w14:paraId="059C6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1" w:type="dxa"/>
            <w:vMerge w:val="continue"/>
            <w:noWrap w:val="0"/>
            <w:vAlign w:val="center"/>
          </w:tcPr>
          <w:p w14:paraId="60B293E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64" w:type="dxa"/>
            <w:vMerge w:val="continue"/>
            <w:noWrap w:val="0"/>
            <w:vAlign w:val="center"/>
          </w:tcPr>
          <w:p w14:paraId="3DFC72D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1111" w:type="dxa"/>
            <w:noWrap w:val="0"/>
            <w:vAlign w:val="center"/>
          </w:tcPr>
          <w:p w14:paraId="107DF3DA">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（3）设施设备、阀门、管道等运行正常，无跑、冒、滴、漏现象。</w:t>
            </w:r>
          </w:p>
        </w:tc>
      </w:tr>
      <w:tr w14:paraId="090ED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1" w:type="dxa"/>
            <w:vMerge w:val="continue"/>
            <w:noWrap w:val="0"/>
            <w:vAlign w:val="center"/>
          </w:tcPr>
          <w:p w14:paraId="2FC5080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64" w:type="dxa"/>
            <w:vMerge w:val="continue"/>
            <w:noWrap w:val="0"/>
            <w:vAlign w:val="center"/>
          </w:tcPr>
          <w:p w14:paraId="25277EB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1111" w:type="dxa"/>
            <w:noWrap w:val="0"/>
            <w:vAlign w:val="center"/>
          </w:tcPr>
          <w:p w14:paraId="2102002C">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（4）有水泵房、水箱间的，每日至少巡视1次。每年至少养护1次水泵。</w:t>
            </w:r>
          </w:p>
        </w:tc>
      </w:tr>
      <w:tr w14:paraId="2C236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1" w:type="dxa"/>
            <w:vMerge w:val="continue"/>
            <w:noWrap w:val="0"/>
            <w:vAlign w:val="center"/>
          </w:tcPr>
          <w:p w14:paraId="2425741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64" w:type="dxa"/>
            <w:vMerge w:val="continue"/>
            <w:noWrap w:val="0"/>
            <w:vAlign w:val="center"/>
          </w:tcPr>
          <w:p w14:paraId="2728405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1111" w:type="dxa"/>
            <w:noWrap w:val="0"/>
            <w:vAlign w:val="center"/>
          </w:tcPr>
          <w:p w14:paraId="1196BED7">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（5）遇供水单位限水、停水，按规定时间通知采购人。</w:t>
            </w:r>
          </w:p>
        </w:tc>
      </w:tr>
      <w:tr w14:paraId="56050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1" w:type="dxa"/>
            <w:vMerge w:val="continue"/>
            <w:noWrap w:val="0"/>
            <w:vAlign w:val="center"/>
          </w:tcPr>
          <w:p w14:paraId="08FE8B9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64" w:type="dxa"/>
            <w:vMerge w:val="continue"/>
            <w:noWrap w:val="0"/>
            <w:vAlign w:val="center"/>
          </w:tcPr>
          <w:p w14:paraId="75F2B8D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1111" w:type="dxa"/>
            <w:noWrap w:val="0"/>
            <w:vAlign w:val="center"/>
          </w:tcPr>
          <w:p w14:paraId="028CDC5B">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（6）每季度至少开展1次对排水管进行疏通、清污，保证室内外排水系统通畅。</w:t>
            </w:r>
          </w:p>
        </w:tc>
      </w:tr>
      <w:tr w14:paraId="69367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1" w:type="dxa"/>
            <w:vMerge w:val="continue"/>
            <w:noWrap w:val="0"/>
            <w:vAlign w:val="center"/>
          </w:tcPr>
          <w:p w14:paraId="25FFE9D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64" w:type="dxa"/>
            <w:vMerge w:val="continue"/>
            <w:noWrap w:val="0"/>
            <w:vAlign w:val="center"/>
          </w:tcPr>
          <w:p w14:paraId="438F4F9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1111" w:type="dxa"/>
            <w:noWrap w:val="0"/>
            <w:vAlign w:val="center"/>
          </w:tcPr>
          <w:p w14:paraId="460B743A">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（7）......</w:t>
            </w:r>
          </w:p>
        </w:tc>
      </w:tr>
      <w:tr w14:paraId="4A9DD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1" w:type="dxa"/>
            <w:vMerge w:val="restart"/>
            <w:noWrap w:val="0"/>
            <w:vAlign w:val="center"/>
          </w:tcPr>
          <w:p w14:paraId="571E1B5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4</w:t>
            </w:r>
          </w:p>
        </w:tc>
        <w:tc>
          <w:tcPr>
            <w:tcW w:w="2464" w:type="dxa"/>
            <w:vMerge w:val="restart"/>
            <w:noWrap w:val="0"/>
            <w:vAlign w:val="center"/>
          </w:tcPr>
          <w:p w14:paraId="214FA55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电梯系统</w:t>
            </w:r>
          </w:p>
        </w:tc>
        <w:tc>
          <w:tcPr>
            <w:tcW w:w="11111" w:type="dxa"/>
            <w:noWrap w:val="0"/>
            <w:vAlign w:val="center"/>
          </w:tcPr>
          <w:p w14:paraId="7F64E5EA">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（1）电梯运行平稳、无异响、平层、开关正常。每周至少开展2次电梯的安全状况检查。</w:t>
            </w:r>
          </w:p>
        </w:tc>
      </w:tr>
      <w:tr w14:paraId="3A934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1" w:type="dxa"/>
            <w:vMerge w:val="continue"/>
            <w:noWrap w:val="0"/>
            <w:vAlign w:val="center"/>
          </w:tcPr>
          <w:p w14:paraId="2A48F57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64" w:type="dxa"/>
            <w:vMerge w:val="continue"/>
            <w:noWrap w:val="0"/>
            <w:vAlign w:val="center"/>
          </w:tcPr>
          <w:p w14:paraId="4D0EA89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11111" w:type="dxa"/>
            <w:noWrap w:val="0"/>
            <w:vAlign w:val="center"/>
          </w:tcPr>
          <w:p w14:paraId="34601349">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（2）电梯准用证、年检合格证等证件齐全。相关证件、紧急救援电话和乘客注意事项置于轿厢醒目位置。</w:t>
            </w:r>
          </w:p>
        </w:tc>
      </w:tr>
      <w:tr w14:paraId="656EC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1" w:type="dxa"/>
            <w:vMerge w:val="continue"/>
            <w:noWrap w:val="0"/>
            <w:vAlign w:val="center"/>
          </w:tcPr>
          <w:p w14:paraId="6002AE7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64" w:type="dxa"/>
            <w:vMerge w:val="continue"/>
            <w:noWrap w:val="0"/>
            <w:vAlign w:val="center"/>
          </w:tcPr>
          <w:p w14:paraId="0672A18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11111" w:type="dxa"/>
            <w:noWrap w:val="0"/>
            <w:vAlign w:val="center"/>
          </w:tcPr>
          <w:p w14:paraId="22A3E46B">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（3）每年至少开展1次对电梯的全面检测，并出具检测报告，核发电梯使用标志。</w:t>
            </w:r>
          </w:p>
        </w:tc>
      </w:tr>
      <w:tr w14:paraId="586C1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1" w:type="dxa"/>
            <w:vMerge w:val="continue"/>
            <w:noWrap w:val="0"/>
            <w:vAlign w:val="center"/>
          </w:tcPr>
          <w:p w14:paraId="16EE043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64" w:type="dxa"/>
            <w:vMerge w:val="continue"/>
            <w:noWrap w:val="0"/>
            <w:vAlign w:val="center"/>
          </w:tcPr>
          <w:p w14:paraId="1548CDE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11111" w:type="dxa"/>
            <w:noWrap w:val="0"/>
            <w:vAlign w:val="center"/>
          </w:tcPr>
          <w:p w14:paraId="3E22E3A3">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（4）电梯维保应当符合《电梯维护保养规则》（TSG T5002）的有关要求。</w:t>
            </w:r>
          </w:p>
        </w:tc>
      </w:tr>
      <w:tr w14:paraId="2379C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1" w:type="dxa"/>
            <w:vMerge w:val="continue"/>
            <w:noWrap w:val="0"/>
            <w:vAlign w:val="center"/>
          </w:tcPr>
          <w:p w14:paraId="061D342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64" w:type="dxa"/>
            <w:vMerge w:val="continue"/>
            <w:noWrap w:val="0"/>
            <w:vAlign w:val="center"/>
          </w:tcPr>
          <w:p w14:paraId="652226E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11111" w:type="dxa"/>
            <w:noWrap w:val="0"/>
            <w:vAlign w:val="center"/>
          </w:tcPr>
          <w:p w14:paraId="72629124">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（5）电梯使用应当符合《特种设备使用管理规则》（TSG 08）的有关要求。</w:t>
            </w:r>
          </w:p>
        </w:tc>
      </w:tr>
      <w:tr w14:paraId="0CAB6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1" w:type="dxa"/>
            <w:vMerge w:val="continue"/>
            <w:noWrap w:val="0"/>
            <w:vAlign w:val="center"/>
          </w:tcPr>
          <w:p w14:paraId="3181279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64" w:type="dxa"/>
            <w:vMerge w:val="continue"/>
            <w:noWrap w:val="0"/>
            <w:vAlign w:val="center"/>
          </w:tcPr>
          <w:p w14:paraId="2CA5F8F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11111" w:type="dxa"/>
            <w:noWrap w:val="0"/>
            <w:vAlign w:val="center"/>
          </w:tcPr>
          <w:p w14:paraId="5C75671C">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（6）有电梯突发事件或事故的应急措施与救援预案，每年至少开展演练1次。电梯出现故障，物业服务人员10分钟内到场应急处理，维保专业人员30分钟内到场应急处理。</w:t>
            </w:r>
          </w:p>
        </w:tc>
      </w:tr>
      <w:tr w14:paraId="0E0B1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1" w:type="dxa"/>
            <w:vMerge w:val="continue"/>
            <w:noWrap w:val="0"/>
            <w:vAlign w:val="center"/>
          </w:tcPr>
          <w:p w14:paraId="7CBDC30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64" w:type="dxa"/>
            <w:vMerge w:val="continue"/>
            <w:noWrap w:val="0"/>
            <w:vAlign w:val="center"/>
          </w:tcPr>
          <w:p w14:paraId="1FB8D80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11111" w:type="dxa"/>
            <w:noWrap w:val="0"/>
            <w:vAlign w:val="center"/>
          </w:tcPr>
          <w:p w14:paraId="49315E9E">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（7）到场进行救助和排除故障。电梯紧急电话保持畅通。</w:t>
            </w:r>
          </w:p>
        </w:tc>
      </w:tr>
      <w:tr w14:paraId="574D3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1" w:type="dxa"/>
            <w:vMerge w:val="continue"/>
            <w:noWrap w:val="0"/>
            <w:vAlign w:val="center"/>
          </w:tcPr>
          <w:p w14:paraId="0610438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64" w:type="dxa"/>
            <w:vMerge w:val="continue"/>
            <w:noWrap w:val="0"/>
            <w:vAlign w:val="center"/>
          </w:tcPr>
          <w:p w14:paraId="6B48F79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11111" w:type="dxa"/>
            <w:noWrap w:val="0"/>
            <w:vAlign w:val="center"/>
          </w:tcPr>
          <w:p w14:paraId="65DF62AE">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（8）电梯维修、保养时在现场设置提示标识和防护围栏。</w:t>
            </w:r>
          </w:p>
        </w:tc>
      </w:tr>
      <w:tr w14:paraId="6E2A3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1" w:type="dxa"/>
            <w:vMerge w:val="continue"/>
            <w:noWrap w:val="0"/>
            <w:vAlign w:val="center"/>
          </w:tcPr>
          <w:p w14:paraId="3C285A8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64" w:type="dxa"/>
            <w:vMerge w:val="continue"/>
            <w:noWrap w:val="0"/>
            <w:vAlign w:val="center"/>
          </w:tcPr>
          <w:p w14:paraId="4CE632B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11111" w:type="dxa"/>
            <w:noWrap w:val="0"/>
            <w:vAlign w:val="center"/>
          </w:tcPr>
          <w:p w14:paraId="726F03E7">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（9）根据采购人需求，合理设置电梯开启的数量、时间。</w:t>
            </w:r>
          </w:p>
        </w:tc>
      </w:tr>
      <w:tr w14:paraId="1E0A2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1" w:type="dxa"/>
            <w:vMerge w:val="continue"/>
            <w:noWrap w:val="0"/>
            <w:vAlign w:val="center"/>
          </w:tcPr>
          <w:p w14:paraId="20D234F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64" w:type="dxa"/>
            <w:vMerge w:val="continue"/>
            <w:noWrap w:val="0"/>
            <w:vAlign w:val="center"/>
          </w:tcPr>
          <w:p w14:paraId="714D8B0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11111" w:type="dxa"/>
            <w:noWrap w:val="0"/>
            <w:vAlign w:val="center"/>
          </w:tcPr>
          <w:p w14:paraId="24E88CA6">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（10）......</w:t>
            </w:r>
          </w:p>
        </w:tc>
      </w:tr>
      <w:tr w14:paraId="41342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1" w:type="dxa"/>
            <w:vMerge w:val="restart"/>
            <w:noWrap w:val="0"/>
            <w:vAlign w:val="center"/>
          </w:tcPr>
          <w:p w14:paraId="1DCBDC7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5</w:t>
            </w:r>
          </w:p>
        </w:tc>
        <w:tc>
          <w:tcPr>
            <w:tcW w:w="2464" w:type="dxa"/>
            <w:vMerge w:val="restart"/>
            <w:noWrap w:val="0"/>
            <w:vAlign w:val="center"/>
          </w:tcPr>
          <w:p w14:paraId="4962019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空调</w:t>
            </w:r>
            <w:r>
              <w:rPr>
                <w:rFonts w:hint="eastAsia" w:ascii="仿宋" w:hAnsi="仿宋" w:eastAsia="仿宋" w:cs="仿宋"/>
                <w:sz w:val="21"/>
                <w:szCs w:val="21"/>
                <w:highlight w:val="none"/>
              </w:rPr>
              <w:t>系统</w:t>
            </w:r>
          </w:p>
        </w:tc>
        <w:tc>
          <w:tcPr>
            <w:tcW w:w="11111" w:type="dxa"/>
            <w:noWrap w:val="0"/>
            <w:vAlign w:val="center"/>
          </w:tcPr>
          <w:p w14:paraId="13F091D4">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color w:val="auto"/>
                <w:sz w:val="21"/>
                <w:szCs w:val="21"/>
                <w:highlight w:val="none"/>
                <w:u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（1）空调通风系统运行管理符合《空调通风系统运行管理标准》（GB50365）的相关要求。</w:t>
            </w:r>
          </w:p>
        </w:tc>
      </w:tr>
      <w:tr w14:paraId="4FD19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1" w:type="dxa"/>
            <w:vMerge w:val="continue"/>
            <w:noWrap w:val="0"/>
            <w:vAlign w:val="center"/>
          </w:tcPr>
          <w:p w14:paraId="5CA9843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64" w:type="dxa"/>
            <w:vMerge w:val="continue"/>
            <w:noWrap w:val="0"/>
            <w:vAlign w:val="center"/>
          </w:tcPr>
          <w:p w14:paraId="794788D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11111" w:type="dxa"/>
            <w:noWrap w:val="0"/>
            <w:vAlign w:val="center"/>
          </w:tcPr>
          <w:p w14:paraId="1C53B0B7">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color w:val="auto"/>
                <w:sz w:val="21"/>
                <w:szCs w:val="21"/>
                <w:highlight w:val="none"/>
                <w:u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（2）办公楼内温湿度、空气质量等符合《室内空气质量标准》（GB/T18883）的相关要求。</w:t>
            </w:r>
          </w:p>
        </w:tc>
      </w:tr>
      <w:tr w14:paraId="5311E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1" w:type="dxa"/>
            <w:vMerge w:val="continue"/>
            <w:noWrap w:val="0"/>
            <w:vAlign w:val="center"/>
          </w:tcPr>
          <w:p w14:paraId="1FA5C30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64" w:type="dxa"/>
            <w:vMerge w:val="continue"/>
            <w:noWrap w:val="0"/>
            <w:vAlign w:val="center"/>
          </w:tcPr>
          <w:p w14:paraId="5A585F4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11111" w:type="dxa"/>
            <w:noWrap w:val="0"/>
            <w:vAlign w:val="center"/>
          </w:tcPr>
          <w:p w14:paraId="2928126D">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color w:val="auto"/>
                <w:sz w:val="21"/>
                <w:szCs w:val="21"/>
                <w:highlight w:val="none"/>
                <w:u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（3）定期维保并做好记录，保证空调设施设备处于良好状态。</w:t>
            </w:r>
          </w:p>
        </w:tc>
      </w:tr>
      <w:tr w14:paraId="6567F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1" w:type="dxa"/>
            <w:vMerge w:val="continue"/>
            <w:noWrap w:val="0"/>
            <w:vAlign w:val="center"/>
          </w:tcPr>
          <w:p w14:paraId="0EC9B7F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64" w:type="dxa"/>
            <w:vMerge w:val="continue"/>
            <w:noWrap w:val="0"/>
            <w:vAlign w:val="center"/>
          </w:tcPr>
          <w:p w14:paraId="1C60FD5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11111" w:type="dxa"/>
            <w:noWrap w:val="0"/>
            <w:vAlign w:val="center"/>
          </w:tcPr>
          <w:p w14:paraId="639DDAD8">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color w:val="auto"/>
                <w:sz w:val="21"/>
                <w:szCs w:val="21"/>
                <w:highlight w:val="none"/>
                <w:u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（4）中央空调运行前对冷水机组、循环水泵、冷却塔、风机等设施设备进行系统检查，运行期间每日至少开展1次运行情况巡查。</w:t>
            </w:r>
          </w:p>
        </w:tc>
      </w:tr>
      <w:tr w14:paraId="22CD3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1" w:type="dxa"/>
            <w:vMerge w:val="continue"/>
            <w:noWrap w:val="0"/>
            <w:vAlign w:val="center"/>
          </w:tcPr>
          <w:p w14:paraId="014979E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64" w:type="dxa"/>
            <w:vMerge w:val="continue"/>
            <w:noWrap w:val="0"/>
            <w:vAlign w:val="center"/>
          </w:tcPr>
          <w:p w14:paraId="4FDB8B7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11111" w:type="dxa"/>
            <w:noWrap w:val="0"/>
            <w:vAlign w:val="center"/>
          </w:tcPr>
          <w:p w14:paraId="2AFE24E3">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color w:val="auto"/>
                <w:sz w:val="21"/>
                <w:szCs w:val="21"/>
                <w:highlight w:val="none"/>
                <w:u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（5）每半年至少开展1次管道、阀门检查并除锈。</w:t>
            </w:r>
          </w:p>
        </w:tc>
      </w:tr>
      <w:tr w14:paraId="3317E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1" w:type="dxa"/>
            <w:vMerge w:val="continue"/>
            <w:noWrap w:val="0"/>
            <w:vAlign w:val="center"/>
          </w:tcPr>
          <w:p w14:paraId="600B0F7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64" w:type="dxa"/>
            <w:vMerge w:val="continue"/>
            <w:noWrap w:val="0"/>
            <w:vAlign w:val="center"/>
          </w:tcPr>
          <w:p w14:paraId="11B970B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11111" w:type="dxa"/>
            <w:noWrap w:val="0"/>
            <w:vAlign w:val="center"/>
          </w:tcPr>
          <w:p w14:paraId="20E30644">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color w:val="auto"/>
                <w:sz w:val="21"/>
                <w:szCs w:val="21"/>
                <w:highlight w:val="none"/>
                <w:u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（6）每年至少开展1次系统整体性维修养护，检验1次压力容器、仪表及冷却塔噪声。</w:t>
            </w:r>
          </w:p>
        </w:tc>
      </w:tr>
      <w:tr w14:paraId="54228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1" w:type="dxa"/>
            <w:vMerge w:val="continue"/>
            <w:noWrap w:val="0"/>
            <w:vAlign w:val="center"/>
          </w:tcPr>
          <w:p w14:paraId="25DC156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64" w:type="dxa"/>
            <w:vMerge w:val="continue"/>
            <w:noWrap w:val="0"/>
            <w:vAlign w:val="center"/>
          </w:tcPr>
          <w:p w14:paraId="591815D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11111" w:type="dxa"/>
            <w:noWrap w:val="0"/>
            <w:vAlign w:val="center"/>
          </w:tcPr>
          <w:p w14:paraId="02B52AFE">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color w:val="auto"/>
                <w:sz w:val="21"/>
                <w:szCs w:val="21"/>
                <w:highlight w:val="none"/>
                <w:u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（7）每年至少开展1次新风机、空气处理机滤网等清洗消毒；每2年至少开展1次风管清洗消毒。</w:t>
            </w:r>
          </w:p>
        </w:tc>
      </w:tr>
      <w:tr w14:paraId="08E16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1" w:type="dxa"/>
            <w:vMerge w:val="continue"/>
            <w:noWrap w:val="0"/>
            <w:vAlign w:val="center"/>
          </w:tcPr>
          <w:p w14:paraId="7CB943A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64" w:type="dxa"/>
            <w:vMerge w:val="continue"/>
            <w:noWrap w:val="0"/>
            <w:vAlign w:val="center"/>
          </w:tcPr>
          <w:p w14:paraId="0B9A758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11111" w:type="dxa"/>
            <w:noWrap w:val="0"/>
            <w:vAlign w:val="center"/>
          </w:tcPr>
          <w:p w14:paraId="05307436">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color w:val="auto"/>
                <w:sz w:val="21"/>
                <w:szCs w:val="21"/>
                <w:highlight w:val="none"/>
                <w:u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（8）每年至少开展1次分体式空调主机（含空调过滤网）和室外机清洁。每月至少开展1次挂机和室外支架稳固性巡查。</w:t>
            </w:r>
          </w:p>
        </w:tc>
      </w:tr>
      <w:tr w14:paraId="4292A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1" w:type="dxa"/>
            <w:vMerge w:val="continue"/>
            <w:noWrap w:val="0"/>
            <w:vAlign w:val="center"/>
          </w:tcPr>
          <w:p w14:paraId="4EBAA33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64" w:type="dxa"/>
            <w:vMerge w:val="continue"/>
            <w:noWrap w:val="0"/>
            <w:vAlign w:val="center"/>
          </w:tcPr>
          <w:p w14:paraId="232BB71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11111" w:type="dxa"/>
            <w:noWrap w:val="0"/>
            <w:vAlign w:val="center"/>
          </w:tcPr>
          <w:p w14:paraId="337EB446">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color w:val="auto"/>
                <w:sz w:val="21"/>
                <w:szCs w:val="21"/>
                <w:highlight w:val="none"/>
                <w:u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（9）制冷、供暖系统温度设定及启用时间符合节能要求。</w:t>
            </w:r>
          </w:p>
        </w:tc>
      </w:tr>
      <w:tr w14:paraId="42265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1" w:type="dxa"/>
            <w:vMerge w:val="continue"/>
            <w:noWrap w:val="0"/>
            <w:vAlign w:val="center"/>
          </w:tcPr>
          <w:p w14:paraId="64B8062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64" w:type="dxa"/>
            <w:vMerge w:val="continue"/>
            <w:noWrap w:val="0"/>
            <w:vAlign w:val="center"/>
          </w:tcPr>
          <w:p w14:paraId="0D4C93D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1111" w:type="dxa"/>
            <w:noWrap w:val="0"/>
            <w:vAlign w:val="center"/>
          </w:tcPr>
          <w:p w14:paraId="2785D1C9">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（10）</w:t>
            </w:r>
            <w:r>
              <w:rPr>
                <w:rFonts w:hint="eastAsia" w:ascii="仿宋" w:hAnsi="仿宋" w:eastAsia="仿宋" w:cs="仿宋"/>
                <w:color w:val="auto"/>
                <w:sz w:val="21"/>
                <w:szCs w:val="21"/>
                <w:highlight w:val="none"/>
                <w:u w:val="none"/>
                <w:lang w:val="en-US" w:eastAsia="zh-CN"/>
              </w:rPr>
              <w:t>发现故障或损坏应当在30分钟内到场，紧急维修应当在15分钟内到达现场，在12小时内维修完毕。</w:t>
            </w:r>
          </w:p>
        </w:tc>
      </w:tr>
      <w:tr w14:paraId="76B7E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1" w:type="dxa"/>
            <w:vMerge w:val="continue"/>
            <w:noWrap w:val="0"/>
            <w:vAlign w:val="center"/>
          </w:tcPr>
          <w:p w14:paraId="603D245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64" w:type="dxa"/>
            <w:vMerge w:val="continue"/>
            <w:noWrap w:val="0"/>
            <w:vAlign w:val="center"/>
          </w:tcPr>
          <w:p w14:paraId="30C5800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11111" w:type="dxa"/>
            <w:noWrap w:val="0"/>
            <w:vAlign w:val="center"/>
          </w:tcPr>
          <w:p w14:paraId="0CA7D1EA">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（11）......</w:t>
            </w:r>
          </w:p>
        </w:tc>
      </w:tr>
      <w:tr w14:paraId="08727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1" w:type="dxa"/>
            <w:vMerge w:val="restart"/>
            <w:noWrap w:val="0"/>
            <w:vAlign w:val="center"/>
          </w:tcPr>
          <w:p w14:paraId="3513829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6</w:t>
            </w:r>
          </w:p>
        </w:tc>
        <w:tc>
          <w:tcPr>
            <w:tcW w:w="2464" w:type="dxa"/>
            <w:vMerge w:val="restart"/>
            <w:noWrap w:val="0"/>
            <w:vAlign w:val="center"/>
          </w:tcPr>
          <w:p w14:paraId="2CBAB60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消防</w:t>
            </w:r>
            <w:r>
              <w:rPr>
                <w:rFonts w:hint="eastAsia" w:ascii="仿宋" w:hAnsi="仿宋" w:eastAsia="仿宋" w:cs="仿宋"/>
                <w:sz w:val="21"/>
                <w:szCs w:val="21"/>
                <w:highlight w:val="none"/>
              </w:rPr>
              <w:t>系统</w:t>
            </w:r>
          </w:p>
        </w:tc>
        <w:tc>
          <w:tcPr>
            <w:tcW w:w="11111" w:type="dxa"/>
            <w:noWrap w:val="0"/>
            <w:vAlign w:val="center"/>
          </w:tcPr>
          <w:p w14:paraId="5EDDC5F9">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（1）消防设施的维护管理符合《建筑消防设施的维护管理》（GB25201）的相关要求。</w:t>
            </w:r>
          </w:p>
        </w:tc>
      </w:tr>
      <w:tr w14:paraId="6E96D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1" w:type="dxa"/>
            <w:vMerge w:val="continue"/>
            <w:noWrap w:val="0"/>
            <w:vAlign w:val="center"/>
          </w:tcPr>
          <w:p w14:paraId="55A35B1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64" w:type="dxa"/>
            <w:vMerge w:val="continue"/>
            <w:noWrap w:val="0"/>
            <w:vAlign w:val="center"/>
          </w:tcPr>
          <w:p w14:paraId="07CF1B7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11111" w:type="dxa"/>
            <w:noWrap w:val="0"/>
            <w:vAlign w:val="center"/>
          </w:tcPr>
          <w:p w14:paraId="7E7C2814">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（2）消防设备检测符合《建筑消防设施检测技术规程》（GA503或XF503）的相关要求。</w:t>
            </w:r>
          </w:p>
        </w:tc>
      </w:tr>
      <w:tr w14:paraId="3469D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1" w:type="dxa"/>
            <w:vMerge w:val="continue"/>
            <w:noWrap w:val="0"/>
            <w:vAlign w:val="center"/>
          </w:tcPr>
          <w:p w14:paraId="5BAA927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64" w:type="dxa"/>
            <w:vMerge w:val="continue"/>
            <w:noWrap w:val="0"/>
            <w:vAlign w:val="center"/>
          </w:tcPr>
          <w:p w14:paraId="4307F32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11111" w:type="dxa"/>
            <w:noWrap w:val="0"/>
            <w:vAlign w:val="center"/>
          </w:tcPr>
          <w:p w14:paraId="310750C7">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（3）消防设施平面图、火警疏散示意图、防火分区图等按幢设置在楼层醒目位置。</w:t>
            </w:r>
          </w:p>
        </w:tc>
      </w:tr>
      <w:tr w14:paraId="676A0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1" w:type="dxa"/>
            <w:vMerge w:val="continue"/>
            <w:noWrap w:val="0"/>
            <w:vAlign w:val="center"/>
          </w:tcPr>
          <w:p w14:paraId="5A4430C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64" w:type="dxa"/>
            <w:vMerge w:val="continue"/>
            <w:noWrap w:val="0"/>
            <w:vAlign w:val="center"/>
          </w:tcPr>
          <w:p w14:paraId="7A7E959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11111" w:type="dxa"/>
            <w:noWrap w:val="0"/>
            <w:vAlign w:val="center"/>
          </w:tcPr>
          <w:p w14:paraId="3B3869D8">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（4）消防系统各设施设备使用说明清晰，宜图文结合。</w:t>
            </w:r>
          </w:p>
        </w:tc>
      </w:tr>
      <w:tr w14:paraId="3FE6C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1" w:type="dxa"/>
            <w:vMerge w:val="continue"/>
            <w:noWrap w:val="0"/>
            <w:vAlign w:val="center"/>
          </w:tcPr>
          <w:p w14:paraId="5E7723A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64" w:type="dxa"/>
            <w:vMerge w:val="continue"/>
            <w:noWrap w:val="0"/>
            <w:vAlign w:val="center"/>
          </w:tcPr>
          <w:p w14:paraId="53604F3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11111" w:type="dxa"/>
            <w:noWrap w:val="0"/>
            <w:vAlign w:val="center"/>
          </w:tcPr>
          <w:p w14:paraId="2DBF05CA">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（5）自动喷水灭火系统启动正常。</w:t>
            </w:r>
          </w:p>
        </w:tc>
      </w:tr>
      <w:tr w14:paraId="5CAA7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1" w:type="dxa"/>
            <w:vMerge w:val="continue"/>
            <w:noWrap w:val="0"/>
            <w:vAlign w:val="center"/>
          </w:tcPr>
          <w:p w14:paraId="2107391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64" w:type="dxa"/>
            <w:vMerge w:val="continue"/>
            <w:noWrap w:val="0"/>
            <w:vAlign w:val="center"/>
          </w:tcPr>
          <w:p w14:paraId="7F71E5B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11111" w:type="dxa"/>
            <w:noWrap w:val="0"/>
            <w:vAlign w:val="center"/>
          </w:tcPr>
          <w:p w14:paraId="77DEF92F">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（6）消火栓箱、防火门、灭火器、消防水泵、红外线报警器、应急照明、安全疏散等系统运行正常。</w:t>
            </w:r>
          </w:p>
        </w:tc>
      </w:tr>
      <w:tr w14:paraId="0DC03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1" w:type="dxa"/>
            <w:vMerge w:val="continue"/>
            <w:noWrap w:val="0"/>
            <w:vAlign w:val="center"/>
          </w:tcPr>
          <w:p w14:paraId="29230F5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64" w:type="dxa"/>
            <w:vMerge w:val="continue"/>
            <w:noWrap w:val="0"/>
            <w:vAlign w:val="center"/>
          </w:tcPr>
          <w:p w14:paraId="0C892D0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11111" w:type="dxa"/>
            <w:noWrap w:val="0"/>
            <w:vAlign w:val="center"/>
          </w:tcPr>
          <w:p w14:paraId="565CB6E7">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（7）消防监控系统运行良好，自动和手动报警设施启动正常。</w:t>
            </w:r>
          </w:p>
        </w:tc>
      </w:tr>
      <w:tr w14:paraId="7A2AA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1" w:type="dxa"/>
            <w:vMerge w:val="continue"/>
            <w:noWrap w:val="0"/>
            <w:vAlign w:val="center"/>
          </w:tcPr>
          <w:p w14:paraId="13E0A13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64" w:type="dxa"/>
            <w:vMerge w:val="continue"/>
            <w:noWrap w:val="0"/>
            <w:vAlign w:val="center"/>
          </w:tcPr>
          <w:p w14:paraId="0B8E857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1111" w:type="dxa"/>
            <w:noWrap w:val="0"/>
            <w:vAlign w:val="center"/>
          </w:tcPr>
          <w:p w14:paraId="768A70C0">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（8）正压送风、防排烟系统运行正常。</w:t>
            </w:r>
          </w:p>
        </w:tc>
      </w:tr>
      <w:tr w14:paraId="511D3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1" w:type="dxa"/>
            <w:vMerge w:val="continue"/>
            <w:noWrap w:val="0"/>
            <w:vAlign w:val="center"/>
          </w:tcPr>
          <w:p w14:paraId="5EE9AC2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64" w:type="dxa"/>
            <w:vMerge w:val="continue"/>
            <w:noWrap w:val="0"/>
            <w:vAlign w:val="center"/>
          </w:tcPr>
          <w:p w14:paraId="247BEFD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1111" w:type="dxa"/>
            <w:noWrap w:val="0"/>
            <w:vAlign w:val="center"/>
          </w:tcPr>
          <w:p w14:paraId="59B657D9">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（9）......</w:t>
            </w:r>
          </w:p>
        </w:tc>
      </w:tr>
      <w:tr w14:paraId="517FE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1" w:type="dxa"/>
            <w:vMerge w:val="restart"/>
            <w:noWrap w:val="0"/>
            <w:vAlign w:val="center"/>
          </w:tcPr>
          <w:p w14:paraId="344967D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7</w:t>
            </w:r>
          </w:p>
        </w:tc>
        <w:tc>
          <w:tcPr>
            <w:tcW w:w="2464" w:type="dxa"/>
            <w:vMerge w:val="restart"/>
            <w:noWrap w:val="0"/>
            <w:vAlign w:val="center"/>
          </w:tcPr>
          <w:p w14:paraId="089F97F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供</w:t>
            </w:r>
            <w:r>
              <w:rPr>
                <w:rFonts w:hint="eastAsia" w:ascii="仿宋" w:hAnsi="仿宋" w:eastAsia="仿宋" w:cs="仿宋"/>
                <w:sz w:val="21"/>
                <w:szCs w:val="21"/>
                <w:highlight w:val="none"/>
                <w:lang w:val="en-US" w:eastAsia="zh-CN"/>
              </w:rPr>
              <w:t>配电</w:t>
            </w:r>
            <w:r>
              <w:rPr>
                <w:rFonts w:hint="eastAsia" w:ascii="仿宋" w:hAnsi="仿宋" w:eastAsia="仿宋" w:cs="仿宋"/>
                <w:sz w:val="21"/>
                <w:szCs w:val="21"/>
                <w:highlight w:val="none"/>
              </w:rPr>
              <w:t>系统</w:t>
            </w:r>
          </w:p>
        </w:tc>
        <w:tc>
          <w:tcPr>
            <w:tcW w:w="11111" w:type="dxa"/>
            <w:noWrap w:val="0"/>
            <w:vAlign w:val="center"/>
          </w:tcPr>
          <w:p w14:paraId="59F256ED">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（1）建立24小时运行值班监控制度。</w:t>
            </w:r>
          </w:p>
        </w:tc>
      </w:tr>
      <w:tr w14:paraId="36FBF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1" w:type="dxa"/>
            <w:vMerge w:val="continue"/>
            <w:noWrap w:val="0"/>
            <w:vAlign w:val="center"/>
          </w:tcPr>
          <w:p w14:paraId="7A19683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2464" w:type="dxa"/>
            <w:vMerge w:val="continue"/>
            <w:noWrap w:val="0"/>
            <w:vAlign w:val="center"/>
          </w:tcPr>
          <w:p w14:paraId="251C224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1111" w:type="dxa"/>
            <w:noWrap w:val="0"/>
            <w:vAlign w:val="center"/>
          </w:tcPr>
          <w:p w14:paraId="1625DC0D">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（2）对供电范围内的电气设备定期巡视维护，加强高低压配电柜、配电箱、控制柜及线路等重点部位监测。</w:t>
            </w:r>
          </w:p>
        </w:tc>
      </w:tr>
      <w:tr w14:paraId="69E57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1" w:type="dxa"/>
            <w:vMerge w:val="continue"/>
            <w:noWrap w:val="0"/>
            <w:vAlign w:val="center"/>
          </w:tcPr>
          <w:p w14:paraId="2460BE6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2464" w:type="dxa"/>
            <w:vMerge w:val="continue"/>
            <w:noWrap w:val="0"/>
            <w:vAlign w:val="center"/>
          </w:tcPr>
          <w:p w14:paraId="0E8D7B7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1111" w:type="dxa"/>
            <w:noWrap w:val="0"/>
            <w:vAlign w:val="center"/>
          </w:tcPr>
          <w:p w14:paraId="710AB45F">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（3）公共使用的照明、指示灯具线路、开关、接地等保持完好，确保用电安全。</w:t>
            </w:r>
          </w:p>
        </w:tc>
      </w:tr>
      <w:tr w14:paraId="39AA9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1" w:type="dxa"/>
            <w:vMerge w:val="continue"/>
            <w:noWrap w:val="0"/>
            <w:vAlign w:val="center"/>
          </w:tcPr>
          <w:p w14:paraId="54768AA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2464" w:type="dxa"/>
            <w:vMerge w:val="continue"/>
            <w:noWrap w:val="0"/>
            <w:vAlign w:val="center"/>
          </w:tcPr>
          <w:p w14:paraId="42AEBEC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1111" w:type="dxa"/>
            <w:noWrap w:val="0"/>
            <w:vAlign w:val="center"/>
          </w:tcPr>
          <w:p w14:paraId="739CE4BF">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（4）核心部位用电建立高可控用电保障和配备应急发电设备，定期维护应急发电设备。</w:t>
            </w:r>
          </w:p>
        </w:tc>
      </w:tr>
      <w:tr w14:paraId="652A1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1" w:type="dxa"/>
            <w:vMerge w:val="continue"/>
            <w:noWrap w:val="0"/>
            <w:vAlign w:val="center"/>
          </w:tcPr>
          <w:p w14:paraId="00A6644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2464" w:type="dxa"/>
            <w:vMerge w:val="continue"/>
            <w:noWrap w:val="0"/>
            <w:vAlign w:val="center"/>
          </w:tcPr>
          <w:p w14:paraId="46C3071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1111" w:type="dxa"/>
            <w:noWrap w:val="0"/>
            <w:vAlign w:val="center"/>
          </w:tcPr>
          <w:p w14:paraId="7032D8E5">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（5）发生非计划性停电的，应当在事件发生后及时通知采购人，快速恢复或启用应急电源，并做好应急事件上报及处理工作。</w:t>
            </w:r>
          </w:p>
        </w:tc>
      </w:tr>
      <w:tr w14:paraId="59F30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1" w:type="dxa"/>
            <w:vMerge w:val="continue"/>
            <w:noWrap w:val="0"/>
            <w:vAlign w:val="center"/>
          </w:tcPr>
          <w:p w14:paraId="1F4086C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2464" w:type="dxa"/>
            <w:vMerge w:val="continue"/>
            <w:noWrap w:val="0"/>
            <w:vAlign w:val="center"/>
          </w:tcPr>
          <w:p w14:paraId="7009818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1111" w:type="dxa"/>
            <w:noWrap w:val="0"/>
            <w:vAlign w:val="center"/>
          </w:tcPr>
          <w:p w14:paraId="1BBF3B99">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（6）复杂故障涉及供电部门维修处置的及时与供电部门联系，并向采购人报告。</w:t>
            </w:r>
          </w:p>
        </w:tc>
      </w:tr>
      <w:tr w14:paraId="5A607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1" w:type="dxa"/>
            <w:vMerge w:val="continue"/>
            <w:noWrap w:val="0"/>
            <w:vAlign w:val="center"/>
          </w:tcPr>
          <w:p w14:paraId="198C331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2464" w:type="dxa"/>
            <w:vMerge w:val="continue"/>
            <w:noWrap w:val="0"/>
            <w:vAlign w:val="center"/>
          </w:tcPr>
          <w:p w14:paraId="5B26388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1111" w:type="dxa"/>
            <w:noWrap w:val="0"/>
            <w:vAlign w:val="center"/>
          </w:tcPr>
          <w:p w14:paraId="0B652C2F">
            <w:pPr>
              <w:keepNext w:val="0"/>
              <w:keepLines w:val="0"/>
              <w:pageBreakBefore w:val="0"/>
              <w:widowControl/>
              <w:kinsoku/>
              <w:wordWrap/>
              <w:overflowPunct/>
              <w:topLinePunct w:val="0"/>
              <w:autoSpaceDE/>
              <w:autoSpaceDN/>
              <w:bidi w:val="0"/>
              <w:adjustRightInd/>
              <w:snapToGrid w:val="0"/>
              <w:spacing w:line="300" w:lineRule="auto"/>
              <w:ind w:left="0" w:leftChars="0" w:firstLine="210" w:firstLineChars="100"/>
              <w:jc w:val="left"/>
              <w:textAlignment w:val="auto"/>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（7）......</w:t>
            </w:r>
          </w:p>
        </w:tc>
      </w:tr>
      <w:tr w14:paraId="50BCC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1" w:type="dxa"/>
            <w:vMerge w:val="restart"/>
            <w:noWrap w:val="0"/>
            <w:vAlign w:val="center"/>
          </w:tcPr>
          <w:p w14:paraId="618AB98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8</w:t>
            </w:r>
          </w:p>
        </w:tc>
        <w:tc>
          <w:tcPr>
            <w:tcW w:w="2464" w:type="dxa"/>
            <w:vMerge w:val="restart"/>
            <w:noWrap w:val="0"/>
            <w:vAlign w:val="center"/>
          </w:tcPr>
          <w:p w14:paraId="23D0135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弱电系统</w:t>
            </w:r>
          </w:p>
        </w:tc>
        <w:tc>
          <w:tcPr>
            <w:tcW w:w="11111" w:type="dxa"/>
            <w:noWrap w:val="0"/>
            <w:vAlign w:val="center"/>
          </w:tcPr>
          <w:p w14:paraId="541A7BEA">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（1）安全防范系统维护保养符合《安全防范系统维护保养规范》（</w:t>
            </w:r>
            <w:r>
              <w:rPr>
                <w:rFonts w:hint="eastAsia" w:ascii="仿宋" w:hAnsi="仿宋" w:eastAsia="仿宋" w:cs="仿宋"/>
                <w:color w:val="auto"/>
                <w:kern w:val="0"/>
                <w:sz w:val="21"/>
                <w:szCs w:val="21"/>
                <w:highlight w:val="none"/>
              </w:rPr>
              <w:t>GA/T 1081</w:t>
            </w:r>
            <w:r>
              <w:rPr>
                <w:rFonts w:hint="eastAsia" w:ascii="仿宋" w:hAnsi="仿宋" w:eastAsia="仿宋" w:cs="仿宋"/>
                <w:b w:val="0"/>
                <w:bCs w:val="0"/>
                <w:color w:val="auto"/>
                <w:kern w:val="0"/>
                <w:sz w:val="21"/>
                <w:szCs w:val="21"/>
                <w:highlight w:val="none"/>
                <w:lang w:val="en-US" w:eastAsia="zh-CN"/>
              </w:rPr>
              <w:t>）的相关要求。</w:t>
            </w:r>
          </w:p>
        </w:tc>
      </w:tr>
      <w:tr w14:paraId="2D1BC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1" w:type="dxa"/>
            <w:vMerge w:val="continue"/>
            <w:noWrap w:val="0"/>
            <w:vAlign w:val="center"/>
          </w:tcPr>
          <w:p w14:paraId="17DC7A1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64" w:type="dxa"/>
            <w:vMerge w:val="continue"/>
            <w:noWrap w:val="0"/>
            <w:vAlign w:val="center"/>
          </w:tcPr>
          <w:p w14:paraId="36EE015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1111" w:type="dxa"/>
            <w:noWrap w:val="0"/>
            <w:vAlign w:val="center"/>
          </w:tcPr>
          <w:p w14:paraId="5D2A2944">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（2）保持监控系统、门禁系统、安全防范系统等运行正常，有故障及时排除。</w:t>
            </w:r>
          </w:p>
        </w:tc>
      </w:tr>
      <w:tr w14:paraId="637E5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1" w:type="dxa"/>
            <w:vMerge w:val="continue"/>
            <w:noWrap w:val="0"/>
            <w:vAlign w:val="center"/>
          </w:tcPr>
          <w:p w14:paraId="3C09331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64" w:type="dxa"/>
            <w:vMerge w:val="continue"/>
            <w:noWrap w:val="0"/>
            <w:vAlign w:val="center"/>
          </w:tcPr>
          <w:p w14:paraId="1FAC628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1111" w:type="dxa"/>
            <w:noWrap w:val="0"/>
            <w:vAlign w:val="center"/>
          </w:tcPr>
          <w:p w14:paraId="3A9DCC85">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（3）......</w:t>
            </w:r>
          </w:p>
        </w:tc>
      </w:tr>
      <w:tr w14:paraId="3D28B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1" w:type="dxa"/>
            <w:vMerge w:val="restart"/>
            <w:noWrap w:val="0"/>
            <w:vAlign w:val="center"/>
          </w:tcPr>
          <w:p w14:paraId="23A6B97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9</w:t>
            </w:r>
          </w:p>
        </w:tc>
        <w:tc>
          <w:tcPr>
            <w:tcW w:w="2464" w:type="dxa"/>
            <w:vMerge w:val="restart"/>
            <w:noWrap w:val="0"/>
            <w:vAlign w:val="center"/>
          </w:tcPr>
          <w:p w14:paraId="3AA32F8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照明</w:t>
            </w:r>
            <w:r>
              <w:rPr>
                <w:rFonts w:hint="eastAsia" w:ascii="仿宋" w:hAnsi="仿宋" w:eastAsia="仿宋" w:cs="仿宋"/>
                <w:sz w:val="21"/>
                <w:szCs w:val="21"/>
                <w:highlight w:val="none"/>
              </w:rPr>
              <w:t>系统</w:t>
            </w:r>
          </w:p>
        </w:tc>
        <w:tc>
          <w:tcPr>
            <w:tcW w:w="11111" w:type="dxa"/>
            <w:noWrap w:val="0"/>
            <w:vAlign w:val="center"/>
          </w:tcPr>
          <w:p w14:paraId="7C253C17">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（1）外观整洁无缺损、无松落。</w:t>
            </w:r>
          </w:p>
        </w:tc>
      </w:tr>
      <w:tr w14:paraId="116CF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1" w:type="dxa"/>
            <w:vMerge w:val="continue"/>
            <w:noWrap w:val="0"/>
            <w:vAlign w:val="center"/>
          </w:tcPr>
          <w:p w14:paraId="15B09EB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64" w:type="dxa"/>
            <w:vMerge w:val="continue"/>
            <w:noWrap w:val="0"/>
            <w:vAlign w:val="center"/>
          </w:tcPr>
          <w:p w14:paraId="530FBD2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11111" w:type="dxa"/>
            <w:noWrap w:val="0"/>
            <w:vAlign w:val="center"/>
          </w:tcPr>
          <w:p w14:paraId="53950046">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（2）更换的照明灯具应当选用节能环保产品，亮度与更换前保持一致。</w:t>
            </w:r>
          </w:p>
        </w:tc>
      </w:tr>
      <w:tr w14:paraId="07A6B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1" w:type="dxa"/>
            <w:vMerge w:val="continue"/>
            <w:noWrap w:val="0"/>
            <w:vAlign w:val="center"/>
          </w:tcPr>
          <w:p w14:paraId="762E65E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64" w:type="dxa"/>
            <w:vMerge w:val="continue"/>
            <w:noWrap w:val="0"/>
            <w:vAlign w:val="center"/>
          </w:tcPr>
          <w:p w14:paraId="08852E7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1111" w:type="dxa"/>
            <w:noWrap w:val="0"/>
            <w:vAlign w:val="center"/>
          </w:tcPr>
          <w:p w14:paraId="7FAE334D">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（3）每周至少开展1次公共区域照明设备巡视。</w:t>
            </w:r>
          </w:p>
        </w:tc>
      </w:tr>
      <w:tr w14:paraId="60E97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1" w:type="dxa"/>
            <w:vMerge w:val="continue"/>
            <w:noWrap w:val="0"/>
            <w:vAlign w:val="center"/>
          </w:tcPr>
          <w:p w14:paraId="08FAB2C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64" w:type="dxa"/>
            <w:vMerge w:val="continue"/>
            <w:noWrap w:val="0"/>
            <w:vAlign w:val="center"/>
          </w:tcPr>
          <w:p w14:paraId="6CFCBE2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1111" w:type="dxa"/>
            <w:noWrap w:val="0"/>
            <w:vAlign w:val="center"/>
          </w:tcPr>
          <w:p w14:paraId="5F1159D5">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（4）......</w:t>
            </w:r>
          </w:p>
        </w:tc>
      </w:tr>
      <w:tr w14:paraId="48030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1" w:type="dxa"/>
            <w:vMerge w:val="restart"/>
            <w:noWrap w:val="0"/>
            <w:vAlign w:val="center"/>
          </w:tcPr>
          <w:p w14:paraId="2F9DFE9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10</w:t>
            </w:r>
          </w:p>
        </w:tc>
        <w:tc>
          <w:tcPr>
            <w:tcW w:w="2464" w:type="dxa"/>
            <w:vMerge w:val="restart"/>
            <w:noWrap w:val="0"/>
            <w:vAlign w:val="center"/>
          </w:tcPr>
          <w:p w14:paraId="0D80982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锅炉设备/热力站</w:t>
            </w:r>
          </w:p>
        </w:tc>
        <w:tc>
          <w:tcPr>
            <w:tcW w:w="11111" w:type="dxa"/>
            <w:noWrap w:val="0"/>
            <w:vAlign w:val="center"/>
          </w:tcPr>
          <w:p w14:paraId="7F9B75D2">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A3"/>
            </w:r>
            <w:r>
              <w:rPr>
                <w:rFonts w:hint="eastAsia" w:ascii="仿宋" w:hAnsi="仿宋" w:eastAsia="仿宋" w:cs="仿宋"/>
                <w:b w:val="0"/>
                <w:bCs w:val="0"/>
                <w:color w:val="auto"/>
                <w:kern w:val="0"/>
                <w:sz w:val="21"/>
                <w:szCs w:val="21"/>
                <w:highlight w:val="none"/>
                <w:lang w:val="en-US" w:eastAsia="zh-CN"/>
              </w:rPr>
              <w:t xml:space="preserve"> （1）建立24小时值班监控制度。</w:t>
            </w:r>
          </w:p>
        </w:tc>
      </w:tr>
      <w:tr w14:paraId="6DCCD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1" w:type="dxa"/>
            <w:vMerge w:val="continue"/>
            <w:noWrap w:val="0"/>
            <w:vAlign w:val="center"/>
          </w:tcPr>
          <w:p w14:paraId="7B9CACB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64" w:type="dxa"/>
            <w:vMerge w:val="continue"/>
            <w:noWrap w:val="0"/>
            <w:vAlign w:val="center"/>
          </w:tcPr>
          <w:p w14:paraId="7B101E1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1111" w:type="dxa"/>
            <w:noWrap w:val="0"/>
            <w:vAlign w:val="center"/>
          </w:tcPr>
          <w:p w14:paraId="78E91C4B">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A3"/>
            </w:r>
            <w:r>
              <w:rPr>
                <w:rFonts w:hint="eastAsia" w:ascii="仿宋" w:hAnsi="仿宋" w:eastAsia="仿宋" w:cs="仿宋"/>
                <w:b w:val="0"/>
                <w:bCs w:val="0"/>
                <w:color w:val="auto"/>
                <w:kern w:val="0"/>
                <w:sz w:val="21"/>
                <w:szCs w:val="21"/>
                <w:highlight w:val="none"/>
                <w:lang w:val="en-US" w:eastAsia="zh-CN"/>
              </w:rPr>
              <w:t xml:space="preserve"> （2）每年至少开展1次锅炉设备的全面检查。</w:t>
            </w:r>
          </w:p>
        </w:tc>
      </w:tr>
      <w:tr w14:paraId="359A8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1" w:type="dxa"/>
            <w:vMerge w:val="continue"/>
            <w:noWrap w:val="0"/>
            <w:vAlign w:val="center"/>
          </w:tcPr>
          <w:p w14:paraId="703FF7B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64" w:type="dxa"/>
            <w:vMerge w:val="continue"/>
            <w:noWrap w:val="0"/>
            <w:vAlign w:val="center"/>
          </w:tcPr>
          <w:p w14:paraId="6700BFD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1111" w:type="dxa"/>
            <w:noWrap w:val="0"/>
            <w:vAlign w:val="center"/>
          </w:tcPr>
          <w:p w14:paraId="785DA33C">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A3"/>
            </w:r>
            <w:r>
              <w:rPr>
                <w:rFonts w:hint="eastAsia" w:ascii="仿宋" w:hAnsi="仿宋" w:eastAsia="仿宋" w:cs="仿宋"/>
                <w:b w:val="0"/>
                <w:bCs w:val="0"/>
                <w:color w:val="auto"/>
                <w:kern w:val="0"/>
                <w:sz w:val="21"/>
                <w:szCs w:val="21"/>
                <w:highlight w:val="none"/>
                <w:lang w:val="en-US" w:eastAsia="zh-CN"/>
              </w:rPr>
              <w:t xml:space="preserve"> （3）每年至少开展1次锅炉设备及其辅助设备检测，确保各类设备、仪器仪表、水管线路运行正常。</w:t>
            </w:r>
          </w:p>
        </w:tc>
      </w:tr>
      <w:tr w14:paraId="6D95F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1" w:type="dxa"/>
            <w:vMerge w:val="continue"/>
            <w:noWrap w:val="0"/>
            <w:vAlign w:val="center"/>
          </w:tcPr>
          <w:p w14:paraId="0966EB8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64" w:type="dxa"/>
            <w:vMerge w:val="continue"/>
            <w:noWrap w:val="0"/>
            <w:vAlign w:val="center"/>
          </w:tcPr>
          <w:p w14:paraId="0F170D7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1111" w:type="dxa"/>
            <w:noWrap w:val="0"/>
            <w:vAlign w:val="center"/>
          </w:tcPr>
          <w:p w14:paraId="1634AD94">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A3"/>
            </w:r>
            <w:r>
              <w:rPr>
                <w:rFonts w:hint="eastAsia" w:ascii="仿宋" w:hAnsi="仿宋" w:eastAsia="仿宋" w:cs="仿宋"/>
                <w:b w:val="0"/>
                <w:bCs w:val="0"/>
                <w:color w:val="auto"/>
                <w:kern w:val="0"/>
                <w:sz w:val="21"/>
                <w:szCs w:val="21"/>
                <w:highlight w:val="none"/>
                <w:lang w:val="en-US" w:eastAsia="zh-CN"/>
              </w:rPr>
              <w:t xml:space="preserve"> （4）每年至少开展1次锅炉水质检测，确保水质合格。</w:t>
            </w:r>
          </w:p>
        </w:tc>
      </w:tr>
      <w:tr w14:paraId="3BD7A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1" w:type="dxa"/>
            <w:vMerge w:val="continue"/>
            <w:noWrap w:val="0"/>
            <w:vAlign w:val="center"/>
          </w:tcPr>
          <w:p w14:paraId="51D93B0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64" w:type="dxa"/>
            <w:vMerge w:val="continue"/>
            <w:noWrap w:val="0"/>
            <w:vAlign w:val="center"/>
          </w:tcPr>
          <w:p w14:paraId="11F7D55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1111" w:type="dxa"/>
            <w:noWrap w:val="0"/>
            <w:vAlign w:val="center"/>
          </w:tcPr>
          <w:p w14:paraId="5CA9122B">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A3"/>
            </w:r>
            <w:r>
              <w:rPr>
                <w:rFonts w:hint="eastAsia" w:ascii="仿宋" w:hAnsi="仿宋" w:eastAsia="仿宋" w:cs="仿宋"/>
                <w:b w:val="0"/>
                <w:bCs w:val="0"/>
                <w:color w:val="auto"/>
                <w:kern w:val="0"/>
                <w:sz w:val="21"/>
                <w:szCs w:val="21"/>
                <w:highlight w:val="none"/>
                <w:lang w:val="en-US" w:eastAsia="zh-CN"/>
              </w:rPr>
              <w:t xml:space="preserve"> （5）按锅炉厂家制定的检修规程对锅炉进行检修。</w:t>
            </w:r>
          </w:p>
        </w:tc>
      </w:tr>
      <w:tr w14:paraId="45E4A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1" w:type="dxa"/>
            <w:vMerge w:val="continue"/>
            <w:noWrap w:val="0"/>
            <w:vAlign w:val="center"/>
          </w:tcPr>
          <w:p w14:paraId="778473F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64" w:type="dxa"/>
            <w:vMerge w:val="continue"/>
            <w:noWrap w:val="0"/>
            <w:vAlign w:val="center"/>
          </w:tcPr>
          <w:p w14:paraId="364A459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1111" w:type="dxa"/>
            <w:noWrap w:val="0"/>
            <w:vAlign w:val="center"/>
          </w:tcPr>
          <w:p w14:paraId="6EFC810F">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A3"/>
            </w:r>
            <w:r>
              <w:rPr>
                <w:rFonts w:hint="eastAsia" w:ascii="仿宋" w:hAnsi="仿宋" w:eastAsia="仿宋" w:cs="仿宋"/>
                <w:b w:val="0"/>
                <w:bCs w:val="0"/>
                <w:color w:val="auto"/>
                <w:kern w:val="0"/>
                <w:sz w:val="21"/>
                <w:szCs w:val="21"/>
                <w:highlight w:val="none"/>
                <w:lang w:val="en-US" w:eastAsia="zh-CN"/>
              </w:rPr>
              <w:t xml:space="preserve"> （6）......</w:t>
            </w:r>
          </w:p>
        </w:tc>
      </w:tr>
      <w:tr w14:paraId="461F0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1" w:type="dxa"/>
            <w:vMerge w:val="restart"/>
            <w:noWrap w:val="0"/>
            <w:vAlign w:val="center"/>
          </w:tcPr>
          <w:p w14:paraId="0576483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11</w:t>
            </w:r>
          </w:p>
        </w:tc>
        <w:tc>
          <w:tcPr>
            <w:tcW w:w="2464" w:type="dxa"/>
            <w:vMerge w:val="restart"/>
            <w:noWrap w:val="0"/>
            <w:vAlign w:val="center"/>
          </w:tcPr>
          <w:p w14:paraId="047FE40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采暖系统</w:t>
            </w:r>
          </w:p>
        </w:tc>
        <w:tc>
          <w:tcPr>
            <w:tcW w:w="11111" w:type="dxa"/>
            <w:noWrap w:val="0"/>
            <w:vAlign w:val="center"/>
          </w:tcPr>
          <w:p w14:paraId="1FC076B8">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（1）定期检查供暖管道、阀门运行情况，确保正常无隐患。</w:t>
            </w:r>
          </w:p>
        </w:tc>
      </w:tr>
      <w:tr w14:paraId="537A9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1" w:type="dxa"/>
            <w:vMerge w:val="continue"/>
            <w:noWrap w:val="0"/>
            <w:vAlign w:val="center"/>
          </w:tcPr>
          <w:p w14:paraId="090854B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64" w:type="dxa"/>
            <w:vMerge w:val="continue"/>
            <w:noWrap w:val="0"/>
            <w:vAlign w:val="center"/>
          </w:tcPr>
          <w:p w14:paraId="39CF839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1"/>
                <w:szCs w:val="21"/>
                <w:highlight w:val="none"/>
              </w:rPr>
            </w:pPr>
          </w:p>
        </w:tc>
        <w:tc>
          <w:tcPr>
            <w:tcW w:w="11111" w:type="dxa"/>
            <w:noWrap w:val="0"/>
            <w:vAlign w:val="center"/>
          </w:tcPr>
          <w:p w14:paraId="12055FF7">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（2）负责暖气片、阀门龙头等新装布置及旧装拆除、日常维修更换及管线的跑、冒、滴、漏的维修。</w:t>
            </w:r>
          </w:p>
        </w:tc>
      </w:tr>
      <w:tr w14:paraId="02559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1" w:type="dxa"/>
            <w:vMerge w:val="continue"/>
            <w:noWrap w:val="0"/>
            <w:vAlign w:val="center"/>
          </w:tcPr>
          <w:p w14:paraId="3B932A5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64" w:type="dxa"/>
            <w:vMerge w:val="continue"/>
            <w:noWrap w:val="0"/>
            <w:vAlign w:val="center"/>
          </w:tcPr>
          <w:p w14:paraId="5596FE1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1"/>
                <w:szCs w:val="21"/>
                <w:highlight w:val="none"/>
                <w:lang w:val="en-US" w:eastAsia="zh-CN"/>
              </w:rPr>
            </w:pPr>
          </w:p>
        </w:tc>
        <w:tc>
          <w:tcPr>
            <w:tcW w:w="11111" w:type="dxa"/>
            <w:noWrap w:val="0"/>
            <w:vAlign w:val="center"/>
          </w:tcPr>
          <w:p w14:paraId="22DC8C2F">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（3）做好供暖前检查等相关准备工作。</w:t>
            </w:r>
          </w:p>
        </w:tc>
      </w:tr>
      <w:tr w14:paraId="77316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1" w:type="dxa"/>
            <w:vMerge w:val="continue"/>
            <w:noWrap w:val="0"/>
            <w:vAlign w:val="center"/>
          </w:tcPr>
          <w:p w14:paraId="74ADD9D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64" w:type="dxa"/>
            <w:vMerge w:val="continue"/>
            <w:noWrap w:val="0"/>
            <w:vAlign w:val="center"/>
          </w:tcPr>
          <w:p w14:paraId="5584A9B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1"/>
                <w:szCs w:val="21"/>
                <w:highlight w:val="none"/>
              </w:rPr>
            </w:pPr>
          </w:p>
        </w:tc>
        <w:tc>
          <w:tcPr>
            <w:tcW w:w="11111" w:type="dxa"/>
            <w:noWrap w:val="0"/>
            <w:vAlign w:val="center"/>
          </w:tcPr>
          <w:p w14:paraId="7002A3B5">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（4）暖气片上水前，提前通知采购人。</w:t>
            </w:r>
          </w:p>
        </w:tc>
      </w:tr>
      <w:tr w14:paraId="4C6C5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1" w:type="dxa"/>
            <w:vMerge w:val="continue"/>
            <w:noWrap w:val="0"/>
            <w:vAlign w:val="center"/>
          </w:tcPr>
          <w:p w14:paraId="319ECBE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64" w:type="dxa"/>
            <w:vMerge w:val="continue"/>
            <w:noWrap w:val="0"/>
            <w:vAlign w:val="center"/>
          </w:tcPr>
          <w:p w14:paraId="0283146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1"/>
                <w:szCs w:val="21"/>
                <w:highlight w:val="none"/>
              </w:rPr>
            </w:pPr>
          </w:p>
        </w:tc>
        <w:tc>
          <w:tcPr>
            <w:tcW w:w="11111" w:type="dxa"/>
            <w:noWrap w:val="0"/>
            <w:vAlign w:val="center"/>
          </w:tcPr>
          <w:p w14:paraId="65098B21">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（5）供暖期间做好日常检查、维护、抢修、登记上报等工作。</w:t>
            </w:r>
          </w:p>
        </w:tc>
      </w:tr>
      <w:tr w14:paraId="2E89E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1" w:type="dxa"/>
            <w:vMerge w:val="continue"/>
            <w:noWrap w:val="0"/>
            <w:vAlign w:val="center"/>
          </w:tcPr>
          <w:p w14:paraId="752ECA6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64" w:type="dxa"/>
            <w:vMerge w:val="continue"/>
            <w:noWrap w:val="0"/>
            <w:vAlign w:val="center"/>
          </w:tcPr>
          <w:p w14:paraId="1F11139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1"/>
                <w:szCs w:val="21"/>
                <w:highlight w:val="none"/>
              </w:rPr>
            </w:pPr>
          </w:p>
        </w:tc>
        <w:tc>
          <w:tcPr>
            <w:tcW w:w="11111" w:type="dxa"/>
            <w:noWrap w:val="0"/>
            <w:vAlign w:val="center"/>
          </w:tcPr>
          <w:p w14:paraId="30B5A455">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（6）根据天气情况适时调节供暖设备运行工况，节约能源。</w:t>
            </w:r>
          </w:p>
        </w:tc>
      </w:tr>
      <w:tr w14:paraId="324B0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1" w:type="dxa"/>
            <w:vMerge w:val="continue"/>
            <w:noWrap w:val="0"/>
            <w:vAlign w:val="center"/>
          </w:tcPr>
          <w:p w14:paraId="5664D47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64" w:type="dxa"/>
            <w:vMerge w:val="continue"/>
            <w:noWrap w:val="0"/>
            <w:vAlign w:val="center"/>
          </w:tcPr>
          <w:p w14:paraId="452C884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1"/>
                <w:szCs w:val="21"/>
                <w:highlight w:val="none"/>
              </w:rPr>
            </w:pPr>
          </w:p>
        </w:tc>
        <w:tc>
          <w:tcPr>
            <w:tcW w:w="11111" w:type="dxa"/>
            <w:noWrap w:val="0"/>
            <w:vAlign w:val="center"/>
          </w:tcPr>
          <w:p w14:paraId="1BC1AFED">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（7）......</w:t>
            </w:r>
          </w:p>
        </w:tc>
      </w:tr>
    </w:tbl>
    <w:p w14:paraId="1F0B7AE4">
      <w:pPr>
        <w:widowControl w:val="0"/>
        <w:bidi w:val="0"/>
        <w:snapToGrid w:val="0"/>
        <w:spacing w:line="30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注：电梯系统、锅炉设备等设施设备的安装改造维修应当由具备相应资质的供应商完成，如供应商自身不具备，可进行分包由具有相应资质的单位完成。</w:t>
      </w:r>
      <w:r>
        <w:rPr>
          <w:rFonts w:hint="eastAsia" w:ascii="仿宋" w:hAnsi="仿宋" w:eastAsia="仿宋" w:cs="仿宋"/>
          <w:sz w:val="28"/>
          <w:szCs w:val="28"/>
        </w:rPr>
        <w:t>服务标准涉及的国家标准有更新的，执行国家最新标准。</w:t>
      </w:r>
    </w:p>
    <w:p w14:paraId="4777C3F0">
      <w:pPr>
        <w:widowControl w:val="0"/>
        <w:bidi w:val="0"/>
        <w:snapToGrid w:val="0"/>
        <w:spacing w:line="300" w:lineRule="auto"/>
        <w:ind w:firstLine="562" w:firstLineChars="200"/>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3.4保洁服务</w:t>
      </w:r>
    </w:p>
    <w:tbl>
      <w:tblPr>
        <w:tblStyle w:val="4"/>
        <w:tblW w:w="500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3"/>
        <w:gridCol w:w="1433"/>
        <w:gridCol w:w="6381"/>
      </w:tblGrid>
      <w:tr w14:paraId="0E0E1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8" w:type="dxa"/>
            <w:noWrap w:val="0"/>
            <w:vAlign w:val="center"/>
          </w:tcPr>
          <w:p w14:paraId="6E947D11">
            <w:pPr>
              <w:pageBreakBefore w:val="0"/>
              <w:widowControl/>
              <w:kinsoku/>
              <w:wordWrap/>
              <w:overflowPunct/>
              <w:topLinePunct w:val="0"/>
              <w:bidi w:val="0"/>
              <w:snapToGrid w:val="0"/>
              <w:spacing w:line="300" w:lineRule="auto"/>
              <w:ind w:left="0" w:leftChars="0" w:firstLine="0" w:firstLineChars="0"/>
              <w:jc w:val="center"/>
              <w:rPr>
                <w:rFonts w:hint="eastAsia" w:ascii="仿宋" w:hAnsi="仿宋" w:eastAsia="仿宋" w:cs="仿宋"/>
                <w:b/>
                <w:bCs/>
                <w:color w:val="auto"/>
                <w:kern w:val="0"/>
                <w:sz w:val="21"/>
                <w:szCs w:val="21"/>
                <w:highlight w:val="none"/>
                <w:lang w:val="en-US" w:eastAsia="zh-CN"/>
              </w:rPr>
            </w:pPr>
            <w:r>
              <w:rPr>
                <w:rFonts w:hint="eastAsia" w:ascii="仿宋" w:hAnsi="仿宋" w:eastAsia="仿宋" w:cs="仿宋"/>
                <w:b/>
                <w:bCs/>
                <w:color w:val="auto"/>
                <w:kern w:val="0"/>
                <w:sz w:val="21"/>
                <w:szCs w:val="21"/>
                <w:highlight w:val="none"/>
                <w:lang w:val="en-US" w:eastAsia="zh-CN"/>
              </w:rPr>
              <w:t>序号</w:t>
            </w:r>
          </w:p>
        </w:tc>
        <w:tc>
          <w:tcPr>
            <w:tcW w:w="2487" w:type="dxa"/>
            <w:noWrap w:val="0"/>
            <w:vAlign w:val="center"/>
          </w:tcPr>
          <w:p w14:paraId="17BB7477">
            <w:pPr>
              <w:pageBreakBefore w:val="0"/>
              <w:widowControl/>
              <w:kinsoku/>
              <w:wordWrap/>
              <w:overflowPunct/>
              <w:topLinePunct w:val="0"/>
              <w:bidi w:val="0"/>
              <w:snapToGrid w:val="0"/>
              <w:spacing w:line="300" w:lineRule="auto"/>
              <w:ind w:left="0" w:leftChars="0" w:firstLine="0" w:firstLineChars="0"/>
              <w:jc w:val="center"/>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服务内容</w:t>
            </w:r>
          </w:p>
        </w:tc>
        <w:tc>
          <w:tcPr>
            <w:tcW w:w="11070" w:type="dxa"/>
            <w:noWrap w:val="0"/>
            <w:vAlign w:val="center"/>
          </w:tcPr>
          <w:p w14:paraId="2EDA3A31">
            <w:pPr>
              <w:pageBreakBefore w:val="0"/>
              <w:widowControl/>
              <w:kinsoku/>
              <w:wordWrap/>
              <w:overflowPunct/>
              <w:topLinePunct w:val="0"/>
              <w:bidi w:val="0"/>
              <w:snapToGrid w:val="0"/>
              <w:spacing w:line="300" w:lineRule="auto"/>
              <w:ind w:left="0" w:leftChars="0" w:firstLine="0" w:firstLineChars="0"/>
              <w:jc w:val="center"/>
              <w:rPr>
                <w:rFonts w:hint="eastAsia" w:ascii="仿宋" w:hAnsi="仿宋" w:eastAsia="仿宋" w:cs="仿宋"/>
                <w:b/>
                <w:bCs/>
                <w:color w:val="auto"/>
                <w:kern w:val="0"/>
                <w:sz w:val="21"/>
                <w:szCs w:val="21"/>
                <w:highlight w:val="none"/>
                <w:lang w:val="en-US" w:eastAsia="zh-CN"/>
              </w:rPr>
            </w:pPr>
            <w:r>
              <w:rPr>
                <w:rFonts w:hint="eastAsia" w:ascii="仿宋" w:hAnsi="仿宋" w:eastAsia="仿宋" w:cs="仿宋"/>
                <w:b/>
                <w:bCs/>
                <w:color w:val="auto"/>
                <w:kern w:val="0"/>
                <w:sz w:val="21"/>
                <w:szCs w:val="21"/>
                <w:highlight w:val="none"/>
                <w:lang w:val="en-US" w:eastAsia="zh-CN"/>
              </w:rPr>
              <w:t>服务标准</w:t>
            </w:r>
          </w:p>
        </w:tc>
      </w:tr>
      <w:tr w14:paraId="489D9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8" w:type="dxa"/>
            <w:vMerge w:val="restart"/>
            <w:noWrap w:val="0"/>
            <w:vAlign w:val="center"/>
          </w:tcPr>
          <w:p w14:paraId="2718F81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1</w:t>
            </w:r>
          </w:p>
        </w:tc>
        <w:tc>
          <w:tcPr>
            <w:tcW w:w="2487" w:type="dxa"/>
            <w:vMerge w:val="restart"/>
            <w:noWrap w:val="0"/>
            <w:vAlign w:val="center"/>
          </w:tcPr>
          <w:p w14:paraId="10F71A5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基本要求</w:t>
            </w:r>
          </w:p>
        </w:tc>
        <w:tc>
          <w:tcPr>
            <w:tcW w:w="11070" w:type="dxa"/>
            <w:noWrap w:val="0"/>
            <w:vAlign w:val="center"/>
          </w:tcPr>
          <w:p w14:paraId="7FF35076">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（1）建立保洁服务的工作制度及工作计划，并按照执行。</w:t>
            </w:r>
          </w:p>
        </w:tc>
      </w:tr>
      <w:tr w14:paraId="7B5F3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8" w:type="dxa"/>
            <w:vMerge w:val="continue"/>
            <w:noWrap w:val="0"/>
            <w:vAlign w:val="center"/>
          </w:tcPr>
          <w:p w14:paraId="07EB545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87" w:type="dxa"/>
            <w:vMerge w:val="continue"/>
            <w:noWrap w:val="0"/>
            <w:vAlign w:val="center"/>
          </w:tcPr>
          <w:p w14:paraId="13EBD2E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11070" w:type="dxa"/>
            <w:noWrap w:val="0"/>
            <w:vAlign w:val="center"/>
          </w:tcPr>
          <w:p w14:paraId="6EC7F307">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（2）做好保洁服务工作记录，记录填写规范、保存完好。</w:t>
            </w:r>
          </w:p>
        </w:tc>
      </w:tr>
      <w:tr w14:paraId="0A126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8" w:type="dxa"/>
            <w:vMerge w:val="continue"/>
            <w:noWrap w:val="0"/>
            <w:vAlign w:val="center"/>
          </w:tcPr>
          <w:p w14:paraId="76F5946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87" w:type="dxa"/>
            <w:vMerge w:val="continue"/>
            <w:noWrap w:val="0"/>
            <w:vAlign w:val="center"/>
          </w:tcPr>
          <w:p w14:paraId="414CA9A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11070" w:type="dxa"/>
            <w:noWrap w:val="0"/>
            <w:vAlign w:val="center"/>
          </w:tcPr>
          <w:p w14:paraId="7EFD1E48">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（3）作业时采取安全防护措施，防止对作业人员或他人造成伤害。相关耗材的环保、安全性等应当符合国家相关规定要求。</w:t>
            </w:r>
          </w:p>
        </w:tc>
      </w:tr>
      <w:tr w14:paraId="5D2C4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8" w:type="dxa"/>
            <w:vMerge w:val="continue"/>
            <w:noWrap w:val="0"/>
            <w:vAlign w:val="center"/>
          </w:tcPr>
          <w:p w14:paraId="2BDDA52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87" w:type="dxa"/>
            <w:vMerge w:val="continue"/>
            <w:noWrap w:val="0"/>
            <w:vAlign w:val="center"/>
          </w:tcPr>
          <w:p w14:paraId="5D8C5BB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1070" w:type="dxa"/>
            <w:noWrap w:val="0"/>
            <w:vAlign w:val="center"/>
          </w:tcPr>
          <w:p w14:paraId="62A7AA9E">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（4）进入保密区域时，有采购人相关人员全程在场。</w:t>
            </w:r>
          </w:p>
        </w:tc>
      </w:tr>
      <w:tr w14:paraId="6057F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8" w:type="dxa"/>
            <w:vMerge w:val="continue"/>
            <w:noWrap w:val="0"/>
            <w:vAlign w:val="center"/>
          </w:tcPr>
          <w:p w14:paraId="2930E3C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87" w:type="dxa"/>
            <w:vMerge w:val="continue"/>
            <w:noWrap w:val="0"/>
            <w:vAlign w:val="center"/>
          </w:tcPr>
          <w:p w14:paraId="39F94F0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1070" w:type="dxa"/>
            <w:noWrap w:val="0"/>
            <w:vAlign w:val="center"/>
          </w:tcPr>
          <w:p w14:paraId="63972F85">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（5）......</w:t>
            </w:r>
          </w:p>
        </w:tc>
      </w:tr>
      <w:tr w14:paraId="7942E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7" w:hRule="atLeast"/>
        </w:trPr>
        <w:tc>
          <w:tcPr>
            <w:tcW w:w="1238" w:type="dxa"/>
            <w:vMerge w:val="restart"/>
            <w:noWrap w:val="0"/>
            <w:vAlign w:val="center"/>
          </w:tcPr>
          <w:p w14:paraId="3394719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2487" w:type="dxa"/>
            <w:vMerge w:val="restart"/>
            <w:noWrap w:val="0"/>
            <w:vAlign w:val="center"/>
          </w:tcPr>
          <w:p w14:paraId="4AB722A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办公用房区域保洁</w:t>
            </w:r>
          </w:p>
        </w:tc>
        <w:tc>
          <w:tcPr>
            <w:tcW w:w="11070" w:type="dxa"/>
            <w:noWrap w:val="0"/>
            <w:vAlign w:val="center"/>
          </w:tcPr>
          <w:p w14:paraId="1186473A">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（1）大厅、楼内公共通道：</w:t>
            </w:r>
          </w:p>
          <w:p w14:paraId="775C4630">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t xml:space="preserve"> ①公共通道保持干净，无异味、无杂物、无积水，每日至少开展1次清洁作业。</w:t>
            </w:r>
          </w:p>
          <w:p w14:paraId="1062B564">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t xml:space="preserve"> ②门窗玻璃干净无尘，透光性好，每周至少开展1次清洁作业。</w:t>
            </w:r>
          </w:p>
          <w:p w14:paraId="39DD7732">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color w:val="auto"/>
                <w:sz w:val="21"/>
                <w:szCs w:val="21"/>
                <w:highlight w:val="none"/>
                <w:u w:val="none"/>
                <w:lang w:val="en-US" w:eastAsia="zh-CN"/>
              </w:rPr>
            </w:pPr>
            <w:r>
              <w:rPr>
                <w:rFonts w:hint="eastAsia" w:ascii="仿宋" w:hAnsi="仿宋" w:eastAsia="仿宋" w:cs="仿宋"/>
                <w:b w:val="0"/>
                <w:bCs w:val="0"/>
                <w:color w:val="auto"/>
                <w:kern w:val="0"/>
                <w:sz w:val="21"/>
                <w:szCs w:val="21"/>
                <w:highlight w:val="none"/>
                <w:lang w:val="en-US" w:eastAsia="zh-CN"/>
              </w:rPr>
              <w:t xml:space="preserve"> ③指示牌干净，无污渍，每日至少开展1次清洁作业。</w:t>
            </w:r>
          </w:p>
        </w:tc>
      </w:tr>
      <w:tr w14:paraId="3FD6E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5" w:hRule="atLeast"/>
        </w:trPr>
        <w:tc>
          <w:tcPr>
            <w:tcW w:w="1238" w:type="dxa"/>
            <w:vMerge w:val="continue"/>
            <w:noWrap w:val="0"/>
            <w:vAlign w:val="center"/>
          </w:tcPr>
          <w:p w14:paraId="3709ABB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87" w:type="dxa"/>
            <w:vMerge w:val="continue"/>
            <w:noWrap w:val="0"/>
            <w:vAlign w:val="center"/>
          </w:tcPr>
          <w:p w14:paraId="56E6839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1070" w:type="dxa"/>
            <w:noWrap w:val="0"/>
            <w:vAlign w:val="center"/>
          </w:tcPr>
          <w:p w14:paraId="30620197">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（2）电器、消防等设施设备：</w:t>
            </w:r>
          </w:p>
          <w:p w14:paraId="5106E926">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t xml:space="preserve"> ①配电箱、设备机房、会议室音视频设备、消防栓及开关插座等保持表面干净，无尘无污迹，每月至少开展1次清洁作业。</w:t>
            </w:r>
          </w:p>
          <w:p w14:paraId="1EF18F5A">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color w:val="auto"/>
                <w:sz w:val="21"/>
                <w:szCs w:val="21"/>
                <w:highlight w:val="none"/>
                <w:u w:val="none"/>
                <w:lang w:val="en-US" w:eastAsia="zh-CN"/>
              </w:rPr>
            </w:pPr>
            <w:r>
              <w:rPr>
                <w:rFonts w:hint="eastAsia" w:ascii="仿宋" w:hAnsi="仿宋" w:eastAsia="仿宋" w:cs="仿宋"/>
                <w:b w:val="0"/>
                <w:bCs w:val="0"/>
                <w:color w:val="auto"/>
                <w:kern w:val="0"/>
                <w:sz w:val="21"/>
                <w:szCs w:val="21"/>
                <w:highlight w:val="none"/>
                <w:lang w:val="en-US" w:eastAsia="zh-CN"/>
              </w:rPr>
              <w:t xml:space="preserve"> ②监控摄像头、门禁系统等表面光亮，无尘、无斑点，每月至少开展1次清洁作业。</w:t>
            </w:r>
          </w:p>
        </w:tc>
      </w:tr>
      <w:tr w14:paraId="19611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8" w:type="dxa"/>
            <w:vMerge w:val="continue"/>
            <w:noWrap w:val="0"/>
            <w:vAlign w:val="center"/>
          </w:tcPr>
          <w:p w14:paraId="610C29D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87" w:type="dxa"/>
            <w:vMerge w:val="continue"/>
            <w:noWrap w:val="0"/>
            <w:vAlign w:val="center"/>
          </w:tcPr>
          <w:p w14:paraId="30435A7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1070" w:type="dxa"/>
            <w:noWrap w:val="0"/>
            <w:vAlign w:val="center"/>
          </w:tcPr>
          <w:p w14:paraId="53EC12B6">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color w:val="auto"/>
                <w:sz w:val="21"/>
                <w:szCs w:val="21"/>
                <w:highlight w:val="none"/>
                <w:u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（3）楼梯及楼梯间保持干净、无异味、无杂物、无积水，每日至少开展1次清洁作业。</w:t>
            </w:r>
          </w:p>
        </w:tc>
      </w:tr>
      <w:tr w14:paraId="478B6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8" w:type="dxa"/>
            <w:vMerge w:val="continue"/>
            <w:noWrap w:val="0"/>
            <w:vAlign w:val="center"/>
          </w:tcPr>
          <w:p w14:paraId="7411C3B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87" w:type="dxa"/>
            <w:vMerge w:val="continue"/>
            <w:noWrap w:val="0"/>
            <w:vAlign w:val="center"/>
          </w:tcPr>
          <w:p w14:paraId="454763B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1070" w:type="dxa"/>
            <w:noWrap w:val="0"/>
            <w:vAlign w:val="center"/>
          </w:tcPr>
          <w:p w14:paraId="70B25B02">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color w:val="auto"/>
                <w:sz w:val="21"/>
                <w:szCs w:val="21"/>
                <w:highlight w:val="none"/>
                <w:u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（4）开水间保持干净、无异味、无杂物、无积水，每日至少开展1次清洁作业。</w:t>
            </w:r>
          </w:p>
        </w:tc>
      </w:tr>
      <w:tr w14:paraId="5F941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8" w:type="dxa"/>
            <w:vMerge w:val="continue"/>
            <w:noWrap w:val="0"/>
            <w:vAlign w:val="center"/>
          </w:tcPr>
          <w:p w14:paraId="72060DC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87" w:type="dxa"/>
            <w:vMerge w:val="continue"/>
            <w:noWrap w:val="0"/>
            <w:vAlign w:val="center"/>
          </w:tcPr>
          <w:p w14:paraId="095FC88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1070" w:type="dxa"/>
            <w:noWrap w:val="0"/>
            <w:vAlign w:val="center"/>
          </w:tcPr>
          <w:p w14:paraId="5D0149E8">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（5）作业工具间：</w:t>
            </w:r>
          </w:p>
          <w:p w14:paraId="74BD830F">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t xml:space="preserve"> ①保持干净，无异味、无杂物、无积水，每日至少开展1次清洁作业。</w:t>
            </w:r>
          </w:p>
          <w:p w14:paraId="43C68584">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color w:val="auto"/>
                <w:sz w:val="21"/>
                <w:szCs w:val="21"/>
                <w:highlight w:val="none"/>
                <w:u w:val="none"/>
                <w:lang w:val="en-US" w:eastAsia="zh-CN"/>
              </w:rPr>
            </w:pPr>
            <w:r>
              <w:rPr>
                <w:rFonts w:hint="eastAsia" w:ascii="仿宋" w:hAnsi="仿宋" w:eastAsia="仿宋" w:cs="仿宋"/>
                <w:b w:val="0"/>
                <w:bCs w:val="0"/>
                <w:color w:val="auto"/>
                <w:kern w:val="0"/>
                <w:sz w:val="21"/>
                <w:szCs w:val="21"/>
                <w:highlight w:val="none"/>
                <w:lang w:val="en-US" w:eastAsia="zh-CN"/>
              </w:rPr>
              <w:t xml:space="preserve"> ②作业工具摆放整齐有序，表面干净无渍，每日消毒。</w:t>
            </w:r>
          </w:p>
        </w:tc>
      </w:tr>
      <w:tr w14:paraId="77722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5" w:hRule="atLeast"/>
        </w:trPr>
        <w:tc>
          <w:tcPr>
            <w:tcW w:w="1238" w:type="dxa"/>
            <w:vMerge w:val="continue"/>
            <w:noWrap w:val="0"/>
            <w:vAlign w:val="center"/>
          </w:tcPr>
          <w:p w14:paraId="5632491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87" w:type="dxa"/>
            <w:vMerge w:val="continue"/>
            <w:noWrap w:val="0"/>
            <w:vAlign w:val="center"/>
          </w:tcPr>
          <w:p w14:paraId="58A7C0D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1070" w:type="dxa"/>
            <w:noWrap w:val="0"/>
            <w:vAlign w:val="center"/>
          </w:tcPr>
          <w:p w14:paraId="5F1389CB">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（6）公共卫生间：</w:t>
            </w:r>
          </w:p>
          <w:p w14:paraId="1CA702F7">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t xml:space="preserve"> ①保持干净，无异味，垃圾无溢出，每日至少开展1次清洁作业。</w:t>
            </w:r>
          </w:p>
          <w:p w14:paraId="5BDF6AAF">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color w:val="auto"/>
                <w:sz w:val="21"/>
                <w:szCs w:val="21"/>
                <w:highlight w:val="none"/>
                <w:u w:val="none"/>
                <w:lang w:val="en-US" w:eastAsia="zh-CN"/>
              </w:rPr>
            </w:pPr>
            <w:r>
              <w:rPr>
                <w:rFonts w:hint="eastAsia" w:ascii="仿宋" w:hAnsi="仿宋" w:eastAsia="仿宋" w:cs="仿宋"/>
                <w:b w:val="0"/>
                <w:bCs w:val="0"/>
                <w:color w:val="auto"/>
                <w:kern w:val="0"/>
                <w:sz w:val="21"/>
                <w:szCs w:val="21"/>
                <w:highlight w:val="none"/>
                <w:lang w:val="en-US" w:eastAsia="zh-CN"/>
              </w:rPr>
              <w:t xml:space="preserve"> ②及时补充厕纸等必要用品。</w:t>
            </w:r>
          </w:p>
        </w:tc>
      </w:tr>
      <w:tr w14:paraId="6E909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7" w:hRule="atLeast"/>
        </w:trPr>
        <w:tc>
          <w:tcPr>
            <w:tcW w:w="1238" w:type="dxa"/>
            <w:vMerge w:val="continue"/>
            <w:noWrap w:val="0"/>
            <w:vAlign w:val="center"/>
          </w:tcPr>
          <w:p w14:paraId="0A2CB90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87" w:type="dxa"/>
            <w:vMerge w:val="continue"/>
            <w:noWrap w:val="0"/>
            <w:vAlign w:val="center"/>
          </w:tcPr>
          <w:p w14:paraId="34BF07C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1070" w:type="dxa"/>
            <w:noWrap w:val="0"/>
            <w:vAlign w:val="center"/>
          </w:tcPr>
          <w:p w14:paraId="57A72862">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（7）电梯轿厢：</w:t>
            </w:r>
          </w:p>
          <w:p w14:paraId="400B141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315" w:firstLine="0" w:firstLineChars="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t>①保持干净，无污渍、无粘贴物、无异味，每日至少开展1次清洁作业。</w:t>
            </w:r>
          </w:p>
          <w:p w14:paraId="5DC9554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315" w:firstLine="0" w:firstLineChars="0"/>
              <w:jc w:val="left"/>
              <w:textAlignment w:val="auto"/>
              <w:rPr>
                <w:rFonts w:hint="eastAsia" w:ascii="仿宋" w:hAnsi="仿宋" w:eastAsia="仿宋" w:cs="仿宋"/>
                <w:color w:val="auto"/>
                <w:sz w:val="21"/>
                <w:szCs w:val="21"/>
                <w:highlight w:val="none"/>
                <w:u w:val="none"/>
                <w:lang w:val="en-US" w:eastAsia="zh-CN"/>
              </w:rPr>
            </w:pPr>
            <w:r>
              <w:rPr>
                <w:rFonts w:hint="eastAsia" w:ascii="仿宋" w:hAnsi="仿宋" w:eastAsia="仿宋" w:cs="仿宋"/>
                <w:b w:val="0"/>
                <w:bCs w:val="0"/>
                <w:color w:val="auto"/>
                <w:kern w:val="0"/>
                <w:sz w:val="21"/>
                <w:szCs w:val="21"/>
                <w:highlight w:val="none"/>
                <w:lang w:val="en-US" w:eastAsia="zh-CN"/>
              </w:rPr>
              <w:t>②灯具、操作指示板明亮。</w:t>
            </w:r>
          </w:p>
        </w:tc>
      </w:tr>
      <w:tr w14:paraId="52533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8" w:type="dxa"/>
            <w:vMerge w:val="continue"/>
            <w:noWrap w:val="0"/>
            <w:vAlign w:val="center"/>
          </w:tcPr>
          <w:p w14:paraId="5FB0043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87" w:type="dxa"/>
            <w:vMerge w:val="continue"/>
            <w:noWrap w:val="0"/>
            <w:vAlign w:val="center"/>
          </w:tcPr>
          <w:p w14:paraId="1118F86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1070" w:type="dxa"/>
            <w:noWrap w:val="0"/>
            <w:vAlign w:val="center"/>
          </w:tcPr>
          <w:p w14:paraId="456B49F9">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color w:val="auto"/>
                <w:sz w:val="21"/>
                <w:szCs w:val="21"/>
                <w:highlight w:val="none"/>
                <w:u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（8）平台、屋顶、天沟保持干净，有杂物及时清扫，每月至少开展1次清洁作业。</w:t>
            </w:r>
          </w:p>
        </w:tc>
      </w:tr>
      <w:tr w14:paraId="74B7B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8" w:type="dxa"/>
            <w:vMerge w:val="continue"/>
            <w:noWrap w:val="0"/>
            <w:vAlign w:val="center"/>
          </w:tcPr>
          <w:p w14:paraId="26CA429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87" w:type="dxa"/>
            <w:vMerge w:val="continue"/>
            <w:noWrap w:val="0"/>
            <w:vAlign w:val="center"/>
          </w:tcPr>
          <w:p w14:paraId="7F09965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1070" w:type="dxa"/>
            <w:noWrap w:val="0"/>
            <w:vAlign w:val="center"/>
          </w:tcPr>
          <w:p w14:paraId="4CF8AAC1">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color w:val="auto"/>
                <w:sz w:val="21"/>
                <w:szCs w:val="21"/>
                <w:highlight w:val="none"/>
                <w:u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（9）</w:t>
            </w:r>
            <w:r>
              <w:rPr>
                <w:rFonts w:hint="eastAsia" w:ascii="仿宋" w:hAnsi="仿宋" w:eastAsia="仿宋" w:cs="仿宋"/>
                <w:color w:val="auto"/>
                <w:sz w:val="21"/>
                <w:szCs w:val="21"/>
                <w:highlight w:val="none"/>
                <w:u w:val="none"/>
                <w:lang w:val="en-US" w:eastAsia="zh-CN"/>
              </w:rPr>
              <w:t>石材地面、内墙做好养护工作</w:t>
            </w:r>
            <w:r>
              <w:rPr>
                <w:rFonts w:hint="eastAsia" w:ascii="仿宋" w:hAnsi="仿宋" w:eastAsia="仿宋" w:cs="仿宋"/>
                <w:b w:val="0"/>
                <w:bCs w:val="0"/>
                <w:color w:val="auto"/>
                <w:kern w:val="0"/>
                <w:sz w:val="21"/>
                <w:szCs w:val="21"/>
                <w:highlight w:val="none"/>
                <w:lang w:val="en-US" w:eastAsia="zh-CN"/>
              </w:rPr>
              <w:t>，每季度开展1次清洁作业。（各类材质地面、内墙服务管理标准详见3.4.1）</w:t>
            </w:r>
          </w:p>
        </w:tc>
      </w:tr>
      <w:tr w14:paraId="1700A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1238" w:type="dxa"/>
            <w:vMerge w:val="continue"/>
            <w:noWrap w:val="0"/>
            <w:vAlign w:val="center"/>
          </w:tcPr>
          <w:p w14:paraId="720DF2F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87" w:type="dxa"/>
            <w:vMerge w:val="continue"/>
            <w:noWrap w:val="0"/>
            <w:vAlign w:val="center"/>
          </w:tcPr>
          <w:p w14:paraId="725224B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1070" w:type="dxa"/>
            <w:noWrap w:val="0"/>
            <w:vAlign w:val="center"/>
          </w:tcPr>
          <w:p w14:paraId="053F506F">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color w:val="auto"/>
                <w:sz w:val="21"/>
                <w:szCs w:val="21"/>
                <w:highlight w:val="none"/>
                <w:u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（10）</w:t>
            </w:r>
            <w:r>
              <w:rPr>
                <w:rFonts w:hint="eastAsia" w:ascii="仿宋" w:hAnsi="仿宋" w:eastAsia="仿宋" w:cs="仿宋"/>
                <w:color w:val="auto"/>
                <w:sz w:val="21"/>
                <w:szCs w:val="21"/>
                <w:highlight w:val="none"/>
                <w:u w:val="none"/>
                <w:lang w:val="en-US" w:eastAsia="zh-CN"/>
              </w:rPr>
              <w:t>地毯干净、无油渍、无污渍、无褪色</w:t>
            </w:r>
            <w:r>
              <w:rPr>
                <w:rFonts w:hint="eastAsia" w:ascii="仿宋" w:hAnsi="仿宋" w:eastAsia="仿宋" w:cs="仿宋"/>
                <w:b w:val="0"/>
                <w:bCs w:val="0"/>
                <w:color w:val="auto"/>
                <w:kern w:val="0"/>
                <w:sz w:val="21"/>
                <w:szCs w:val="21"/>
                <w:highlight w:val="none"/>
                <w:lang w:val="en-US" w:eastAsia="zh-CN"/>
              </w:rPr>
              <w:t>，每月至少开展1次清洁作业。</w:t>
            </w:r>
          </w:p>
        </w:tc>
      </w:tr>
      <w:tr w14:paraId="1C80C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1238" w:type="dxa"/>
            <w:vMerge w:val="continue"/>
            <w:noWrap w:val="0"/>
            <w:vAlign w:val="center"/>
          </w:tcPr>
          <w:p w14:paraId="55425D4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87" w:type="dxa"/>
            <w:vMerge w:val="continue"/>
            <w:noWrap w:val="0"/>
            <w:vAlign w:val="center"/>
          </w:tcPr>
          <w:p w14:paraId="0CCD2AE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1070" w:type="dxa"/>
            <w:noWrap w:val="0"/>
            <w:vAlign w:val="center"/>
          </w:tcPr>
          <w:p w14:paraId="06A98738">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（11）......</w:t>
            </w:r>
          </w:p>
        </w:tc>
      </w:tr>
      <w:tr w14:paraId="13D11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8" w:type="dxa"/>
            <w:vMerge w:val="restart"/>
            <w:noWrap w:val="0"/>
            <w:vAlign w:val="center"/>
          </w:tcPr>
          <w:p w14:paraId="349A4C0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w:t>
            </w:r>
          </w:p>
        </w:tc>
        <w:tc>
          <w:tcPr>
            <w:tcW w:w="2487" w:type="dxa"/>
            <w:vMerge w:val="restart"/>
            <w:noWrap w:val="0"/>
            <w:vAlign w:val="center"/>
          </w:tcPr>
          <w:p w14:paraId="6C0C536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公共场地区域保洁</w:t>
            </w:r>
          </w:p>
        </w:tc>
        <w:tc>
          <w:tcPr>
            <w:tcW w:w="11070" w:type="dxa"/>
            <w:noWrap w:val="0"/>
            <w:vAlign w:val="center"/>
          </w:tcPr>
          <w:p w14:paraId="10E92A5D">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sz w:val="21"/>
                <w:szCs w:val="21"/>
                <w:highlight w:val="none"/>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（1）每日清扫道路地面、停车场等公共区域2次，保持干净、无杂物、无积水。</w:t>
            </w:r>
          </w:p>
        </w:tc>
      </w:tr>
      <w:tr w14:paraId="1ED01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8" w:type="dxa"/>
            <w:vMerge w:val="continue"/>
            <w:noWrap w:val="0"/>
            <w:vAlign w:val="center"/>
          </w:tcPr>
          <w:p w14:paraId="5C684FF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2487" w:type="dxa"/>
            <w:vMerge w:val="continue"/>
            <w:noWrap w:val="0"/>
            <w:vAlign w:val="center"/>
          </w:tcPr>
          <w:p w14:paraId="0F34E00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1070" w:type="dxa"/>
            <w:noWrap w:val="0"/>
            <w:vAlign w:val="center"/>
          </w:tcPr>
          <w:p w14:paraId="557AE3BB">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sz w:val="21"/>
                <w:szCs w:val="21"/>
                <w:highlight w:val="none"/>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（2）雪、冰冻等恶劣天气时及时清扫积水、积雪，并采取安全防护措施。</w:t>
            </w:r>
          </w:p>
        </w:tc>
      </w:tr>
      <w:tr w14:paraId="1490D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8" w:type="dxa"/>
            <w:vMerge w:val="continue"/>
            <w:noWrap w:val="0"/>
            <w:vAlign w:val="center"/>
          </w:tcPr>
          <w:p w14:paraId="37A691F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2487" w:type="dxa"/>
            <w:vMerge w:val="continue"/>
            <w:noWrap w:val="0"/>
            <w:vAlign w:val="center"/>
          </w:tcPr>
          <w:p w14:paraId="2D51173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1070" w:type="dxa"/>
            <w:noWrap w:val="0"/>
            <w:vAlign w:val="center"/>
          </w:tcPr>
          <w:p w14:paraId="7E4782A4">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sz w:val="21"/>
                <w:szCs w:val="21"/>
                <w:highlight w:val="none"/>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（3）各种路标、宣传栏等保持干净，每月至少开展1次清洁作业。</w:t>
            </w:r>
          </w:p>
        </w:tc>
      </w:tr>
      <w:tr w14:paraId="2F5CB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8" w:type="dxa"/>
            <w:vMerge w:val="continue"/>
            <w:noWrap w:val="0"/>
            <w:vAlign w:val="center"/>
          </w:tcPr>
          <w:p w14:paraId="379D201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2487" w:type="dxa"/>
            <w:vMerge w:val="continue"/>
            <w:noWrap w:val="0"/>
            <w:vAlign w:val="center"/>
          </w:tcPr>
          <w:p w14:paraId="48E1A45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1070" w:type="dxa"/>
            <w:noWrap w:val="0"/>
            <w:vAlign w:val="center"/>
          </w:tcPr>
          <w:p w14:paraId="759023CB">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sz w:val="21"/>
                <w:szCs w:val="21"/>
                <w:highlight w:val="none"/>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（4）清洁室外照明设备，每月至少开展1次清洁作业。</w:t>
            </w:r>
          </w:p>
        </w:tc>
      </w:tr>
      <w:tr w14:paraId="7B831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8" w:type="dxa"/>
            <w:vMerge w:val="continue"/>
            <w:noWrap w:val="0"/>
            <w:vAlign w:val="center"/>
          </w:tcPr>
          <w:p w14:paraId="660F887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2487" w:type="dxa"/>
            <w:vMerge w:val="continue"/>
            <w:noWrap w:val="0"/>
            <w:vAlign w:val="center"/>
          </w:tcPr>
          <w:p w14:paraId="46019F9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1070" w:type="dxa"/>
            <w:noWrap w:val="0"/>
            <w:vAlign w:val="center"/>
          </w:tcPr>
          <w:p w14:paraId="4129F34D">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sz w:val="21"/>
                <w:szCs w:val="21"/>
                <w:highlight w:val="none"/>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（5）绿地内无杂物、无改变用途和破坏、践踏、占用现象，每天至少开展1次巡查。</w:t>
            </w:r>
          </w:p>
        </w:tc>
      </w:tr>
      <w:tr w14:paraId="7BF71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1238" w:type="dxa"/>
            <w:vMerge w:val="continue"/>
            <w:noWrap w:val="0"/>
            <w:vAlign w:val="center"/>
          </w:tcPr>
          <w:p w14:paraId="660B42F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2487" w:type="dxa"/>
            <w:vMerge w:val="continue"/>
            <w:noWrap w:val="0"/>
            <w:vAlign w:val="center"/>
          </w:tcPr>
          <w:p w14:paraId="7C6A96C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1070" w:type="dxa"/>
            <w:noWrap w:val="0"/>
            <w:vAlign w:val="center"/>
          </w:tcPr>
          <w:p w14:paraId="297EB914">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（6）</w:t>
            </w:r>
            <w:r>
              <w:rPr>
                <w:rFonts w:hint="eastAsia" w:ascii="仿宋" w:hAnsi="仿宋" w:eastAsia="仿宋" w:cs="仿宋"/>
                <w:sz w:val="21"/>
                <w:szCs w:val="21"/>
                <w:highlight w:val="none"/>
              </w:rPr>
              <w:t>办公区外立面</w:t>
            </w:r>
            <w:r>
              <w:rPr>
                <w:rFonts w:hint="eastAsia" w:ascii="仿宋" w:hAnsi="仿宋" w:eastAsia="仿宋" w:cs="仿宋"/>
                <w:color w:val="auto"/>
                <w:sz w:val="21"/>
                <w:szCs w:val="21"/>
                <w:highlight w:val="none"/>
                <w:u w:val="none"/>
                <w:lang w:val="en-US" w:eastAsia="zh-CN"/>
              </w:rPr>
              <w:t>定期</w:t>
            </w:r>
            <w:r>
              <w:rPr>
                <w:rFonts w:hint="eastAsia" w:ascii="仿宋" w:hAnsi="仿宋" w:eastAsia="仿宋" w:cs="仿宋"/>
                <w:sz w:val="21"/>
                <w:szCs w:val="21"/>
                <w:highlight w:val="none"/>
              </w:rPr>
              <w:t>清洗、</w:t>
            </w:r>
            <w:r>
              <w:rPr>
                <w:rFonts w:hint="eastAsia" w:ascii="仿宋" w:hAnsi="仿宋" w:eastAsia="仿宋" w:cs="仿宋"/>
                <w:sz w:val="21"/>
                <w:szCs w:val="21"/>
                <w:highlight w:val="none"/>
                <w:lang w:val="en-US" w:eastAsia="zh-CN"/>
              </w:rPr>
              <w:t>2米以上</w:t>
            </w:r>
            <w:r>
              <w:rPr>
                <w:rFonts w:hint="eastAsia" w:ascii="仿宋" w:hAnsi="仿宋" w:eastAsia="仿宋" w:cs="仿宋"/>
                <w:sz w:val="21"/>
                <w:szCs w:val="21"/>
                <w:highlight w:val="none"/>
              </w:rPr>
              <w:t>外窗玻璃擦拭</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lang w:val="en-US" w:eastAsia="zh-CN"/>
              </w:rPr>
              <w:t>每年</w:t>
            </w:r>
            <w:r>
              <w:rPr>
                <w:rFonts w:hint="eastAsia" w:ascii="仿宋" w:hAnsi="仿宋" w:eastAsia="仿宋" w:cs="仿宋"/>
                <w:b w:val="0"/>
                <w:bCs w:val="0"/>
                <w:color w:val="auto"/>
                <w:kern w:val="0"/>
                <w:sz w:val="21"/>
                <w:szCs w:val="21"/>
                <w:highlight w:val="none"/>
                <w:lang w:val="en-US" w:eastAsia="zh-CN"/>
              </w:rPr>
              <w:t>至少开展</w:t>
            </w:r>
            <w:r>
              <w:rPr>
                <w:rFonts w:hint="eastAsia" w:ascii="仿宋" w:hAnsi="仿宋" w:eastAsia="仿宋" w:cs="仿宋"/>
                <w:sz w:val="21"/>
                <w:szCs w:val="21"/>
                <w:highlight w:val="none"/>
                <w:lang w:val="en-US" w:eastAsia="zh-CN"/>
              </w:rPr>
              <w:t>1次清洗。</w:t>
            </w:r>
            <w:r>
              <w:rPr>
                <w:rFonts w:hint="eastAsia" w:ascii="仿宋" w:hAnsi="仿宋" w:eastAsia="仿宋" w:cs="仿宋"/>
                <w:b w:val="0"/>
                <w:bCs w:val="0"/>
                <w:color w:val="auto"/>
                <w:kern w:val="0"/>
                <w:sz w:val="21"/>
                <w:szCs w:val="21"/>
                <w:highlight w:val="none"/>
                <w:lang w:val="en-US" w:eastAsia="zh-CN"/>
              </w:rPr>
              <w:t>（各类材质外立面服务标准详见3.4.1）</w:t>
            </w:r>
          </w:p>
        </w:tc>
      </w:tr>
      <w:tr w14:paraId="1DEE0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1238" w:type="dxa"/>
            <w:vMerge w:val="continue"/>
            <w:noWrap w:val="0"/>
            <w:vAlign w:val="center"/>
          </w:tcPr>
          <w:p w14:paraId="70A0171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2487" w:type="dxa"/>
            <w:vMerge w:val="continue"/>
            <w:noWrap w:val="0"/>
            <w:vAlign w:val="center"/>
          </w:tcPr>
          <w:p w14:paraId="54F5797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1070" w:type="dxa"/>
            <w:noWrap w:val="0"/>
            <w:vAlign w:val="center"/>
          </w:tcPr>
          <w:p w14:paraId="02924148">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（7）......</w:t>
            </w:r>
          </w:p>
        </w:tc>
      </w:tr>
      <w:tr w14:paraId="40A3D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8" w:type="dxa"/>
            <w:vMerge w:val="restart"/>
            <w:noWrap w:val="0"/>
            <w:vAlign w:val="center"/>
          </w:tcPr>
          <w:p w14:paraId="22B02AB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4</w:t>
            </w:r>
          </w:p>
        </w:tc>
        <w:tc>
          <w:tcPr>
            <w:tcW w:w="2487" w:type="dxa"/>
            <w:vMerge w:val="restart"/>
            <w:noWrap w:val="0"/>
            <w:vAlign w:val="center"/>
          </w:tcPr>
          <w:p w14:paraId="5DB4281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垃圾处理</w:t>
            </w:r>
          </w:p>
        </w:tc>
        <w:tc>
          <w:tcPr>
            <w:tcW w:w="11070" w:type="dxa"/>
            <w:noWrap w:val="0"/>
            <w:vAlign w:val="center"/>
          </w:tcPr>
          <w:p w14:paraId="74777ABA">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color w:val="auto"/>
                <w:sz w:val="21"/>
                <w:szCs w:val="21"/>
                <w:highlight w:val="none"/>
                <w:u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（1）在指定位置摆放分类垃圾桶，并在显著处张贴垃圾分类标识。分类垃圾桶和垃圾分类标识根据所在城市的要求设置。</w:t>
            </w:r>
          </w:p>
        </w:tc>
      </w:tr>
      <w:tr w14:paraId="7182B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8" w:type="dxa"/>
            <w:vMerge w:val="continue"/>
            <w:noWrap w:val="0"/>
            <w:vAlign w:val="center"/>
          </w:tcPr>
          <w:p w14:paraId="65382E9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87" w:type="dxa"/>
            <w:vMerge w:val="continue"/>
            <w:noWrap w:val="0"/>
            <w:vAlign w:val="center"/>
          </w:tcPr>
          <w:p w14:paraId="5E02DF6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1070" w:type="dxa"/>
            <w:noWrap w:val="0"/>
            <w:vAlign w:val="center"/>
          </w:tcPr>
          <w:p w14:paraId="403CF48A">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color w:val="auto"/>
                <w:sz w:val="21"/>
                <w:szCs w:val="21"/>
                <w:highlight w:val="none"/>
                <w:u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（2）桶身表面干净无污渍，每日开展至少1次清洁作业。</w:t>
            </w:r>
          </w:p>
        </w:tc>
      </w:tr>
      <w:tr w14:paraId="6F631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8" w:type="dxa"/>
            <w:vMerge w:val="continue"/>
            <w:noWrap w:val="0"/>
            <w:vAlign w:val="center"/>
          </w:tcPr>
          <w:p w14:paraId="4A5C710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87" w:type="dxa"/>
            <w:vMerge w:val="continue"/>
            <w:noWrap w:val="0"/>
            <w:vAlign w:val="center"/>
          </w:tcPr>
          <w:p w14:paraId="5D709D3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1070" w:type="dxa"/>
            <w:noWrap w:val="0"/>
            <w:vAlign w:val="center"/>
          </w:tcPr>
          <w:p w14:paraId="66E0848E">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color w:val="auto"/>
                <w:sz w:val="21"/>
                <w:szCs w:val="21"/>
                <w:highlight w:val="none"/>
                <w:u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（3）垃圾中转房保持整洁，无明显异味，每日至少开展1次清洁作业。</w:t>
            </w:r>
          </w:p>
        </w:tc>
      </w:tr>
      <w:tr w14:paraId="0B02D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8" w:type="dxa"/>
            <w:vMerge w:val="continue"/>
            <w:noWrap w:val="0"/>
            <w:vAlign w:val="center"/>
          </w:tcPr>
          <w:p w14:paraId="73B43DF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87" w:type="dxa"/>
            <w:vMerge w:val="continue"/>
            <w:noWrap w:val="0"/>
            <w:vAlign w:val="center"/>
          </w:tcPr>
          <w:p w14:paraId="57E9807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1070" w:type="dxa"/>
            <w:noWrap w:val="0"/>
            <w:vAlign w:val="center"/>
          </w:tcPr>
          <w:p w14:paraId="0467BA88">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color w:val="auto"/>
                <w:sz w:val="21"/>
                <w:szCs w:val="21"/>
                <w:highlight w:val="none"/>
                <w:u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（4）化粪池清掏，无明显异味，每半年至少开展1次清洁作业。</w:t>
            </w:r>
          </w:p>
        </w:tc>
      </w:tr>
      <w:tr w14:paraId="0C0F1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8" w:type="dxa"/>
            <w:vMerge w:val="continue"/>
            <w:noWrap w:val="0"/>
            <w:vAlign w:val="center"/>
          </w:tcPr>
          <w:p w14:paraId="54E817C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87" w:type="dxa"/>
            <w:vMerge w:val="continue"/>
            <w:noWrap w:val="0"/>
            <w:vAlign w:val="center"/>
          </w:tcPr>
          <w:p w14:paraId="4ACE30A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1070" w:type="dxa"/>
            <w:noWrap w:val="0"/>
            <w:vAlign w:val="center"/>
          </w:tcPr>
          <w:p w14:paraId="33E349DA">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color w:val="auto"/>
                <w:sz w:val="21"/>
                <w:szCs w:val="21"/>
                <w:highlight w:val="none"/>
                <w:u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（5）</w:t>
            </w:r>
            <w:r>
              <w:rPr>
                <w:rFonts w:hint="eastAsia" w:ascii="仿宋" w:hAnsi="仿宋" w:eastAsia="仿宋" w:cs="仿宋"/>
                <w:color w:val="auto"/>
                <w:sz w:val="21"/>
                <w:szCs w:val="21"/>
                <w:highlight w:val="none"/>
                <w:u w:val="none"/>
                <w:lang w:val="en-US" w:eastAsia="zh-CN"/>
              </w:rPr>
              <w:t>每个工作日内要对楼层产生的垃圾，进行清理分类，并运至垃圾集中堆放点。</w:t>
            </w:r>
          </w:p>
        </w:tc>
      </w:tr>
      <w:tr w14:paraId="226D6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8" w:type="dxa"/>
            <w:vMerge w:val="continue"/>
            <w:noWrap w:val="0"/>
            <w:vAlign w:val="center"/>
          </w:tcPr>
          <w:p w14:paraId="4216ADA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87" w:type="dxa"/>
            <w:vMerge w:val="continue"/>
            <w:noWrap w:val="0"/>
            <w:vAlign w:val="center"/>
          </w:tcPr>
          <w:p w14:paraId="6CF1BF9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1070" w:type="dxa"/>
            <w:noWrap w:val="0"/>
            <w:vAlign w:val="center"/>
          </w:tcPr>
          <w:p w14:paraId="17DDBCDA">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color w:val="auto"/>
                <w:sz w:val="21"/>
                <w:szCs w:val="21"/>
                <w:highlight w:val="none"/>
                <w:u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（6）垃圾装袋，日产日清。</w:t>
            </w:r>
          </w:p>
        </w:tc>
      </w:tr>
      <w:tr w14:paraId="722E0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8" w:type="dxa"/>
            <w:vMerge w:val="continue"/>
            <w:noWrap w:val="0"/>
            <w:vAlign w:val="center"/>
          </w:tcPr>
          <w:p w14:paraId="7DC5C3A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87" w:type="dxa"/>
            <w:vMerge w:val="continue"/>
            <w:noWrap w:val="0"/>
            <w:vAlign w:val="center"/>
          </w:tcPr>
          <w:p w14:paraId="6C982A4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1070" w:type="dxa"/>
            <w:noWrap w:val="0"/>
            <w:vAlign w:val="center"/>
          </w:tcPr>
          <w:p w14:paraId="082F9243">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color w:val="auto"/>
                <w:sz w:val="21"/>
                <w:szCs w:val="21"/>
                <w:highlight w:val="none"/>
                <w:u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（7）建立垃圾清运台账，交由规范的渠道回收处理。</w:t>
            </w:r>
          </w:p>
        </w:tc>
      </w:tr>
      <w:tr w14:paraId="56826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8" w:type="dxa"/>
            <w:vMerge w:val="continue"/>
            <w:noWrap w:val="0"/>
            <w:vAlign w:val="center"/>
          </w:tcPr>
          <w:p w14:paraId="5D04125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87" w:type="dxa"/>
            <w:vMerge w:val="continue"/>
            <w:noWrap w:val="0"/>
            <w:vAlign w:val="center"/>
          </w:tcPr>
          <w:p w14:paraId="57896F4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1070" w:type="dxa"/>
            <w:noWrap w:val="0"/>
            <w:vAlign w:val="center"/>
          </w:tcPr>
          <w:p w14:paraId="07CCFC49">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color w:val="auto"/>
                <w:sz w:val="21"/>
                <w:szCs w:val="21"/>
                <w:highlight w:val="none"/>
                <w:u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（8）</w:t>
            </w:r>
            <w:r>
              <w:rPr>
                <w:rFonts w:hint="eastAsia" w:ascii="仿宋" w:hAnsi="仿宋" w:eastAsia="仿宋" w:cs="仿宋"/>
                <w:color w:val="auto"/>
                <w:sz w:val="21"/>
                <w:szCs w:val="21"/>
                <w:highlight w:val="none"/>
                <w:u w:val="none"/>
                <w:lang w:val="en-US" w:eastAsia="zh-CN"/>
              </w:rPr>
              <w:t>做好垃圾分类管理的宣传工作，督促并引导全员参与垃圾分类投放。</w:t>
            </w:r>
          </w:p>
        </w:tc>
      </w:tr>
      <w:tr w14:paraId="674A2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1238" w:type="dxa"/>
            <w:vMerge w:val="continue"/>
            <w:noWrap w:val="0"/>
            <w:vAlign w:val="center"/>
          </w:tcPr>
          <w:p w14:paraId="316BDB0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87" w:type="dxa"/>
            <w:vMerge w:val="continue"/>
            <w:noWrap w:val="0"/>
            <w:vAlign w:val="center"/>
          </w:tcPr>
          <w:p w14:paraId="3C8785C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1070" w:type="dxa"/>
            <w:noWrap w:val="0"/>
            <w:vAlign w:val="center"/>
          </w:tcPr>
          <w:p w14:paraId="02394B66">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（9）</w:t>
            </w:r>
            <w:r>
              <w:rPr>
                <w:rFonts w:hint="eastAsia" w:ascii="仿宋" w:hAnsi="仿宋" w:eastAsia="仿宋" w:cs="仿宋"/>
                <w:color w:val="auto"/>
                <w:sz w:val="21"/>
                <w:szCs w:val="21"/>
                <w:highlight w:val="none"/>
                <w:u w:val="none"/>
                <w:lang w:val="en-US" w:eastAsia="zh-CN"/>
              </w:rPr>
              <w:t>垃圾分类投放管理工作的执行标准，按</w:t>
            </w:r>
            <w:r>
              <w:rPr>
                <w:rFonts w:hint="eastAsia" w:ascii="仿宋" w:hAnsi="仿宋" w:eastAsia="仿宋" w:cs="仿宋"/>
                <w:b w:val="0"/>
                <w:bCs w:val="0"/>
                <w:color w:val="auto"/>
                <w:kern w:val="0"/>
                <w:sz w:val="21"/>
                <w:szCs w:val="21"/>
                <w:highlight w:val="none"/>
                <w:lang w:val="en-US" w:eastAsia="zh-CN"/>
              </w:rPr>
              <w:t>所在城市</w:t>
            </w:r>
            <w:r>
              <w:rPr>
                <w:rFonts w:hint="eastAsia" w:ascii="仿宋" w:hAnsi="仿宋" w:eastAsia="仿宋" w:cs="仿宋"/>
                <w:color w:val="auto"/>
                <w:sz w:val="21"/>
                <w:szCs w:val="21"/>
                <w:highlight w:val="none"/>
                <w:u w:val="none"/>
                <w:lang w:val="en-US" w:eastAsia="zh-CN"/>
              </w:rPr>
              <w:t>的要求执行。</w:t>
            </w:r>
          </w:p>
        </w:tc>
      </w:tr>
      <w:tr w14:paraId="056DA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1238" w:type="dxa"/>
            <w:vMerge w:val="continue"/>
            <w:noWrap w:val="0"/>
            <w:vAlign w:val="center"/>
          </w:tcPr>
          <w:p w14:paraId="56A7D2F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87" w:type="dxa"/>
            <w:vMerge w:val="continue"/>
            <w:noWrap w:val="0"/>
            <w:vAlign w:val="center"/>
          </w:tcPr>
          <w:p w14:paraId="1693FC0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1070" w:type="dxa"/>
            <w:noWrap w:val="0"/>
            <w:vAlign w:val="center"/>
          </w:tcPr>
          <w:p w14:paraId="0D8DA392">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（10）......</w:t>
            </w:r>
          </w:p>
        </w:tc>
      </w:tr>
      <w:tr w14:paraId="6FDE4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1238" w:type="dxa"/>
            <w:vMerge w:val="restart"/>
            <w:noWrap w:val="0"/>
            <w:vAlign w:val="center"/>
          </w:tcPr>
          <w:p w14:paraId="79B562F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5</w:t>
            </w:r>
          </w:p>
        </w:tc>
        <w:tc>
          <w:tcPr>
            <w:tcW w:w="2487" w:type="dxa"/>
            <w:vMerge w:val="restart"/>
            <w:noWrap w:val="0"/>
            <w:vAlign w:val="center"/>
          </w:tcPr>
          <w:p w14:paraId="6E0C7F2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卫生消毒</w:t>
            </w:r>
          </w:p>
        </w:tc>
        <w:tc>
          <w:tcPr>
            <w:tcW w:w="11070" w:type="dxa"/>
            <w:noWrap w:val="0"/>
            <w:vAlign w:val="center"/>
          </w:tcPr>
          <w:p w14:paraId="15D308BA">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（1）办公用房区域、公共场所区域和周围环境预防性卫生消毒，</w:t>
            </w:r>
            <w:r>
              <w:rPr>
                <w:rFonts w:hint="eastAsia" w:ascii="仿宋" w:hAnsi="仿宋" w:eastAsia="仿宋" w:cs="仿宋"/>
                <w:color w:val="auto"/>
                <w:sz w:val="21"/>
                <w:szCs w:val="21"/>
                <w:highlight w:val="none"/>
                <w:u w:val="none"/>
                <w:lang w:val="en-US" w:eastAsia="zh-CN"/>
              </w:rPr>
              <w:t>消毒后及时通风，每周</w:t>
            </w:r>
            <w:r>
              <w:rPr>
                <w:rFonts w:hint="eastAsia" w:ascii="仿宋" w:hAnsi="仿宋" w:eastAsia="仿宋" w:cs="仿宋"/>
                <w:b w:val="0"/>
                <w:bCs w:val="0"/>
                <w:color w:val="auto"/>
                <w:kern w:val="0"/>
                <w:sz w:val="21"/>
                <w:szCs w:val="21"/>
                <w:highlight w:val="none"/>
                <w:lang w:val="en-US" w:eastAsia="zh-CN"/>
              </w:rPr>
              <w:t>至少开展</w:t>
            </w:r>
            <w:r>
              <w:rPr>
                <w:rFonts w:hint="eastAsia" w:ascii="仿宋" w:hAnsi="仿宋" w:eastAsia="仿宋" w:cs="仿宋"/>
                <w:color w:val="auto"/>
                <w:sz w:val="21"/>
                <w:szCs w:val="21"/>
                <w:highlight w:val="none"/>
                <w:u w:val="none"/>
                <w:lang w:val="en-US" w:eastAsia="zh-CN"/>
              </w:rPr>
              <w:t>1次作业。</w:t>
            </w:r>
          </w:p>
        </w:tc>
      </w:tr>
      <w:tr w14:paraId="51B43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1238" w:type="dxa"/>
            <w:vMerge w:val="continue"/>
            <w:noWrap w:val="0"/>
            <w:vAlign w:val="center"/>
          </w:tcPr>
          <w:p w14:paraId="246F5E3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87" w:type="dxa"/>
            <w:vMerge w:val="continue"/>
            <w:noWrap w:val="0"/>
            <w:vAlign w:val="center"/>
          </w:tcPr>
          <w:p w14:paraId="17755EF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1"/>
                <w:szCs w:val="21"/>
                <w:highlight w:val="none"/>
              </w:rPr>
            </w:pPr>
          </w:p>
        </w:tc>
        <w:tc>
          <w:tcPr>
            <w:tcW w:w="11070" w:type="dxa"/>
            <w:noWrap w:val="0"/>
            <w:vAlign w:val="center"/>
          </w:tcPr>
          <w:p w14:paraId="58E171AF">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（2）采取综合措施消灭老鼠、蟑螂，控制室内外蚊虫孳生，达到基本无蝇</w:t>
            </w:r>
            <w:r>
              <w:rPr>
                <w:rFonts w:hint="eastAsia" w:ascii="仿宋" w:hAnsi="仿宋" w:eastAsia="仿宋" w:cs="仿宋"/>
                <w:color w:val="auto"/>
                <w:sz w:val="21"/>
                <w:szCs w:val="21"/>
                <w:highlight w:val="none"/>
                <w:u w:val="none"/>
                <w:lang w:val="en-US" w:eastAsia="zh-CN"/>
              </w:rPr>
              <w:t>，每季度</w:t>
            </w:r>
            <w:r>
              <w:rPr>
                <w:rFonts w:hint="eastAsia" w:ascii="仿宋" w:hAnsi="仿宋" w:eastAsia="仿宋" w:cs="仿宋"/>
                <w:b w:val="0"/>
                <w:bCs w:val="0"/>
                <w:color w:val="auto"/>
                <w:kern w:val="0"/>
                <w:sz w:val="21"/>
                <w:szCs w:val="21"/>
                <w:highlight w:val="none"/>
                <w:lang w:val="en-US" w:eastAsia="zh-CN"/>
              </w:rPr>
              <w:t>至少开展</w:t>
            </w:r>
            <w:r>
              <w:rPr>
                <w:rFonts w:hint="eastAsia" w:ascii="仿宋" w:hAnsi="仿宋" w:eastAsia="仿宋" w:cs="仿宋"/>
                <w:color w:val="auto"/>
                <w:sz w:val="21"/>
                <w:szCs w:val="21"/>
                <w:highlight w:val="none"/>
                <w:u w:val="none"/>
                <w:lang w:val="en-US" w:eastAsia="zh-CN"/>
              </w:rPr>
              <w:t>1次作业。</w:t>
            </w:r>
          </w:p>
        </w:tc>
      </w:tr>
      <w:tr w14:paraId="7C9D5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trPr>
        <w:tc>
          <w:tcPr>
            <w:tcW w:w="1238" w:type="dxa"/>
            <w:vMerge w:val="continue"/>
            <w:noWrap w:val="0"/>
            <w:vAlign w:val="center"/>
          </w:tcPr>
          <w:p w14:paraId="398F7DF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87" w:type="dxa"/>
            <w:vMerge w:val="continue"/>
            <w:noWrap w:val="0"/>
            <w:vAlign w:val="center"/>
          </w:tcPr>
          <w:p w14:paraId="6A968E4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1"/>
                <w:szCs w:val="21"/>
                <w:highlight w:val="none"/>
              </w:rPr>
            </w:pPr>
          </w:p>
        </w:tc>
        <w:tc>
          <w:tcPr>
            <w:tcW w:w="11070" w:type="dxa"/>
            <w:noWrap w:val="0"/>
            <w:vAlign w:val="center"/>
          </w:tcPr>
          <w:p w14:paraId="4301B34E">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（3）发生公共卫生事件时，邀请专业单位开展消毒、检测等工作。</w:t>
            </w:r>
          </w:p>
        </w:tc>
      </w:tr>
      <w:tr w14:paraId="520D1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trPr>
        <w:tc>
          <w:tcPr>
            <w:tcW w:w="1238" w:type="dxa"/>
            <w:vMerge w:val="continue"/>
            <w:noWrap w:val="0"/>
            <w:vAlign w:val="center"/>
          </w:tcPr>
          <w:p w14:paraId="27FB9C2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87" w:type="dxa"/>
            <w:vMerge w:val="continue"/>
            <w:noWrap w:val="0"/>
            <w:vAlign w:val="center"/>
          </w:tcPr>
          <w:p w14:paraId="36A973F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1"/>
                <w:szCs w:val="21"/>
                <w:highlight w:val="none"/>
              </w:rPr>
            </w:pPr>
          </w:p>
        </w:tc>
        <w:tc>
          <w:tcPr>
            <w:tcW w:w="11070" w:type="dxa"/>
            <w:noWrap w:val="0"/>
            <w:vAlign w:val="center"/>
          </w:tcPr>
          <w:p w14:paraId="10E3C601">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（4）......</w:t>
            </w:r>
          </w:p>
        </w:tc>
      </w:tr>
    </w:tbl>
    <w:p w14:paraId="087AAC43">
      <w:pPr>
        <w:widowControl w:val="0"/>
        <w:bidi w:val="0"/>
        <w:snapToGrid w:val="0"/>
        <w:spacing w:line="300" w:lineRule="auto"/>
        <w:ind w:firstLine="562" w:firstLineChars="200"/>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3.4.1具体清洁要求</w:t>
      </w:r>
    </w:p>
    <w:tbl>
      <w:tblPr>
        <w:tblStyle w:val="4"/>
        <w:tblW w:w="499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8"/>
        <w:gridCol w:w="1405"/>
        <w:gridCol w:w="6287"/>
      </w:tblGrid>
      <w:tr w14:paraId="5180A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7" w:type="dxa"/>
            <w:noWrap w:val="0"/>
            <w:vAlign w:val="center"/>
          </w:tcPr>
          <w:p w14:paraId="7897A57A">
            <w:pPr>
              <w:widowControl w:val="0"/>
              <w:snapToGrid w:val="0"/>
              <w:spacing w:line="300" w:lineRule="auto"/>
              <w:ind w:left="0" w:leftChars="0" w:firstLine="0" w:firstLineChars="0"/>
              <w:jc w:val="center"/>
              <w:rPr>
                <w:rFonts w:hint="eastAsia" w:ascii="仿宋" w:hAnsi="仿宋" w:eastAsia="仿宋" w:cs="仿宋"/>
                <w:b/>
                <w:bCs/>
                <w:sz w:val="21"/>
                <w:szCs w:val="21"/>
                <w:highlight w:val="none"/>
                <w:vertAlign w:val="baseline"/>
                <w:lang w:val="en-US" w:eastAsia="zh-CN"/>
              </w:rPr>
            </w:pPr>
            <w:r>
              <w:rPr>
                <w:rFonts w:hint="eastAsia" w:ascii="仿宋" w:hAnsi="仿宋" w:eastAsia="仿宋" w:cs="仿宋"/>
                <w:b/>
                <w:bCs/>
                <w:sz w:val="21"/>
                <w:szCs w:val="21"/>
                <w:highlight w:val="none"/>
                <w:vertAlign w:val="baseline"/>
                <w:lang w:val="en-US" w:eastAsia="zh-CN"/>
              </w:rPr>
              <w:t>序号</w:t>
            </w:r>
          </w:p>
        </w:tc>
        <w:tc>
          <w:tcPr>
            <w:tcW w:w="2477" w:type="dxa"/>
            <w:noWrap w:val="0"/>
            <w:vAlign w:val="center"/>
          </w:tcPr>
          <w:p w14:paraId="6CEFFDA1">
            <w:pPr>
              <w:widowControl w:val="0"/>
              <w:snapToGrid w:val="0"/>
              <w:spacing w:line="300" w:lineRule="auto"/>
              <w:ind w:left="0" w:leftChars="0" w:firstLine="0" w:firstLineChars="0"/>
              <w:jc w:val="center"/>
              <w:rPr>
                <w:rFonts w:hint="eastAsia" w:ascii="仿宋" w:hAnsi="仿宋" w:eastAsia="仿宋" w:cs="仿宋"/>
                <w:b/>
                <w:bCs/>
                <w:sz w:val="21"/>
                <w:szCs w:val="21"/>
                <w:highlight w:val="none"/>
                <w:vertAlign w:val="baseline"/>
                <w:lang w:val="en-US" w:eastAsia="zh-CN"/>
              </w:rPr>
            </w:pPr>
            <w:r>
              <w:rPr>
                <w:rFonts w:hint="eastAsia" w:ascii="仿宋" w:hAnsi="仿宋" w:eastAsia="仿宋" w:cs="仿宋"/>
                <w:b/>
                <w:bCs/>
                <w:sz w:val="21"/>
                <w:szCs w:val="21"/>
                <w:highlight w:val="none"/>
                <w:vertAlign w:val="baseline"/>
                <w:lang w:val="en-US" w:eastAsia="zh-CN"/>
              </w:rPr>
              <w:t>材质</w:t>
            </w:r>
          </w:p>
        </w:tc>
        <w:tc>
          <w:tcPr>
            <w:tcW w:w="11044" w:type="dxa"/>
            <w:noWrap w:val="0"/>
            <w:vAlign w:val="center"/>
          </w:tcPr>
          <w:p w14:paraId="2B554222">
            <w:pPr>
              <w:widowControl w:val="0"/>
              <w:snapToGrid w:val="0"/>
              <w:spacing w:line="300" w:lineRule="auto"/>
              <w:ind w:left="0" w:leftChars="0" w:firstLine="0" w:firstLineChars="0"/>
              <w:jc w:val="center"/>
              <w:rPr>
                <w:rFonts w:hint="eastAsia" w:ascii="仿宋" w:hAnsi="仿宋" w:eastAsia="仿宋" w:cs="仿宋"/>
                <w:b/>
                <w:bCs/>
                <w:sz w:val="21"/>
                <w:szCs w:val="21"/>
                <w:highlight w:val="none"/>
                <w:vertAlign w:val="baseline"/>
                <w:lang w:val="en-US" w:eastAsia="zh-CN"/>
              </w:rPr>
            </w:pPr>
            <w:r>
              <w:rPr>
                <w:rFonts w:hint="eastAsia" w:ascii="仿宋" w:hAnsi="仿宋" w:eastAsia="仿宋" w:cs="仿宋"/>
                <w:b/>
                <w:bCs/>
                <w:sz w:val="21"/>
                <w:szCs w:val="21"/>
                <w:highlight w:val="none"/>
                <w:vertAlign w:val="baseline"/>
                <w:lang w:val="en-US" w:eastAsia="zh-CN"/>
              </w:rPr>
              <w:t>清洁要求</w:t>
            </w:r>
          </w:p>
        </w:tc>
      </w:tr>
      <w:tr w14:paraId="6E36A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7" w:type="dxa"/>
            <w:vMerge w:val="restart"/>
            <w:noWrap w:val="0"/>
            <w:vAlign w:val="center"/>
          </w:tcPr>
          <w:p w14:paraId="0C5E534F">
            <w:pPr>
              <w:widowControl w:val="0"/>
              <w:snapToGrid w:val="0"/>
              <w:spacing w:line="300" w:lineRule="auto"/>
              <w:ind w:left="0" w:leftChars="0" w:firstLine="0" w:firstLineChars="0"/>
              <w:jc w:val="center"/>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1</w:t>
            </w:r>
          </w:p>
        </w:tc>
        <w:tc>
          <w:tcPr>
            <w:tcW w:w="2477" w:type="dxa"/>
            <w:vMerge w:val="restart"/>
            <w:noWrap w:val="0"/>
            <w:vAlign w:val="center"/>
          </w:tcPr>
          <w:p w14:paraId="4C24D23C">
            <w:pPr>
              <w:widowControl w:val="0"/>
              <w:snapToGrid w:val="0"/>
              <w:spacing w:line="300" w:lineRule="auto"/>
              <w:ind w:left="0" w:leftChars="0" w:firstLine="0" w:firstLineChars="0"/>
              <w:jc w:val="center"/>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环氧地坪地面</w:t>
            </w:r>
          </w:p>
        </w:tc>
        <w:tc>
          <w:tcPr>
            <w:tcW w:w="11044" w:type="dxa"/>
            <w:noWrap w:val="0"/>
            <w:vAlign w:val="center"/>
          </w:tcPr>
          <w:p w14:paraId="09C13E00">
            <w:pPr>
              <w:widowControl w:val="0"/>
              <w:snapToGrid w:val="0"/>
              <w:spacing w:line="300" w:lineRule="auto"/>
              <w:ind w:firstLine="210" w:firstLineChars="100"/>
              <w:jc w:val="both"/>
              <w:rPr>
                <w:rFonts w:hint="eastAsia" w:ascii="仿宋" w:hAnsi="仿宋" w:eastAsia="仿宋" w:cs="仿宋"/>
                <w:sz w:val="21"/>
                <w:szCs w:val="21"/>
                <w:highlight w:val="none"/>
                <w:vertAlign w:val="baseli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w:t>
            </w:r>
            <w:r>
              <w:rPr>
                <w:rFonts w:hint="eastAsia" w:ascii="仿宋" w:hAnsi="仿宋" w:eastAsia="仿宋" w:cs="仿宋"/>
                <w:sz w:val="21"/>
                <w:szCs w:val="21"/>
                <w:highlight w:val="none"/>
                <w:vertAlign w:val="baseline"/>
                <w:lang w:val="en-US" w:eastAsia="zh-CN"/>
              </w:rPr>
              <w:t>清理垃圾：清理地面上的垃圾和杂物。</w:t>
            </w:r>
          </w:p>
        </w:tc>
      </w:tr>
      <w:tr w14:paraId="7D0EA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7" w:type="dxa"/>
            <w:vMerge w:val="continue"/>
            <w:noWrap w:val="0"/>
            <w:vAlign w:val="center"/>
          </w:tcPr>
          <w:p w14:paraId="19EC18CC">
            <w:pPr>
              <w:widowControl w:val="0"/>
              <w:snapToGrid w:val="0"/>
              <w:spacing w:line="300" w:lineRule="auto"/>
              <w:ind w:firstLine="420" w:firstLineChars="200"/>
              <w:jc w:val="center"/>
              <w:rPr>
                <w:rFonts w:hint="eastAsia" w:ascii="仿宋" w:hAnsi="仿宋" w:eastAsia="仿宋" w:cs="仿宋"/>
                <w:sz w:val="21"/>
                <w:szCs w:val="21"/>
                <w:highlight w:val="none"/>
                <w:vertAlign w:val="baseline"/>
                <w:lang w:val="en-US" w:eastAsia="zh-CN"/>
              </w:rPr>
            </w:pPr>
          </w:p>
        </w:tc>
        <w:tc>
          <w:tcPr>
            <w:tcW w:w="2477" w:type="dxa"/>
            <w:vMerge w:val="continue"/>
            <w:noWrap w:val="0"/>
            <w:vAlign w:val="center"/>
          </w:tcPr>
          <w:p w14:paraId="5599364B">
            <w:pPr>
              <w:widowControl w:val="0"/>
              <w:snapToGrid w:val="0"/>
              <w:spacing w:line="300" w:lineRule="auto"/>
              <w:ind w:firstLine="420" w:firstLineChars="200"/>
              <w:jc w:val="center"/>
              <w:rPr>
                <w:rFonts w:hint="eastAsia" w:ascii="仿宋" w:hAnsi="仿宋" w:eastAsia="仿宋" w:cs="仿宋"/>
                <w:sz w:val="21"/>
                <w:szCs w:val="21"/>
                <w:highlight w:val="none"/>
                <w:vertAlign w:val="baseline"/>
                <w:lang w:val="en-US" w:eastAsia="zh-CN"/>
              </w:rPr>
            </w:pPr>
          </w:p>
        </w:tc>
        <w:tc>
          <w:tcPr>
            <w:tcW w:w="11044" w:type="dxa"/>
            <w:noWrap w:val="0"/>
            <w:vAlign w:val="center"/>
          </w:tcPr>
          <w:p w14:paraId="10911456">
            <w:pPr>
              <w:widowControl w:val="0"/>
              <w:snapToGrid w:val="0"/>
              <w:spacing w:line="300" w:lineRule="auto"/>
              <w:ind w:firstLine="210" w:firstLineChars="100"/>
              <w:jc w:val="both"/>
              <w:rPr>
                <w:rFonts w:hint="eastAsia" w:ascii="仿宋" w:hAnsi="仿宋" w:eastAsia="仿宋" w:cs="仿宋"/>
                <w:sz w:val="21"/>
                <w:szCs w:val="21"/>
                <w:highlight w:val="none"/>
                <w:vertAlign w:val="baseli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w:t>
            </w:r>
            <w:r>
              <w:rPr>
                <w:rFonts w:hint="eastAsia" w:ascii="仿宋" w:hAnsi="仿宋" w:eastAsia="仿宋" w:cs="仿宋"/>
                <w:sz w:val="21"/>
                <w:szCs w:val="21"/>
                <w:highlight w:val="none"/>
                <w:vertAlign w:val="baseline"/>
                <w:lang w:val="en-US" w:eastAsia="zh-CN"/>
              </w:rPr>
              <w:t>清洗地面：用专业的清洁剂或去污剂清洗地面。清洁剂和去污剂的选取要根据污垢的性质而定。环氧地坪一般使用弱酸性或弱碱性的清洁剂，避免使用酸性或碱性强的清洁剂。</w:t>
            </w:r>
          </w:p>
        </w:tc>
      </w:tr>
      <w:tr w14:paraId="7DB65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7" w:type="dxa"/>
            <w:vMerge w:val="continue"/>
            <w:noWrap w:val="0"/>
            <w:vAlign w:val="center"/>
          </w:tcPr>
          <w:p w14:paraId="32499DFC">
            <w:pPr>
              <w:widowControl w:val="0"/>
              <w:snapToGrid w:val="0"/>
              <w:spacing w:line="300" w:lineRule="auto"/>
              <w:ind w:firstLine="420" w:firstLineChars="200"/>
              <w:jc w:val="center"/>
              <w:rPr>
                <w:rFonts w:hint="eastAsia" w:ascii="仿宋" w:hAnsi="仿宋" w:eastAsia="仿宋" w:cs="仿宋"/>
                <w:sz w:val="21"/>
                <w:szCs w:val="21"/>
                <w:highlight w:val="none"/>
                <w:vertAlign w:val="baseline"/>
                <w:lang w:val="en-US" w:eastAsia="zh-CN"/>
              </w:rPr>
            </w:pPr>
          </w:p>
        </w:tc>
        <w:tc>
          <w:tcPr>
            <w:tcW w:w="2477" w:type="dxa"/>
            <w:vMerge w:val="continue"/>
            <w:noWrap w:val="0"/>
            <w:vAlign w:val="center"/>
          </w:tcPr>
          <w:p w14:paraId="6266F46C">
            <w:pPr>
              <w:widowControl w:val="0"/>
              <w:snapToGrid w:val="0"/>
              <w:spacing w:line="300" w:lineRule="auto"/>
              <w:ind w:firstLine="420" w:firstLineChars="200"/>
              <w:jc w:val="center"/>
              <w:rPr>
                <w:rFonts w:hint="eastAsia" w:ascii="仿宋" w:hAnsi="仿宋" w:eastAsia="仿宋" w:cs="仿宋"/>
                <w:sz w:val="21"/>
                <w:szCs w:val="21"/>
                <w:highlight w:val="none"/>
                <w:vertAlign w:val="baseline"/>
                <w:lang w:val="en-US" w:eastAsia="zh-CN"/>
              </w:rPr>
            </w:pPr>
          </w:p>
        </w:tc>
        <w:tc>
          <w:tcPr>
            <w:tcW w:w="11044" w:type="dxa"/>
            <w:noWrap w:val="0"/>
            <w:vAlign w:val="center"/>
          </w:tcPr>
          <w:p w14:paraId="1B7BB2FE">
            <w:pPr>
              <w:widowControl w:val="0"/>
              <w:snapToGrid w:val="0"/>
              <w:spacing w:line="300" w:lineRule="auto"/>
              <w:ind w:firstLine="210" w:firstLineChars="100"/>
              <w:jc w:val="both"/>
              <w:rPr>
                <w:rFonts w:hint="eastAsia" w:ascii="仿宋" w:hAnsi="仿宋" w:eastAsia="仿宋" w:cs="仿宋"/>
                <w:sz w:val="21"/>
                <w:szCs w:val="21"/>
                <w:highlight w:val="none"/>
                <w:vertAlign w:val="baseli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（3）</w:t>
            </w:r>
            <w:r>
              <w:rPr>
                <w:rFonts w:hint="eastAsia" w:ascii="仿宋" w:hAnsi="仿宋" w:eastAsia="仿宋" w:cs="仿宋"/>
                <w:sz w:val="21"/>
                <w:szCs w:val="21"/>
                <w:highlight w:val="none"/>
                <w:vertAlign w:val="baseline"/>
                <w:lang w:val="en-US" w:eastAsia="zh-CN"/>
              </w:rPr>
              <w:t>滚刷或颗粒机进行深层清洗：对于顽固沉积物，需要使用滚刷或颗粒机进行深层清洗。</w:t>
            </w:r>
          </w:p>
        </w:tc>
      </w:tr>
      <w:tr w14:paraId="169A2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7" w:type="dxa"/>
            <w:vMerge w:val="continue"/>
            <w:noWrap w:val="0"/>
            <w:vAlign w:val="center"/>
          </w:tcPr>
          <w:p w14:paraId="35CF48FD">
            <w:pPr>
              <w:widowControl w:val="0"/>
              <w:snapToGrid w:val="0"/>
              <w:spacing w:line="300" w:lineRule="auto"/>
              <w:ind w:firstLine="420" w:firstLineChars="200"/>
              <w:jc w:val="center"/>
              <w:rPr>
                <w:rFonts w:hint="eastAsia" w:ascii="仿宋" w:hAnsi="仿宋" w:eastAsia="仿宋" w:cs="仿宋"/>
                <w:sz w:val="21"/>
                <w:szCs w:val="21"/>
                <w:highlight w:val="none"/>
                <w:vertAlign w:val="baseline"/>
                <w:lang w:val="en-US" w:eastAsia="zh-CN"/>
              </w:rPr>
            </w:pPr>
          </w:p>
        </w:tc>
        <w:tc>
          <w:tcPr>
            <w:tcW w:w="2477" w:type="dxa"/>
            <w:vMerge w:val="continue"/>
            <w:noWrap w:val="0"/>
            <w:vAlign w:val="center"/>
          </w:tcPr>
          <w:p w14:paraId="7195DA62">
            <w:pPr>
              <w:widowControl w:val="0"/>
              <w:snapToGrid w:val="0"/>
              <w:spacing w:line="300" w:lineRule="auto"/>
              <w:ind w:firstLine="420" w:firstLineChars="200"/>
              <w:jc w:val="center"/>
              <w:rPr>
                <w:rFonts w:hint="eastAsia" w:ascii="仿宋" w:hAnsi="仿宋" w:eastAsia="仿宋" w:cs="仿宋"/>
                <w:sz w:val="21"/>
                <w:szCs w:val="21"/>
                <w:highlight w:val="none"/>
                <w:vertAlign w:val="baseline"/>
                <w:lang w:val="en-US" w:eastAsia="zh-CN"/>
              </w:rPr>
            </w:pPr>
          </w:p>
        </w:tc>
        <w:tc>
          <w:tcPr>
            <w:tcW w:w="11044" w:type="dxa"/>
            <w:noWrap w:val="0"/>
            <w:vAlign w:val="center"/>
          </w:tcPr>
          <w:p w14:paraId="2A325408">
            <w:pPr>
              <w:widowControl w:val="0"/>
              <w:snapToGrid w:val="0"/>
              <w:spacing w:line="300" w:lineRule="auto"/>
              <w:ind w:firstLine="210" w:firstLineChars="100"/>
              <w:jc w:val="both"/>
              <w:rPr>
                <w:rFonts w:hint="eastAsia" w:ascii="仿宋" w:hAnsi="仿宋" w:eastAsia="仿宋" w:cs="仿宋"/>
                <w:sz w:val="21"/>
                <w:szCs w:val="21"/>
                <w:highlight w:val="none"/>
                <w:vertAlign w:val="baseli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（4）</w:t>
            </w:r>
            <w:r>
              <w:rPr>
                <w:rFonts w:hint="eastAsia" w:ascii="仿宋" w:hAnsi="仿宋" w:eastAsia="仿宋" w:cs="仿宋"/>
                <w:sz w:val="21"/>
                <w:szCs w:val="21"/>
                <w:highlight w:val="none"/>
                <w:vertAlign w:val="baseline"/>
                <w:lang w:val="en-US" w:eastAsia="zh-CN"/>
              </w:rPr>
              <w:t>浸泡：将清洁剂或去污剂浸泡在环氧地坪上，加强去除污渍的效果。</w:t>
            </w:r>
          </w:p>
        </w:tc>
      </w:tr>
      <w:tr w14:paraId="4050E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7" w:type="dxa"/>
            <w:vMerge w:val="continue"/>
            <w:noWrap w:val="0"/>
            <w:vAlign w:val="center"/>
          </w:tcPr>
          <w:p w14:paraId="44E1146D">
            <w:pPr>
              <w:widowControl w:val="0"/>
              <w:snapToGrid w:val="0"/>
              <w:spacing w:line="300" w:lineRule="auto"/>
              <w:ind w:firstLine="420" w:firstLineChars="200"/>
              <w:jc w:val="center"/>
              <w:rPr>
                <w:rFonts w:hint="eastAsia" w:ascii="仿宋" w:hAnsi="仿宋" w:eastAsia="仿宋" w:cs="仿宋"/>
                <w:sz w:val="21"/>
                <w:szCs w:val="21"/>
                <w:highlight w:val="none"/>
                <w:vertAlign w:val="baseline"/>
                <w:lang w:val="en-US" w:eastAsia="zh-CN"/>
              </w:rPr>
            </w:pPr>
          </w:p>
        </w:tc>
        <w:tc>
          <w:tcPr>
            <w:tcW w:w="2477" w:type="dxa"/>
            <w:vMerge w:val="continue"/>
            <w:noWrap w:val="0"/>
            <w:vAlign w:val="center"/>
          </w:tcPr>
          <w:p w14:paraId="260C26CF">
            <w:pPr>
              <w:widowControl w:val="0"/>
              <w:snapToGrid w:val="0"/>
              <w:spacing w:line="300" w:lineRule="auto"/>
              <w:ind w:firstLine="420" w:firstLineChars="200"/>
              <w:jc w:val="center"/>
              <w:rPr>
                <w:rFonts w:hint="eastAsia" w:ascii="仿宋" w:hAnsi="仿宋" w:eastAsia="仿宋" w:cs="仿宋"/>
                <w:sz w:val="21"/>
                <w:szCs w:val="21"/>
                <w:highlight w:val="none"/>
                <w:vertAlign w:val="baseline"/>
                <w:lang w:val="en-US" w:eastAsia="zh-CN"/>
              </w:rPr>
            </w:pPr>
          </w:p>
        </w:tc>
        <w:tc>
          <w:tcPr>
            <w:tcW w:w="11044" w:type="dxa"/>
            <w:noWrap w:val="0"/>
            <w:vAlign w:val="center"/>
          </w:tcPr>
          <w:p w14:paraId="77EDE47C">
            <w:pPr>
              <w:widowControl w:val="0"/>
              <w:snapToGrid w:val="0"/>
              <w:spacing w:line="300" w:lineRule="auto"/>
              <w:ind w:firstLine="210" w:firstLineChars="100"/>
              <w:jc w:val="both"/>
              <w:rPr>
                <w:rFonts w:hint="eastAsia" w:ascii="仿宋" w:hAnsi="仿宋" w:eastAsia="仿宋" w:cs="仿宋"/>
                <w:sz w:val="21"/>
                <w:szCs w:val="21"/>
                <w:highlight w:val="none"/>
                <w:vertAlign w:val="baseli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（5）</w:t>
            </w:r>
            <w:r>
              <w:rPr>
                <w:rFonts w:hint="eastAsia" w:ascii="仿宋" w:hAnsi="仿宋" w:eastAsia="仿宋" w:cs="仿宋"/>
                <w:sz w:val="21"/>
                <w:szCs w:val="21"/>
                <w:highlight w:val="none"/>
                <w:vertAlign w:val="baseline"/>
                <w:lang w:val="en-US" w:eastAsia="zh-CN"/>
              </w:rPr>
              <w:t>冲洗：用清水将地面冲洗干净，以去除残留的清洁剂或去污剂。</w:t>
            </w:r>
          </w:p>
        </w:tc>
      </w:tr>
      <w:tr w14:paraId="3E5C6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7" w:type="dxa"/>
            <w:vMerge w:val="continue"/>
            <w:noWrap w:val="0"/>
            <w:vAlign w:val="center"/>
          </w:tcPr>
          <w:p w14:paraId="78B27D80">
            <w:pPr>
              <w:widowControl w:val="0"/>
              <w:snapToGrid w:val="0"/>
              <w:spacing w:line="300" w:lineRule="auto"/>
              <w:ind w:firstLine="420" w:firstLineChars="200"/>
              <w:jc w:val="center"/>
              <w:rPr>
                <w:rFonts w:hint="eastAsia" w:ascii="仿宋" w:hAnsi="仿宋" w:eastAsia="仿宋" w:cs="仿宋"/>
                <w:sz w:val="21"/>
                <w:szCs w:val="21"/>
                <w:highlight w:val="none"/>
                <w:vertAlign w:val="baseline"/>
                <w:lang w:val="en-US" w:eastAsia="zh-CN"/>
              </w:rPr>
            </w:pPr>
          </w:p>
        </w:tc>
        <w:tc>
          <w:tcPr>
            <w:tcW w:w="2477" w:type="dxa"/>
            <w:vMerge w:val="continue"/>
            <w:noWrap w:val="0"/>
            <w:vAlign w:val="center"/>
          </w:tcPr>
          <w:p w14:paraId="6A45E896">
            <w:pPr>
              <w:widowControl w:val="0"/>
              <w:snapToGrid w:val="0"/>
              <w:spacing w:line="300" w:lineRule="auto"/>
              <w:ind w:firstLine="420" w:firstLineChars="200"/>
              <w:jc w:val="center"/>
              <w:rPr>
                <w:rFonts w:hint="eastAsia" w:ascii="仿宋" w:hAnsi="仿宋" w:eastAsia="仿宋" w:cs="仿宋"/>
                <w:sz w:val="21"/>
                <w:szCs w:val="21"/>
                <w:highlight w:val="none"/>
                <w:vertAlign w:val="baseline"/>
                <w:lang w:val="en-US" w:eastAsia="zh-CN"/>
              </w:rPr>
            </w:pPr>
          </w:p>
        </w:tc>
        <w:tc>
          <w:tcPr>
            <w:tcW w:w="11044" w:type="dxa"/>
            <w:noWrap w:val="0"/>
            <w:vAlign w:val="center"/>
          </w:tcPr>
          <w:p w14:paraId="7B079812">
            <w:pPr>
              <w:widowControl w:val="0"/>
              <w:snapToGrid w:val="0"/>
              <w:spacing w:line="300" w:lineRule="auto"/>
              <w:ind w:firstLine="210" w:firstLineChars="100"/>
              <w:jc w:val="both"/>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（6）......</w:t>
            </w:r>
          </w:p>
        </w:tc>
      </w:tr>
      <w:tr w14:paraId="36EC8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7" w:type="dxa"/>
            <w:vMerge w:val="restart"/>
            <w:noWrap w:val="0"/>
            <w:vAlign w:val="center"/>
          </w:tcPr>
          <w:p w14:paraId="1BAA64CF">
            <w:pPr>
              <w:widowControl w:val="0"/>
              <w:snapToGrid w:val="0"/>
              <w:spacing w:line="300" w:lineRule="auto"/>
              <w:ind w:left="0" w:leftChars="0" w:firstLine="0" w:firstLineChars="0"/>
              <w:jc w:val="center"/>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2</w:t>
            </w:r>
          </w:p>
        </w:tc>
        <w:tc>
          <w:tcPr>
            <w:tcW w:w="2477" w:type="dxa"/>
            <w:vMerge w:val="restart"/>
            <w:noWrap w:val="0"/>
            <w:vAlign w:val="center"/>
          </w:tcPr>
          <w:p w14:paraId="49AF05C4">
            <w:pPr>
              <w:widowControl w:val="0"/>
              <w:snapToGrid w:val="0"/>
              <w:spacing w:line="300" w:lineRule="auto"/>
              <w:ind w:left="0" w:leftChars="0" w:firstLine="0" w:firstLineChars="0"/>
              <w:jc w:val="center"/>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耐磨漆地面</w:t>
            </w:r>
          </w:p>
        </w:tc>
        <w:tc>
          <w:tcPr>
            <w:tcW w:w="11044" w:type="dxa"/>
            <w:noWrap w:val="0"/>
            <w:vAlign w:val="center"/>
          </w:tcPr>
          <w:p w14:paraId="69310B6F">
            <w:pPr>
              <w:widowControl w:val="0"/>
              <w:snapToGrid w:val="0"/>
              <w:spacing w:line="300" w:lineRule="auto"/>
              <w:ind w:firstLine="210" w:firstLineChars="100"/>
              <w:jc w:val="both"/>
              <w:rPr>
                <w:rFonts w:hint="eastAsia" w:ascii="仿宋" w:hAnsi="仿宋" w:eastAsia="仿宋" w:cs="仿宋"/>
                <w:sz w:val="21"/>
                <w:szCs w:val="21"/>
                <w:highlight w:val="none"/>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w:t>
            </w:r>
            <w:r>
              <w:rPr>
                <w:rFonts w:hint="eastAsia" w:ascii="仿宋" w:hAnsi="仿宋" w:eastAsia="仿宋" w:cs="仿宋"/>
                <w:sz w:val="21"/>
                <w:szCs w:val="21"/>
                <w:highlight w:val="none"/>
              </w:rPr>
              <w:t>日常清洁：使用软质拖把或地板清洁机，配合清水和中性清洁剂进行清洁。避免使用酸性或碱性清洁剂，以免损坏地面表面。定期清理地面上的污渍和杂物，保持地面干净整洁。</w:t>
            </w:r>
          </w:p>
        </w:tc>
      </w:tr>
      <w:tr w14:paraId="1DE33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7" w:type="dxa"/>
            <w:vMerge w:val="continue"/>
            <w:noWrap w:val="0"/>
            <w:vAlign w:val="center"/>
          </w:tcPr>
          <w:p w14:paraId="00D49E6C">
            <w:pPr>
              <w:widowControl w:val="0"/>
              <w:snapToGrid w:val="0"/>
              <w:spacing w:line="300" w:lineRule="auto"/>
              <w:ind w:firstLine="420" w:firstLineChars="200"/>
              <w:jc w:val="center"/>
              <w:rPr>
                <w:rFonts w:hint="eastAsia" w:ascii="仿宋" w:hAnsi="仿宋" w:eastAsia="仿宋" w:cs="仿宋"/>
                <w:sz w:val="21"/>
                <w:szCs w:val="21"/>
                <w:highlight w:val="none"/>
                <w:vertAlign w:val="baseline"/>
                <w:lang w:val="en-US" w:eastAsia="zh-CN"/>
              </w:rPr>
            </w:pPr>
          </w:p>
        </w:tc>
        <w:tc>
          <w:tcPr>
            <w:tcW w:w="2477" w:type="dxa"/>
            <w:vMerge w:val="continue"/>
            <w:noWrap w:val="0"/>
            <w:vAlign w:val="center"/>
          </w:tcPr>
          <w:p w14:paraId="542F1984">
            <w:pPr>
              <w:widowControl w:val="0"/>
              <w:snapToGrid w:val="0"/>
              <w:spacing w:line="300" w:lineRule="auto"/>
              <w:ind w:firstLine="420" w:firstLineChars="200"/>
              <w:jc w:val="center"/>
              <w:rPr>
                <w:rFonts w:hint="eastAsia" w:ascii="仿宋" w:hAnsi="仿宋" w:eastAsia="仿宋" w:cs="仿宋"/>
                <w:sz w:val="21"/>
                <w:szCs w:val="21"/>
                <w:highlight w:val="none"/>
                <w:vertAlign w:val="baseline"/>
                <w:lang w:val="en-US" w:eastAsia="zh-CN"/>
              </w:rPr>
            </w:pPr>
          </w:p>
        </w:tc>
        <w:tc>
          <w:tcPr>
            <w:tcW w:w="11044" w:type="dxa"/>
            <w:noWrap w:val="0"/>
            <w:vAlign w:val="center"/>
          </w:tcPr>
          <w:p w14:paraId="554AEBF7">
            <w:pPr>
              <w:widowControl w:val="0"/>
              <w:snapToGrid w:val="0"/>
              <w:spacing w:line="300" w:lineRule="auto"/>
              <w:ind w:firstLine="210" w:firstLineChars="100"/>
              <w:jc w:val="both"/>
              <w:rPr>
                <w:rFonts w:hint="eastAsia" w:ascii="仿宋" w:hAnsi="仿宋" w:eastAsia="仿宋" w:cs="仿宋"/>
                <w:sz w:val="21"/>
                <w:szCs w:val="21"/>
                <w:highlight w:val="none"/>
                <w:vertAlign w:val="baseli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w:t>
            </w:r>
            <w:r>
              <w:rPr>
                <w:rFonts w:hint="eastAsia" w:ascii="仿宋" w:hAnsi="仿宋" w:eastAsia="仿宋" w:cs="仿宋"/>
                <w:sz w:val="21"/>
                <w:szCs w:val="21"/>
                <w:highlight w:val="none"/>
              </w:rPr>
              <w:t>打蜡：为了增加耐磨地面的光亮度和耐磨性，可以进行打蜡处理。使用适合聚氨酯地面的蜡进行均匀涂抹，待蜡干燥后使用抛光机或拖把清理地面，使其变得光滑而有光泽。</w:t>
            </w:r>
          </w:p>
        </w:tc>
      </w:tr>
      <w:tr w14:paraId="76539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7" w:type="dxa"/>
            <w:vMerge w:val="continue"/>
            <w:noWrap w:val="0"/>
            <w:vAlign w:val="center"/>
          </w:tcPr>
          <w:p w14:paraId="52E3D902">
            <w:pPr>
              <w:widowControl w:val="0"/>
              <w:snapToGrid w:val="0"/>
              <w:spacing w:line="300" w:lineRule="auto"/>
              <w:ind w:firstLine="420" w:firstLineChars="200"/>
              <w:jc w:val="center"/>
              <w:rPr>
                <w:rFonts w:hint="eastAsia" w:ascii="仿宋" w:hAnsi="仿宋" w:eastAsia="仿宋" w:cs="仿宋"/>
                <w:sz w:val="21"/>
                <w:szCs w:val="21"/>
                <w:highlight w:val="none"/>
                <w:vertAlign w:val="baseline"/>
                <w:lang w:val="en-US" w:eastAsia="zh-CN"/>
              </w:rPr>
            </w:pPr>
          </w:p>
        </w:tc>
        <w:tc>
          <w:tcPr>
            <w:tcW w:w="2477" w:type="dxa"/>
            <w:vMerge w:val="continue"/>
            <w:noWrap w:val="0"/>
            <w:vAlign w:val="center"/>
          </w:tcPr>
          <w:p w14:paraId="55CBF881">
            <w:pPr>
              <w:widowControl w:val="0"/>
              <w:snapToGrid w:val="0"/>
              <w:spacing w:line="300" w:lineRule="auto"/>
              <w:ind w:firstLine="420" w:firstLineChars="200"/>
              <w:jc w:val="center"/>
              <w:rPr>
                <w:rFonts w:hint="eastAsia" w:ascii="仿宋" w:hAnsi="仿宋" w:eastAsia="仿宋" w:cs="仿宋"/>
                <w:sz w:val="21"/>
                <w:szCs w:val="21"/>
                <w:highlight w:val="none"/>
                <w:vertAlign w:val="baseline"/>
                <w:lang w:val="en-US" w:eastAsia="zh-CN"/>
              </w:rPr>
            </w:pPr>
          </w:p>
        </w:tc>
        <w:tc>
          <w:tcPr>
            <w:tcW w:w="11044" w:type="dxa"/>
            <w:noWrap w:val="0"/>
            <w:vAlign w:val="center"/>
          </w:tcPr>
          <w:p w14:paraId="24877B81">
            <w:pPr>
              <w:widowControl w:val="0"/>
              <w:snapToGrid w:val="0"/>
              <w:spacing w:line="300" w:lineRule="auto"/>
              <w:ind w:firstLine="210" w:firstLineChars="100"/>
              <w:jc w:val="both"/>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（3）......</w:t>
            </w:r>
          </w:p>
        </w:tc>
      </w:tr>
      <w:tr w14:paraId="67E49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7" w:type="dxa"/>
            <w:vMerge w:val="restart"/>
            <w:noWrap w:val="0"/>
            <w:vAlign w:val="center"/>
          </w:tcPr>
          <w:p w14:paraId="04012542">
            <w:pPr>
              <w:widowControl w:val="0"/>
              <w:snapToGrid w:val="0"/>
              <w:spacing w:line="300" w:lineRule="auto"/>
              <w:ind w:left="0" w:leftChars="0" w:firstLine="0" w:firstLineChars="0"/>
              <w:jc w:val="center"/>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3</w:t>
            </w:r>
          </w:p>
        </w:tc>
        <w:tc>
          <w:tcPr>
            <w:tcW w:w="2477" w:type="dxa"/>
            <w:vMerge w:val="restart"/>
            <w:noWrap w:val="0"/>
            <w:vAlign w:val="center"/>
          </w:tcPr>
          <w:p w14:paraId="20D5CCE3">
            <w:pPr>
              <w:widowControl w:val="0"/>
              <w:snapToGrid w:val="0"/>
              <w:spacing w:line="300" w:lineRule="auto"/>
              <w:ind w:left="0" w:leftChars="0" w:firstLine="0" w:firstLineChars="0"/>
              <w:jc w:val="center"/>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瓷砖地面</w:t>
            </w:r>
          </w:p>
        </w:tc>
        <w:tc>
          <w:tcPr>
            <w:tcW w:w="11044" w:type="dxa"/>
            <w:noWrap w:val="0"/>
            <w:vAlign w:val="center"/>
          </w:tcPr>
          <w:p w14:paraId="31460953">
            <w:pPr>
              <w:widowControl w:val="0"/>
              <w:snapToGrid w:val="0"/>
              <w:spacing w:line="300" w:lineRule="auto"/>
              <w:ind w:firstLine="210" w:firstLineChars="100"/>
              <w:jc w:val="both"/>
              <w:rPr>
                <w:rFonts w:hint="eastAsia" w:ascii="仿宋" w:hAnsi="仿宋" w:eastAsia="仿宋" w:cs="仿宋"/>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w:t>
            </w:r>
            <w:r>
              <w:rPr>
                <w:rFonts w:hint="eastAsia" w:ascii="仿宋" w:hAnsi="仿宋" w:eastAsia="仿宋" w:cs="仿宋"/>
                <w:sz w:val="21"/>
                <w:szCs w:val="21"/>
                <w:highlight w:val="none"/>
              </w:rPr>
              <w:t>日常清洁：</w:t>
            </w:r>
            <w:r>
              <w:rPr>
                <w:rFonts w:hint="eastAsia" w:ascii="仿宋" w:hAnsi="仿宋" w:eastAsia="仿宋" w:cs="仿宋"/>
                <w:sz w:val="21"/>
                <w:szCs w:val="21"/>
                <w:highlight w:val="none"/>
                <w:lang w:val="en-US" w:eastAsia="zh-CN"/>
              </w:rPr>
              <w:t>推尘，保持地面干净无杂物。</w:t>
            </w:r>
          </w:p>
        </w:tc>
      </w:tr>
      <w:tr w14:paraId="54F60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7" w:type="dxa"/>
            <w:vMerge w:val="continue"/>
            <w:noWrap w:val="0"/>
            <w:vAlign w:val="center"/>
          </w:tcPr>
          <w:p w14:paraId="200D7E03">
            <w:pPr>
              <w:widowControl w:val="0"/>
              <w:snapToGrid w:val="0"/>
              <w:spacing w:line="300" w:lineRule="auto"/>
              <w:ind w:firstLine="420" w:firstLineChars="200"/>
              <w:jc w:val="center"/>
              <w:rPr>
                <w:rFonts w:hint="eastAsia" w:ascii="仿宋" w:hAnsi="仿宋" w:eastAsia="仿宋" w:cs="仿宋"/>
                <w:sz w:val="21"/>
                <w:szCs w:val="21"/>
                <w:highlight w:val="none"/>
                <w:vertAlign w:val="baseline"/>
                <w:lang w:val="en-US" w:eastAsia="zh-CN"/>
              </w:rPr>
            </w:pPr>
          </w:p>
        </w:tc>
        <w:tc>
          <w:tcPr>
            <w:tcW w:w="2477" w:type="dxa"/>
            <w:vMerge w:val="continue"/>
            <w:noWrap w:val="0"/>
            <w:vAlign w:val="center"/>
          </w:tcPr>
          <w:p w14:paraId="29FFE9FF">
            <w:pPr>
              <w:widowControl w:val="0"/>
              <w:snapToGrid w:val="0"/>
              <w:spacing w:line="300" w:lineRule="auto"/>
              <w:ind w:firstLine="420" w:firstLineChars="200"/>
              <w:jc w:val="center"/>
              <w:rPr>
                <w:rFonts w:hint="eastAsia" w:ascii="仿宋" w:hAnsi="仿宋" w:eastAsia="仿宋" w:cs="仿宋"/>
                <w:sz w:val="21"/>
                <w:szCs w:val="21"/>
                <w:highlight w:val="none"/>
                <w:vertAlign w:val="baseline"/>
                <w:lang w:val="en-US" w:eastAsia="zh-CN"/>
              </w:rPr>
            </w:pPr>
          </w:p>
        </w:tc>
        <w:tc>
          <w:tcPr>
            <w:tcW w:w="11044" w:type="dxa"/>
            <w:noWrap w:val="0"/>
            <w:vAlign w:val="center"/>
          </w:tcPr>
          <w:p w14:paraId="00353312">
            <w:pPr>
              <w:widowControl w:val="0"/>
              <w:snapToGrid w:val="0"/>
              <w:spacing w:line="300" w:lineRule="auto"/>
              <w:ind w:firstLine="210" w:firstLineChars="100"/>
              <w:jc w:val="both"/>
              <w:rPr>
                <w:rFonts w:hint="eastAsia" w:ascii="仿宋" w:hAnsi="仿宋" w:eastAsia="仿宋" w:cs="仿宋"/>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w:t>
            </w:r>
            <w:r>
              <w:rPr>
                <w:rFonts w:hint="eastAsia" w:ascii="仿宋" w:hAnsi="仿宋" w:eastAsia="仿宋" w:cs="仿宋"/>
                <w:sz w:val="21"/>
                <w:szCs w:val="21"/>
                <w:highlight w:val="none"/>
                <w:lang w:val="en-US" w:eastAsia="zh-CN"/>
              </w:rPr>
              <w:t>深度清洁：使用洗洁精或肥皂水清理。</w:t>
            </w:r>
          </w:p>
        </w:tc>
      </w:tr>
      <w:tr w14:paraId="65460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7" w:type="dxa"/>
            <w:vMerge w:val="continue"/>
            <w:noWrap w:val="0"/>
            <w:vAlign w:val="center"/>
          </w:tcPr>
          <w:p w14:paraId="0BDB5E3F">
            <w:pPr>
              <w:widowControl w:val="0"/>
              <w:snapToGrid w:val="0"/>
              <w:spacing w:line="300" w:lineRule="auto"/>
              <w:ind w:firstLine="420" w:firstLineChars="200"/>
              <w:jc w:val="center"/>
              <w:rPr>
                <w:rFonts w:hint="eastAsia" w:ascii="仿宋" w:hAnsi="仿宋" w:eastAsia="仿宋" w:cs="仿宋"/>
                <w:sz w:val="21"/>
                <w:szCs w:val="21"/>
                <w:highlight w:val="none"/>
                <w:vertAlign w:val="baseline"/>
                <w:lang w:val="en-US" w:eastAsia="zh-CN"/>
              </w:rPr>
            </w:pPr>
          </w:p>
        </w:tc>
        <w:tc>
          <w:tcPr>
            <w:tcW w:w="2477" w:type="dxa"/>
            <w:vMerge w:val="continue"/>
            <w:noWrap w:val="0"/>
            <w:vAlign w:val="center"/>
          </w:tcPr>
          <w:p w14:paraId="53615217">
            <w:pPr>
              <w:widowControl w:val="0"/>
              <w:snapToGrid w:val="0"/>
              <w:spacing w:line="300" w:lineRule="auto"/>
              <w:ind w:firstLine="420" w:firstLineChars="200"/>
              <w:jc w:val="center"/>
              <w:rPr>
                <w:rFonts w:hint="eastAsia" w:ascii="仿宋" w:hAnsi="仿宋" w:eastAsia="仿宋" w:cs="仿宋"/>
                <w:sz w:val="21"/>
                <w:szCs w:val="21"/>
                <w:highlight w:val="none"/>
                <w:vertAlign w:val="baseline"/>
                <w:lang w:val="en-US" w:eastAsia="zh-CN"/>
              </w:rPr>
            </w:pPr>
          </w:p>
        </w:tc>
        <w:tc>
          <w:tcPr>
            <w:tcW w:w="11044" w:type="dxa"/>
            <w:noWrap w:val="0"/>
            <w:vAlign w:val="center"/>
          </w:tcPr>
          <w:p w14:paraId="38FE8B27">
            <w:pPr>
              <w:widowControl w:val="0"/>
              <w:snapToGrid w:val="0"/>
              <w:spacing w:line="300" w:lineRule="auto"/>
              <w:ind w:firstLine="210" w:firstLineChars="100"/>
              <w:jc w:val="both"/>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（3）......</w:t>
            </w:r>
          </w:p>
        </w:tc>
      </w:tr>
      <w:tr w14:paraId="08A95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7" w:type="dxa"/>
            <w:vMerge w:val="restart"/>
            <w:noWrap w:val="0"/>
            <w:vAlign w:val="center"/>
          </w:tcPr>
          <w:p w14:paraId="104AF69D">
            <w:pPr>
              <w:widowControl w:val="0"/>
              <w:snapToGrid w:val="0"/>
              <w:spacing w:line="300" w:lineRule="auto"/>
              <w:ind w:left="0" w:leftChars="0" w:firstLine="0" w:firstLineChars="0"/>
              <w:jc w:val="center"/>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4</w:t>
            </w:r>
          </w:p>
        </w:tc>
        <w:tc>
          <w:tcPr>
            <w:tcW w:w="2477" w:type="dxa"/>
            <w:vMerge w:val="restart"/>
            <w:noWrap w:val="0"/>
            <w:vAlign w:val="center"/>
          </w:tcPr>
          <w:p w14:paraId="06A8A6ED">
            <w:pPr>
              <w:widowControl w:val="0"/>
              <w:snapToGrid w:val="0"/>
              <w:spacing w:line="300" w:lineRule="auto"/>
              <w:ind w:left="0" w:leftChars="0" w:firstLine="0" w:firstLineChars="0"/>
              <w:jc w:val="center"/>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石材地面</w:t>
            </w:r>
          </w:p>
        </w:tc>
        <w:tc>
          <w:tcPr>
            <w:tcW w:w="11044" w:type="dxa"/>
            <w:noWrap w:val="0"/>
            <w:vAlign w:val="center"/>
          </w:tcPr>
          <w:p w14:paraId="27CA2372">
            <w:pPr>
              <w:widowControl w:val="0"/>
              <w:snapToGrid w:val="0"/>
              <w:spacing w:line="300" w:lineRule="auto"/>
              <w:ind w:firstLine="210" w:firstLineChars="100"/>
              <w:jc w:val="both"/>
              <w:rPr>
                <w:rFonts w:hint="eastAsia" w:ascii="仿宋" w:hAnsi="仿宋" w:eastAsia="仿宋" w:cs="仿宋"/>
                <w:sz w:val="21"/>
                <w:szCs w:val="21"/>
                <w:highlight w:val="none"/>
                <w:vertAlign w:val="baseli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w:t>
            </w:r>
            <w:r>
              <w:rPr>
                <w:rFonts w:hint="eastAsia" w:ascii="仿宋" w:hAnsi="仿宋" w:eastAsia="仿宋" w:cs="仿宋"/>
                <w:sz w:val="21"/>
                <w:szCs w:val="21"/>
                <w:highlight w:val="none"/>
                <w:vertAlign w:val="baseline"/>
                <w:lang w:val="en-US" w:eastAsia="zh-CN"/>
              </w:rPr>
              <w:t>根据各区域的人流量及大理石的实际磨损程度制定大理石的晶面保养计划。</w:t>
            </w:r>
          </w:p>
        </w:tc>
      </w:tr>
      <w:tr w14:paraId="0DFB9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7" w:type="dxa"/>
            <w:vMerge w:val="continue"/>
            <w:noWrap w:val="0"/>
            <w:vAlign w:val="center"/>
          </w:tcPr>
          <w:p w14:paraId="62F836F2">
            <w:pPr>
              <w:widowControl w:val="0"/>
              <w:snapToGrid w:val="0"/>
              <w:spacing w:line="300" w:lineRule="auto"/>
              <w:ind w:firstLine="420" w:firstLineChars="200"/>
              <w:jc w:val="center"/>
              <w:rPr>
                <w:rFonts w:hint="eastAsia" w:ascii="仿宋" w:hAnsi="仿宋" w:eastAsia="仿宋" w:cs="仿宋"/>
                <w:sz w:val="21"/>
                <w:szCs w:val="21"/>
                <w:highlight w:val="none"/>
                <w:vertAlign w:val="baseline"/>
                <w:lang w:val="en-US" w:eastAsia="zh-CN"/>
              </w:rPr>
            </w:pPr>
          </w:p>
        </w:tc>
        <w:tc>
          <w:tcPr>
            <w:tcW w:w="2477" w:type="dxa"/>
            <w:vMerge w:val="continue"/>
            <w:noWrap w:val="0"/>
            <w:vAlign w:val="center"/>
          </w:tcPr>
          <w:p w14:paraId="61ADA692">
            <w:pPr>
              <w:widowControl w:val="0"/>
              <w:snapToGrid w:val="0"/>
              <w:spacing w:line="300" w:lineRule="auto"/>
              <w:ind w:firstLine="420" w:firstLineChars="200"/>
              <w:jc w:val="center"/>
              <w:rPr>
                <w:rFonts w:hint="eastAsia" w:ascii="仿宋" w:hAnsi="仿宋" w:eastAsia="仿宋" w:cs="仿宋"/>
                <w:sz w:val="21"/>
                <w:szCs w:val="21"/>
                <w:highlight w:val="none"/>
                <w:vertAlign w:val="baseline"/>
                <w:lang w:val="en-US" w:eastAsia="zh-CN"/>
              </w:rPr>
            </w:pPr>
          </w:p>
        </w:tc>
        <w:tc>
          <w:tcPr>
            <w:tcW w:w="11044" w:type="dxa"/>
            <w:noWrap w:val="0"/>
            <w:vAlign w:val="center"/>
          </w:tcPr>
          <w:p w14:paraId="4A24DF39">
            <w:pPr>
              <w:widowControl w:val="0"/>
              <w:snapToGrid w:val="0"/>
              <w:spacing w:line="300" w:lineRule="auto"/>
              <w:ind w:firstLine="210" w:firstLineChars="100"/>
              <w:jc w:val="both"/>
              <w:rPr>
                <w:rFonts w:hint="eastAsia" w:ascii="仿宋" w:hAnsi="仿宋" w:eastAsia="仿宋" w:cs="仿宋"/>
                <w:sz w:val="21"/>
                <w:szCs w:val="21"/>
                <w:highlight w:val="none"/>
                <w:vertAlign w:val="baseli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（2）启动晶面机，使用中性清洁剂清洁，避免使用强酸或强碱清洁剂，定期进行基础维护。</w:t>
            </w:r>
          </w:p>
        </w:tc>
      </w:tr>
      <w:tr w14:paraId="3E5A7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7" w:type="dxa"/>
            <w:vMerge w:val="continue"/>
            <w:noWrap w:val="0"/>
            <w:vAlign w:val="center"/>
          </w:tcPr>
          <w:p w14:paraId="6FEDFBAA">
            <w:pPr>
              <w:widowControl w:val="0"/>
              <w:snapToGrid w:val="0"/>
              <w:spacing w:line="300" w:lineRule="auto"/>
              <w:ind w:firstLine="420" w:firstLineChars="200"/>
              <w:jc w:val="center"/>
              <w:rPr>
                <w:rFonts w:hint="eastAsia" w:ascii="仿宋" w:hAnsi="仿宋" w:eastAsia="仿宋" w:cs="仿宋"/>
                <w:sz w:val="21"/>
                <w:szCs w:val="21"/>
                <w:highlight w:val="none"/>
                <w:vertAlign w:val="baseline"/>
                <w:lang w:val="en-US" w:eastAsia="zh-CN"/>
              </w:rPr>
            </w:pPr>
          </w:p>
        </w:tc>
        <w:tc>
          <w:tcPr>
            <w:tcW w:w="2477" w:type="dxa"/>
            <w:vMerge w:val="continue"/>
            <w:noWrap w:val="0"/>
            <w:vAlign w:val="center"/>
          </w:tcPr>
          <w:p w14:paraId="664D67DC">
            <w:pPr>
              <w:widowControl w:val="0"/>
              <w:snapToGrid w:val="0"/>
              <w:spacing w:line="300" w:lineRule="auto"/>
              <w:ind w:firstLine="420" w:firstLineChars="200"/>
              <w:jc w:val="center"/>
              <w:rPr>
                <w:rFonts w:hint="eastAsia" w:ascii="仿宋" w:hAnsi="仿宋" w:eastAsia="仿宋" w:cs="仿宋"/>
                <w:sz w:val="21"/>
                <w:szCs w:val="21"/>
                <w:highlight w:val="none"/>
                <w:vertAlign w:val="baseline"/>
                <w:lang w:val="en-US" w:eastAsia="zh-CN"/>
              </w:rPr>
            </w:pPr>
          </w:p>
        </w:tc>
        <w:tc>
          <w:tcPr>
            <w:tcW w:w="11044" w:type="dxa"/>
            <w:noWrap w:val="0"/>
            <w:vAlign w:val="center"/>
          </w:tcPr>
          <w:p w14:paraId="331F2B4D">
            <w:pPr>
              <w:widowControl w:val="0"/>
              <w:snapToGrid w:val="0"/>
              <w:spacing w:line="300" w:lineRule="auto"/>
              <w:ind w:firstLine="210" w:firstLineChars="100"/>
              <w:jc w:val="both"/>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（3）......</w:t>
            </w:r>
          </w:p>
        </w:tc>
      </w:tr>
      <w:tr w14:paraId="2D631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7" w:type="dxa"/>
            <w:vMerge w:val="restart"/>
            <w:noWrap w:val="0"/>
            <w:vAlign w:val="center"/>
          </w:tcPr>
          <w:p w14:paraId="628645C8">
            <w:pPr>
              <w:widowControl w:val="0"/>
              <w:snapToGrid w:val="0"/>
              <w:spacing w:line="300" w:lineRule="auto"/>
              <w:ind w:left="0" w:leftChars="0" w:firstLine="0" w:firstLineChars="0"/>
              <w:jc w:val="center"/>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5</w:t>
            </w:r>
          </w:p>
        </w:tc>
        <w:tc>
          <w:tcPr>
            <w:tcW w:w="2477" w:type="dxa"/>
            <w:vMerge w:val="restart"/>
            <w:noWrap w:val="0"/>
            <w:vAlign w:val="center"/>
          </w:tcPr>
          <w:p w14:paraId="79547FB4">
            <w:pPr>
              <w:widowControl w:val="0"/>
              <w:snapToGrid w:val="0"/>
              <w:spacing w:line="300" w:lineRule="auto"/>
              <w:ind w:left="0" w:leftChars="0" w:firstLine="0" w:firstLineChars="0"/>
              <w:jc w:val="center"/>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水磨石地面</w:t>
            </w:r>
          </w:p>
        </w:tc>
        <w:tc>
          <w:tcPr>
            <w:tcW w:w="11044" w:type="dxa"/>
            <w:noWrap w:val="0"/>
            <w:vAlign w:val="center"/>
          </w:tcPr>
          <w:p w14:paraId="0C480A40">
            <w:pPr>
              <w:widowControl w:val="0"/>
              <w:snapToGrid w:val="0"/>
              <w:spacing w:line="300" w:lineRule="auto"/>
              <w:ind w:firstLine="210" w:firstLineChars="100"/>
              <w:jc w:val="both"/>
              <w:rPr>
                <w:rFonts w:hint="eastAsia" w:ascii="仿宋" w:hAnsi="仿宋" w:eastAsia="仿宋" w:cs="仿宋"/>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w:t>
            </w:r>
            <w:r>
              <w:rPr>
                <w:rFonts w:hint="eastAsia" w:ascii="仿宋" w:hAnsi="仿宋" w:eastAsia="仿宋" w:cs="仿宋"/>
                <w:sz w:val="21"/>
                <w:szCs w:val="21"/>
                <w:highlight w:val="none"/>
              </w:rPr>
              <w:t>日常清洁：</w:t>
            </w:r>
            <w:r>
              <w:rPr>
                <w:rFonts w:hint="eastAsia" w:ascii="仿宋" w:hAnsi="仿宋" w:eastAsia="仿宋" w:cs="仿宋"/>
                <w:sz w:val="21"/>
                <w:szCs w:val="21"/>
                <w:highlight w:val="none"/>
                <w:lang w:val="en-US" w:eastAsia="zh-CN"/>
              </w:rPr>
              <w:t>推尘，保持地面干净无杂物。</w:t>
            </w:r>
          </w:p>
        </w:tc>
      </w:tr>
      <w:tr w14:paraId="795EB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7" w:type="dxa"/>
            <w:vMerge w:val="continue"/>
            <w:noWrap w:val="0"/>
            <w:vAlign w:val="center"/>
          </w:tcPr>
          <w:p w14:paraId="4F0EA798">
            <w:pPr>
              <w:widowControl w:val="0"/>
              <w:snapToGrid w:val="0"/>
              <w:spacing w:line="300" w:lineRule="auto"/>
              <w:ind w:firstLine="420" w:firstLineChars="200"/>
              <w:jc w:val="center"/>
              <w:rPr>
                <w:rFonts w:hint="eastAsia" w:ascii="仿宋" w:hAnsi="仿宋" w:eastAsia="仿宋" w:cs="仿宋"/>
                <w:sz w:val="21"/>
                <w:szCs w:val="21"/>
                <w:highlight w:val="none"/>
                <w:vertAlign w:val="baseline"/>
                <w:lang w:val="en-US" w:eastAsia="zh-CN"/>
              </w:rPr>
            </w:pPr>
          </w:p>
        </w:tc>
        <w:tc>
          <w:tcPr>
            <w:tcW w:w="2477" w:type="dxa"/>
            <w:vMerge w:val="continue"/>
            <w:noWrap w:val="0"/>
            <w:vAlign w:val="center"/>
          </w:tcPr>
          <w:p w14:paraId="355C81A1">
            <w:pPr>
              <w:widowControl w:val="0"/>
              <w:snapToGrid w:val="0"/>
              <w:spacing w:line="300" w:lineRule="auto"/>
              <w:ind w:firstLine="420" w:firstLineChars="200"/>
              <w:jc w:val="center"/>
              <w:rPr>
                <w:rFonts w:hint="eastAsia" w:ascii="仿宋" w:hAnsi="仿宋" w:eastAsia="仿宋" w:cs="仿宋"/>
                <w:sz w:val="21"/>
                <w:szCs w:val="21"/>
                <w:highlight w:val="none"/>
                <w:vertAlign w:val="baseline"/>
                <w:lang w:val="en-US" w:eastAsia="zh-CN"/>
              </w:rPr>
            </w:pPr>
          </w:p>
        </w:tc>
        <w:tc>
          <w:tcPr>
            <w:tcW w:w="11044" w:type="dxa"/>
            <w:noWrap w:val="0"/>
            <w:vAlign w:val="center"/>
          </w:tcPr>
          <w:p w14:paraId="79E2259D">
            <w:pPr>
              <w:widowControl w:val="0"/>
              <w:snapToGrid w:val="0"/>
              <w:spacing w:line="300" w:lineRule="auto"/>
              <w:ind w:firstLine="210" w:firstLineChars="100"/>
              <w:jc w:val="both"/>
              <w:rPr>
                <w:rFonts w:hint="eastAsia" w:ascii="仿宋" w:hAnsi="仿宋" w:eastAsia="仿宋" w:cs="仿宋"/>
                <w:sz w:val="21"/>
                <w:szCs w:val="21"/>
                <w:highlight w:val="none"/>
                <w:vertAlign w:val="baseli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w:t>
            </w:r>
            <w:r>
              <w:rPr>
                <w:rFonts w:hint="eastAsia" w:ascii="仿宋" w:hAnsi="仿宋" w:eastAsia="仿宋" w:cs="仿宋"/>
                <w:sz w:val="21"/>
                <w:szCs w:val="21"/>
                <w:highlight w:val="none"/>
                <w:lang w:val="en-US" w:eastAsia="zh-CN"/>
              </w:rPr>
              <w:t>深度清洁：使用洗洁精或肥皂水清理。</w:t>
            </w:r>
          </w:p>
        </w:tc>
      </w:tr>
      <w:tr w14:paraId="24748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7" w:type="dxa"/>
            <w:vMerge w:val="continue"/>
            <w:noWrap w:val="0"/>
            <w:vAlign w:val="center"/>
          </w:tcPr>
          <w:p w14:paraId="47212E94">
            <w:pPr>
              <w:widowControl w:val="0"/>
              <w:snapToGrid w:val="0"/>
              <w:spacing w:line="300" w:lineRule="auto"/>
              <w:ind w:firstLine="420" w:firstLineChars="200"/>
              <w:jc w:val="center"/>
              <w:rPr>
                <w:rFonts w:hint="eastAsia" w:ascii="仿宋" w:hAnsi="仿宋" w:eastAsia="仿宋" w:cs="仿宋"/>
                <w:sz w:val="21"/>
                <w:szCs w:val="21"/>
                <w:highlight w:val="none"/>
                <w:vertAlign w:val="baseline"/>
                <w:lang w:val="en-US" w:eastAsia="zh-CN"/>
              </w:rPr>
            </w:pPr>
          </w:p>
        </w:tc>
        <w:tc>
          <w:tcPr>
            <w:tcW w:w="2477" w:type="dxa"/>
            <w:vMerge w:val="continue"/>
            <w:noWrap w:val="0"/>
            <w:vAlign w:val="center"/>
          </w:tcPr>
          <w:p w14:paraId="084B3185">
            <w:pPr>
              <w:widowControl w:val="0"/>
              <w:snapToGrid w:val="0"/>
              <w:spacing w:line="300" w:lineRule="auto"/>
              <w:ind w:firstLine="420" w:firstLineChars="200"/>
              <w:jc w:val="center"/>
              <w:rPr>
                <w:rFonts w:hint="eastAsia" w:ascii="仿宋" w:hAnsi="仿宋" w:eastAsia="仿宋" w:cs="仿宋"/>
                <w:sz w:val="21"/>
                <w:szCs w:val="21"/>
                <w:highlight w:val="none"/>
                <w:vertAlign w:val="baseline"/>
                <w:lang w:val="en-US" w:eastAsia="zh-CN"/>
              </w:rPr>
            </w:pPr>
          </w:p>
        </w:tc>
        <w:tc>
          <w:tcPr>
            <w:tcW w:w="11044" w:type="dxa"/>
            <w:noWrap w:val="0"/>
            <w:vAlign w:val="center"/>
          </w:tcPr>
          <w:p w14:paraId="456EC387">
            <w:pPr>
              <w:widowControl w:val="0"/>
              <w:snapToGrid w:val="0"/>
              <w:spacing w:line="300" w:lineRule="auto"/>
              <w:ind w:firstLine="210" w:firstLineChars="100"/>
              <w:jc w:val="both"/>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（3）......</w:t>
            </w:r>
          </w:p>
        </w:tc>
      </w:tr>
      <w:tr w14:paraId="52F3F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7" w:type="dxa"/>
            <w:vMerge w:val="restart"/>
            <w:noWrap w:val="0"/>
            <w:vAlign w:val="center"/>
          </w:tcPr>
          <w:p w14:paraId="294E6148">
            <w:pPr>
              <w:widowControl w:val="0"/>
              <w:snapToGrid w:val="0"/>
              <w:spacing w:line="300" w:lineRule="auto"/>
              <w:ind w:left="0" w:leftChars="0" w:firstLine="0" w:firstLineChars="0"/>
              <w:jc w:val="center"/>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6</w:t>
            </w:r>
          </w:p>
        </w:tc>
        <w:tc>
          <w:tcPr>
            <w:tcW w:w="2477" w:type="dxa"/>
            <w:vMerge w:val="restart"/>
            <w:noWrap w:val="0"/>
            <w:vAlign w:val="center"/>
          </w:tcPr>
          <w:p w14:paraId="1FF8419F">
            <w:pPr>
              <w:widowControl w:val="0"/>
              <w:snapToGrid w:val="0"/>
              <w:spacing w:line="300" w:lineRule="auto"/>
              <w:ind w:left="0" w:leftChars="0" w:firstLine="0" w:firstLineChars="0"/>
              <w:jc w:val="center"/>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地胶板地面</w:t>
            </w:r>
          </w:p>
        </w:tc>
        <w:tc>
          <w:tcPr>
            <w:tcW w:w="11044" w:type="dxa"/>
            <w:noWrap w:val="0"/>
            <w:vAlign w:val="center"/>
          </w:tcPr>
          <w:p w14:paraId="114B8ED9">
            <w:pPr>
              <w:widowControl w:val="0"/>
              <w:snapToGrid w:val="0"/>
              <w:spacing w:line="300" w:lineRule="auto"/>
              <w:ind w:firstLine="210" w:firstLineChars="100"/>
              <w:jc w:val="both"/>
              <w:rPr>
                <w:rFonts w:hint="eastAsia" w:ascii="仿宋" w:hAnsi="仿宋" w:eastAsia="仿宋" w:cs="仿宋"/>
                <w:sz w:val="21"/>
                <w:szCs w:val="21"/>
                <w:highlight w:val="none"/>
                <w:vertAlign w:val="baseli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w:t>
            </w:r>
            <w:r>
              <w:rPr>
                <w:rFonts w:hint="eastAsia" w:ascii="仿宋" w:hAnsi="仿宋" w:eastAsia="仿宋" w:cs="仿宋"/>
                <w:sz w:val="21"/>
                <w:szCs w:val="21"/>
                <w:highlight w:val="none"/>
                <w:vertAlign w:val="baseline"/>
                <w:lang w:val="en-US" w:eastAsia="zh-CN"/>
              </w:rPr>
              <w:t>定期保养。使用中性清洁剂清洁，避免使用强酸或强碱清洁剂，定期进行基础维护。</w:t>
            </w:r>
          </w:p>
        </w:tc>
      </w:tr>
      <w:tr w14:paraId="43C16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7" w:type="dxa"/>
            <w:vMerge w:val="continue"/>
            <w:noWrap w:val="0"/>
            <w:vAlign w:val="center"/>
          </w:tcPr>
          <w:p w14:paraId="523133B4">
            <w:pPr>
              <w:widowControl w:val="0"/>
              <w:snapToGrid w:val="0"/>
              <w:spacing w:line="300" w:lineRule="auto"/>
              <w:ind w:firstLine="420" w:firstLineChars="200"/>
              <w:jc w:val="center"/>
              <w:rPr>
                <w:rFonts w:hint="eastAsia" w:ascii="仿宋" w:hAnsi="仿宋" w:eastAsia="仿宋" w:cs="仿宋"/>
                <w:sz w:val="21"/>
                <w:szCs w:val="21"/>
                <w:highlight w:val="none"/>
                <w:vertAlign w:val="baseline"/>
                <w:lang w:val="en-US" w:eastAsia="zh-CN"/>
              </w:rPr>
            </w:pPr>
          </w:p>
        </w:tc>
        <w:tc>
          <w:tcPr>
            <w:tcW w:w="2477" w:type="dxa"/>
            <w:vMerge w:val="continue"/>
            <w:noWrap w:val="0"/>
            <w:vAlign w:val="center"/>
          </w:tcPr>
          <w:p w14:paraId="7F1DC252">
            <w:pPr>
              <w:widowControl w:val="0"/>
              <w:snapToGrid w:val="0"/>
              <w:spacing w:line="300" w:lineRule="auto"/>
              <w:ind w:firstLine="420" w:firstLineChars="200"/>
              <w:jc w:val="center"/>
              <w:rPr>
                <w:rFonts w:hint="eastAsia" w:ascii="仿宋" w:hAnsi="仿宋" w:eastAsia="仿宋" w:cs="仿宋"/>
                <w:sz w:val="21"/>
                <w:szCs w:val="21"/>
                <w:highlight w:val="none"/>
                <w:vertAlign w:val="baseline"/>
                <w:lang w:val="en-US" w:eastAsia="zh-CN"/>
              </w:rPr>
            </w:pPr>
          </w:p>
        </w:tc>
        <w:tc>
          <w:tcPr>
            <w:tcW w:w="11044" w:type="dxa"/>
            <w:noWrap w:val="0"/>
            <w:vAlign w:val="center"/>
          </w:tcPr>
          <w:p w14:paraId="79CF64F9">
            <w:pPr>
              <w:widowControl w:val="0"/>
              <w:snapToGrid w:val="0"/>
              <w:spacing w:line="300" w:lineRule="auto"/>
              <w:ind w:firstLine="210" w:firstLineChars="100"/>
              <w:jc w:val="both"/>
              <w:rPr>
                <w:rFonts w:hint="eastAsia" w:ascii="仿宋" w:hAnsi="仿宋" w:eastAsia="仿宋" w:cs="仿宋"/>
                <w:sz w:val="21"/>
                <w:szCs w:val="21"/>
                <w:highlight w:val="none"/>
                <w:vertAlign w:val="baseli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w:t>
            </w:r>
            <w:r>
              <w:rPr>
                <w:rFonts w:hint="eastAsia" w:ascii="仿宋" w:hAnsi="仿宋" w:eastAsia="仿宋" w:cs="仿宋"/>
                <w:sz w:val="21"/>
                <w:szCs w:val="21"/>
                <w:highlight w:val="none"/>
                <w:vertAlign w:val="baseline"/>
                <w:lang w:val="en-US" w:eastAsia="zh-CN"/>
              </w:rPr>
              <w:t>日常维护。使用湿润的拖把清洁，污染严重时局部清洁，每月对地胶板地面进行打蜡处理。</w:t>
            </w:r>
          </w:p>
        </w:tc>
      </w:tr>
      <w:tr w14:paraId="65A37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7" w:type="dxa"/>
            <w:vMerge w:val="continue"/>
            <w:noWrap w:val="0"/>
            <w:vAlign w:val="center"/>
          </w:tcPr>
          <w:p w14:paraId="5580BA3D">
            <w:pPr>
              <w:widowControl w:val="0"/>
              <w:snapToGrid w:val="0"/>
              <w:spacing w:line="300" w:lineRule="auto"/>
              <w:ind w:firstLine="420" w:firstLineChars="200"/>
              <w:jc w:val="center"/>
              <w:rPr>
                <w:rFonts w:hint="eastAsia" w:ascii="仿宋" w:hAnsi="仿宋" w:eastAsia="仿宋" w:cs="仿宋"/>
                <w:sz w:val="21"/>
                <w:szCs w:val="21"/>
                <w:highlight w:val="none"/>
                <w:vertAlign w:val="baseline"/>
                <w:lang w:val="en-US" w:eastAsia="zh-CN"/>
              </w:rPr>
            </w:pPr>
          </w:p>
        </w:tc>
        <w:tc>
          <w:tcPr>
            <w:tcW w:w="2477" w:type="dxa"/>
            <w:vMerge w:val="continue"/>
            <w:noWrap w:val="0"/>
            <w:vAlign w:val="center"/>
          </w:tcPr>
          <w:p w14:paraId="58E00C81">
            <w:pPr>
              <w:widowControl w:val="0"/>
              <w:snapToGrid w:val="0"/>
              <w:spacing w:line="300" w:lineRule="auto"/>
              <w:ind w:firstLine="420" w:firstLineChars="200"/>
              <w:jc w:val="center"/>
              <w:rPr>
                <w:rFonts w:hint="eastAsia" w:ascii="仿宋" w:hAnsi="仿宋" w:eastAsia="仿宋" w:cs="仿宋"/>
                <w:sz w:val="21"/>
                <w:szCs w:val="21"/>
                <w:highlight w:val="none"/>
                <w:vertAlign w:val="baseline"/>
                <w:lang w:val="en-US" w:eastAsia="zh-CN"/>
              </w:rPr>
            </w:pPr>
          </w:p>
        </w:tc>
        <w:tc>
          <w:tcPr>
            <w:tcW w:w="11044" w:type="dxa"/>
            <w:noWrap w:val="0"/>
            <w:vAlign w:val="center"/>
          </w:tcPr>
          <w:p w14:paraId="72F4D249">
            <w:pPr>
              <w:widowControl w:val="0"/>
              <w:snapToGrid w:val="0"/>
              <w:spacing w:line="300" w:lineRule="auto"/>
              <w:ind w:firstLine="210" w:firstLineChars="100"/>
              <w:jc w:val="both"/>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（3）......</w:t>
            </w:r>
          </w:p>
        </w:tc>
      </w:tr>
      <w:tr w14:paraId="6E063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7" w:type="dxa"/>
            <w:vMerge w:val="restart"/>
            <w:noWrap w:val="0"/>
            <w:vAlign w:val="center"/>
          </w:tcPr>
          <w:p w14:paraId="7074B552">
            <w:pPr>
              <w:widowControl w:val="0"/>
              <w:snapToGrid w:val="0"/>
              <w:spacing w:line="300" w:lineRule="auto"/>
              <w:ind w:left="0" w:leftChars="0" w:firstLine="0" w:firstLineChars="0"/>
              <w:jc w:val="center"/>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7</w:t>
            </w:r>
          </w:p>
        </w:tc>
        <w:tc>
          <w:tcPr>
            <w:tcW w:w="2477" w:type="dxa"/>
            <w:vMerge w:val="restart"/>
            <w:noWrap w:val="0"/>
            <w:vAlign w:val="center"/>
          </w:tcPr>
          <w:p w14:paraId="7D7ACAEB">
            <w:pPr>
              <w:widowControl w:val="0"/>
              <w:snapToGrid w:val="0"/>
              <w:spacing w:line="300" w:lineRule="auto"/>
              <w:ind w:left="0" w:leftChars="0" w:firstLine="0" w:firstLineChars="0"/>
              <w:jc w:val="center"/>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地板地面</w:t>
            </w:r>
          </w:p>
        </w:tc>
        <w:tc>
          <w:tcPr>
            <w:tcW w:w="11044" w:type="dxa"/>
            <w:noWrap w:val="0"/>
            <w:vAlign w:val="center"/>
          </w:tcPr>
          <w:p w14:paraId="02002A88">
            <w:pPr>
              <w:widowControl w:val="0"/>
              <w:snapToGrid w:val="0"/>
              <w:spacing w:line="300" w:lineRule="auto"/>
              <w:ind w:firstLine="210" w:firstLineChars="100"/>
              <w:jc w:val="both"/>
              <w:rPr>
                <w:rFonts w:hint="eastAsia" w:ascii="仿宋" w:hAnsi="仿宋" w:eastAsia="仿宋" w:cs="仿宋"/>
                <w:sz w:val="21"/>
                <w:szCs w:val="21"/>
                <w:highlight w:val="none"/>
                <w:vertAlign w:val="baseli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w:t>
            </w:r>
            <w:r>
              <w:rPr>
                <w:rFonts w:hint="eastAsia" w:ascii="仿宋" w:hAnsi="仿宋" w:eastAsia="仿宋" w:cs="仿宋"/>
                <w:sz w:val="21"/>
                <w:szCs w:val="21"/>
                <w:highlight w:val="none"/>
                <w:vertAlign w:val="baseline"/>
                <w:lang w:val="en-US" w:eastAsia="zh-CN"/>
              </w:rPr>
              <w:t>定期保养。使用中性清洁剂清洁，避免使用强酸或强碱清洁剂，定期进行基础维护。</w:t>
            </w:r>
          </w:p>
        </w:tc>
      </w:tr>
      <w:tr w14:paraId="65675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7" w:type="dxa"/>
            <w:vMerge w:val="continue"/>
            <w:noWrap w:val="0"/>
            <w:vAlign w:val="center"/>
          </w:tcPr>
          <w:p w14:paraId="2380649B">
            <w:pPr>
              <w:widowControl w:val="0"/>
              <w:snapToGrid w:val="0"/>
              <w:spacing w:line="300" w:lineRule="auto"/>
              <w:ind w:firstLine="420" w:firstLineChars="200"/>
              <w:jc w:val="center"/>
              <w:rPr>
                <w:rFonts w:hint="eastAsia" w:ascii="仿宋" w:hAnsi="仿宋" w:eastAsia="仿宋" w:cs="仿宋"/>
                <w:sz w:val="21"/>
                <w:szCs w:val="21"/>
                <w:highlight w:val="none"/>
                <w:vertAlign w:val="baseline"/>
                <w:lang w:val="en-US" w:eastAsia="zh-CN"/>
              </w:rPr>
            </w:pPr>
          </w:p>
        </w:tc>
        <w:tc>
          <w:tcPr>
            <w:tcW w:w="2477" w:type="dxa"/>
            <w:vMerge w:val="continue"/>
            <w:noWrap w:val="0"/>
            <w:vAlign w:val="center"/>
          </w:tcPr>
          <w:p w14:paraId="5C1F95D8">
            <w:pPr>
              <w:widowControl w:val="0"/>
              <w:snapToGrid w:val="0"/>
              <w:spacing w:line="300" w:lineRule="auto"/>
              <w:ind w:firstLine="420" w:firstLineChars="200"/>
              <w:jc w:val="center"/>
              <w:rPr>
                <w:rFonts w:hint="eastAsia" w:ascii="仿宋" w:hAnsi="仿宋" w:eastAsia="仿宋" w:cs="仿宋"/>
                <w:sz w:val="21"/>
                <w:szCs w:val="21"/>
                <w:highlight w:val="none"/>
                <w:vertAlign w:val="baseline"/>
                <w:lang w:val="en-US" w:eastAsia="zh-CN"/>
              </w:rPr>
            </w:pPr>
          </w:p>
        </w:tc>
        <w:tc>
          <w:tcPr>
            <w:tcW w:w="11044" w:type="dxa"/>
            <w:noWrap w:val="0"/>
            <w:vAlign w:val="center"/>
          </w:tcPr>
          <w:p w14:paraId="2901DC56">
            <w:pPr>
              <w:widowControl w:val="0"/>
              <w:snapToGrid w:val="0"/>
              <w:spacing w:line="300" w:lineRule="auto"/>
              <w:ind w:firstLine="210" w:firstLineChars="100"/>
              <w:jc w:val="both"/>
              <w:rPr>
                <w:rFonts w:hint="eastAsia" w:ascii="仿宋" w:hAnsi="仿宋" w:eastAsia="仿宋" w:cs="仿宋"/>
                <w:sz w:val="21"/>
                <w:szCs w:val="21"/>
                <w:highlight w:val="none"/>
                <w:vertAlign w:val="baseli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w:t>
            </w:r>
            <w:r>
              <w:rPr>
                <w:rFonts w:hint="eastAsia" w:ascii="仿宋" w:hAnsi="仿宋" w:eastAsia="仿宋" w:cs="仿宋"/>
                <w:sz w:val="21"/>
                <w:szCs w:val="21"/>
                <w:highlight w:val="none"/>
                <w:vertAlign w:val="baseline"/>
                <w:lang w:val="en-US" w:eastAsia="zh-CN"/>
              </w:rPr>
              <w:t>日常维护。使用湿润的拖把清洁，污染严重时局部清洁，每月对地板进行打蜡处理。</w:t>
            </w:r>
          </w:p>
        </w:tc>
      </w:tr>
      <w:tr w14:paraId="43458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7" w:type="dxa"/>
            <w:vMerge w:val="continue"/>
            <w:noWrap w:val="0"/>
            <w:vAlign w:val="center"/>
          </w:tcPr>
          <w:p w14:paraId="0A9FAA4C">
            <w:pPr>
              <w:widowControl w:val="0"/>
              <w:snapToGrid w:val="0"/>
              <w:spacing w:line="300" w:lineRule="auto"/>
              <w:ind w:firstLine="420" w:firstLineChars="200"/>
              <w:jc w:val="center"/>
              <w:rPr>
                <w:rFonts w:hint="eastAsia" w:ascii="仿宋" w:hAnsi="仿宋" w:eastAsia="仿宋" w:cs="仿宋"/>
                <w:sz w:val="21"/>
                <w:szCs w:val="21"/>
                <w:highlight w:val="none"/>
                <w:vertAlign w:val="baseline"/>
                <w:lang w:val="en-US" w:eastAsia="zh-CN"/>
              </w:rPr>
            </w:pPr>
          </w:p>
        </w:tc>
        <w:tc>
          <w:tcPr>
            <w:tcW w:w="2477" w:type="dxa"/>
            <w:vMerge w:val="continue"/>
            <w:noWrap w:val="0"/>
            <w:vAlign w:val="center"/>
          </w:tcPr>
          <w:p w14:paraId="4EEFE783">
            <w:pPr>
              <w:widowControl w:val="0"/>
              <w:snapToGrid w:val="0"/>
              <w:spacing w:line="300" w:lineRule="auto"/>
              <w:ind w:firstLine="420" w:firstLineChars="200"/>
              <w:jc w:val="center"/>
              <w:rPr>
                <w:rFonts w:hint="eastAsia" w:ascii="仿宋" w:hAnsi="仿宋" w:eastAsia="仿宋" w:cs="仿宋"/>
                <w:sz w:val="21"/>
                <w:szCs w:val="21"/>
                <w:highlight w:val="none"/>
                <w:vertAlign w:val="baseline"/>
                <w:lang w:val="en-US" w:eastAsia="zh-CN"/>
              </w:rPr>
            </w:pPr>
          </w:p>
        </w:tc>
        <w:tc>
          <w:tcPr>
            <w:tcW w:w="11044" w:type="dxa"/>
            <w:noWrap w:val="0"/>
            <w:vAlign w:val="center"/>
          </w:tcPr>
          <w:p w14:paraId="4715EDA4">
            <w:pPr>
              <w:widowControl w:val="0"/>
              <w:snapToGrid w:val="0"/>
              <w:spacing w:line="300" w:lineRule="auto"/>
              <w:ind w:firstLine="210" w:firstLineChars="100"/>
              <w:jc w:val="both"/>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（3）......</w:t>
            </w:r>
          </w:p>
        </w:tc>
      </w:tr>
      <w:tr w14:paraId="0DB16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7" w:type="dxa"/>
            <w:vMerge w:val="restart"/>
            <w:noWrap w:val="0"/>
            <w:vAlign w:val="center"/>
          </w:tcPr>
          <w:p w14:paraId="43604C04">
            <w:pPr>
              <w:widowControl w:val="0"/>
              <w:snapToGrid w:val="0"/>
              <w:spacing w:line="300" w:lineRule="auto"/>
              <w:ind w:left="0" w:leftChars="0" w:firstLine="0" w:firstLineChars="0"/>
              <w:jc w:val="center"/>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8</w:t>
            </w:r>
          </w:p>
        </w:tc>
        <w:tc>
          <w:tcPr>
            <w:tcW w:w="2477" w:type="dxa"/>
            <w:vMerge w:val="restart"/>
            <w:noWrap w:val="0"/>
            <w:vAlign w:val="center"/>
          </w:tcPr>
          <w:p w14:paraId="57B6B0C1">
            <w:pPr>
              <w:widowControl w:val="0"/>
              <w:snapToGrid w:val="0"/>
              <w:spacing w:line="300" w:lineRule="auto"/>
              <w:ind w:left="0" w:leftChars="0" w:firstLine="0" w:firstLineChars="0"/>
              <w:jc w:val="center"/>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地毯地面</w:t>
            </w:r>
          </w:p>
        </w:tc>
        <w:tc>
          <w:tcPr>
            <w:tcW w:w="11044" w:type="dxa"/>
            <w:noWrap w:val="0"/>
            <w:vAlign w:val="center"/>
          </w:tcPr>
          <w:p w14:paraId="42FA7683">
            <w:pPr>
              <w:widowControl w:val="0"/>
              <w:snapToGrid w:val="0"/>
              <w:spacing w:line="300" w:lineRule="auto"/>
              <w:ind w:firstLine="210" w:firstLineChars="100"/>
              <w:jc w:val="both"/>
              <w:rPr>
                <w:rFonts w:hint="eastAsia" w:ascii="仿宋" w:hAnsi="仿宋" w:eastAsia="仿宋" w:cs="仿宋"/>
                <w:sz w:val="21"/>
                <w:szCs w:val="21"/>
                <w:highlight w:val="none"/>
                <w:vertAlign w:val="baseli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w:t>
            </w:r>
            <w:r>
              <w:rPr>
                <w:rFonts w:hint="eastAsia" w:ascii="仿宋" w:hAnsi="仿宋" w:eastAsia="仿宋" w:cs="仿宋"/>
                <w:sz w:val="21"/>
                <w:szCs w:val="21"/>
                <w:highlight w:val="none"/>
                <w:vertAlign w:val="baseline"/>
                <w:lang w:val="en-US" w:eastAsia="zh-CN"/>
              </w:rPr>
              <w:t>日常用吸尘机除尘，局部脏污用湿布配中性清洁液重点清洁。</w:t>
            </w:r>
          </w:p>
        </w:tc>
      </w:tr>
      <w:tr w14:paraId="2DE51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7" w:type="dxa"/>
            <w:vMerge w:val="continue"/>
            <w:noWrap w:val="0"/>
            <w:vAlign w:val="center"/>
          </w:tcPr>
          <w:p w14:paraId="32FC78E1">
            <w:pPr>
              <w:widowControl w:val="0"/>
              <w:snapToGrid w:val="0"/>
              <w:spacing w:line="300" w:lineRule="auto"/>
              <w:ind w:firstLine="420" w:firstLineChars="200"/>
              <w:jc w:val="center"/>
              <w:rPr>
                <w:rFonts w:hint="eastAsia" w:ascii="仿宋" w:hAnsi="仿宋" w:eastAsia="仿宋" w:cs="仿宋"/>
                <w:sz w:val="21"/>
                <w:szCs w:val="21"/>
                <w:highlight w:val="none"/>
                <w:vertAlign w:val="baseline"/>
                <w:lang w:val="en-US" w:eastAsia="zh-CN"/>
              </w:rPr>
            </w:pPr>
          </w:p>
        </w:tc>
        <w:tc>
          <w:tcPr>
            <w:tcW w:w="2477" w:type="dxa"/>
            <w:vMerge w:val="continue"/>
            <w:noWrap w:val="0"/>
            <w:vAlign w:val="center"/>
          </w:tcPr>
          <w:p w14:paraId="14298EB1">
            <w:pPr>
              <w:widowControl w:val="0"/>
              <w:snapToGrid w:val="0"/>
              <w:spacing w:line="300" w:lineRule="auto"/>
              <w:ind w:firstLine="420" w:firstLineChars="200"/>
              <w:jc w:val="center"/>
              <w:rPr>
                <w:rFonts w:hint="eastAsia" w:ascii="仿宋" w:hAnsi="仿宋" w:eastAsia="仿宋" w:cs="仿宋"/>
                <w:sz w:val="21"/>
                <w:szCs w:val="21"/>
                <w:highlight w:val="none"/>
                <w:vertAlign w:val="baseline"/>
                <w:lang w:val="en-US" w:eastAsia="zh-CN"/>
              </w:rPr>
            </w:pPr>
          </w:p>
        </w:tc>
        <w:tc>
          <w:tcPr>
            <w:tcW w:w="11044" w:type="dxa"/>
            <w:noWrap w:val="0"/>
            <w:vAlign w:val="center"/>
          </w:tcPr>
          <w:p w14:paraId="59FCC5DA">
            <w:pPr>
              <w:widowControl w:val="0"/>
              <w:snapToGrid w:val="0"/>
              <w:spacing w:line="300" w:lineRule="auto"/>
              <w:ind w:firstLine="210" w:firstLineChars="100"/>
              <w:jc w:val="both"/>
              <w:rPr>
                <w:rFonts w:hint="eastAsia" w:ascii="仿宋" w:hAnsi="仿宋" w:eastAsia="仿宋" w:cs="仿宋"/>
                <w:sz w:val="21"/>
                <w:szCs w:val="21"/>
                <w:highlight w:val="none"/>
                <w:vertAlign w:val="baseli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w:t>
            </w:r>
            <w:r>
              <w:rPr>
                <w:rFonts w:hint="eastAsia" w:ascii="仿宋" w:hAnsi="仿宋" w:eastAsia="仿宋" w:cs="仿宋"/>
                <w:sz w:val="21"/>
                <w:szCs w:val="21"/>
                <w:highlight w:val="none"/>
                <w:vertAlign w:val="baseline"/>
                <w:lang w:val="en-US" w:eastAsia="zh-CN"/>
              </w:rPr>
              <w:t>用地毯清洗机进行整体清洗，除螨。</w:t>
            </w:r>
          </w:p>
        </w:tc>
      </w:tr>
      <w:tr w14:paraId="2A039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7" w:type="dxa"/>
            <w:vMerge w:val="continue"/>
            <w:noWrap w:val="0"/>
            <w:vAlign w:val="center"/>
          </w:tcPr>
          <w:p w14:paraId="177C1914">
            <w:pPr>
              <w:widowControl w:val="0"/>
              <w:snapToGrid w:val="0"/>
              <w:spacing w:line="300" w:lineRule="auto"/>
              <w:ind w:firstLine="420" w:firstLineChars="200"/>
              <w:jc w:val="center"/>
              <w:rPr>
                <w:rFonts w:hint="eastAsia" w:ascii="仿宋" w:hAnsi="仿宋" w:eastAsia="仿宋" w:cs="仿宋"/>
                <w:sz w:val="21"/>
                <w:szCs w:val="21"/>
                <w:highlight w:val="none"/>
                <w:vertAlign w:val="baseline"/>
                <w:lang w:val="en-US" w:eastAsia="zh-CN"/>
              </w:rPr>
            </w:pPr>
          </w:p>
        </w:tc>
        <w:tc>
          <w:tcPr>
            <w:tcW w:w="2477" w:type="dxa"/>
            <w:vMerge w:val="continue"/>
            <w:noWrap w:val="0"/>
            <w:vAlign w:val="center"/>
          </w:tcPr>
          <w:p w14:paraId="3DE9AAB7">
            <w:pPr>
              <w:widowControl w:val="0"/>
              <w:snapToGrid w:val="0"/>
              <w:spacing w:line="300" w:lineRule="auto"/>
              <w:ind w:firstLine="420" w:firstLineChars="200"/>
              <w:jc w:val="center"/>
              <w:rPr>
                <w:rFonts w:hint="eastAsia" w:ascii="仿宋" w:hAnsi="仿宋" w:eastAsia="仿宋" w:cs="仿宋"/>
                <w:sz w:val="21"/>
                <w:szCs w:val="21"/>
                <w:highlight w:val="none"/>
                <w:vertAlign w:val="baseline"/>
                <w:lang w:val="en-US" w:eastAsia="zh-CN"/>
              </w:rPr>
            </w:pPr>
          </w:p>
        </w:tc>
        <w:tc>
          <w:tcPr>
            <w:tcW w:w="11044" w:type="dxa"/>
            <w:noWrap w:val="0"/>
            <w:vAlign w:val="center"/>
          </w:tcPr>
          <w:p w14:paraId="04FBC4C9">
            <w:pPr>
              <w:widowControl w:val="0"/>
              <w:snapToGrid w:val="0"/>
              <w:spacing w:line="300" w:lineRule="auto"/>
              <w:ind w:firstLine="210" w:firstLineChars="100"/>
              <w:jc w:val="both"/>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（3）......</w:t>
            </w:r>
          </w:p>
        </w:tc>
      </w:tr>
      <w:tr w14:paraId="782E8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7" w:type="dxa"/>
            <w:noWrap w:val="0"/>
            <w:vAlign w:val="center"/>
          </w:tcPr>
          <w:p w14:paraId="0A273BF1">
            <w:pPr>
              <w:widowControl w:val="0"/>
              <w:snapToGrid w:val="0"/>
              <w:spacing w:line="300" w:lineRule="auto"/>
              <w:ind w:left="0" w:leftChars="0" w:firstLine="0" w:firstLineChars="0"/>
              <w:jc w:val="center"/>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9</w:t>
            </w:r>
          </w:p>
        </w:tc>
        <w:tc>
          <w:tcPr>
            <w:tcW w:w="2477" w:type="dxa"/>
            <w:noWrap w:val="0"/>
            <w:vAlign w:val="center"/>
          </w:tcPr>
          <w:p w14:paraId="190A2E22">
            <w:pPr>
              <w:widowControl w:val="0"/>
              <w:snapToGrid w:val="0"/>
              <w:spacing w:line="300" w:lineRule="auto"/>
              <w:ind w:left="0" w:leftChars="0" w:firstLine="0" w:firstLineChars="0"/>
              <w:jc w:val="center"/>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乳胶漆内墙</w:t>
            </w:r>
          </w:p>
        </w:tc>
        <w:tc>
          <w:tcPr>
            <w:tcW w:w="11044" w:type="dxa"/>
            <w:noWrap w:val="0"/>
            <w:vAlign w:val="center"/>
          </w:tcPr>
          <w:p w14:paraId="5959E2BB">
            <w:pPr>
              <w:widowControl w:val="0"/>
              <w:snapToGrid w:val="0"/>
              <w:spacing w:line="300" w:lineRule="auto"/>
              <w:ind w:firstLine="210" w:firstLineChars="100"/>
              <w:jc w:val="both"/>
              <w:rPr>
                <w:rFonts w:hint="eastAsia" w:ascii="仿宋" w:hAnsi="仿宋" w:eastAsia="仿宋" w:cs="仿宋"/>
                <w:sz w:val="21"/>
                <w:szCs w:val="21"/>
                <w:highlight w:val="none"/>
                <w:vertAlign w:val="baseli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sz w:val="21"/>
                <w:szCs w:val="21"/>
                <w:highlight w:val="none"/>
                <w:vertAlign w:val="baseline"/>
                <w:lang w:val="en-US" w:eastAsia="zh-CN"/>
              </w:rPr>
              <w:t>有污渍时用半干布擦拭。</w:t>
            </w:r>
          </w:p>
        </w:tc>
      </w:tr>
      <w:tr w14:paraId="1E6DE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7" w:type="dxa"/>
            <w:noWrap w:val="0"/>
            <w:vAlign w:val="center"/>
          </w:tcPr>
          <w:p w14:paraId="6DF8D4E7">
            <w:pPr>
              <w:widowControl w:val="0"/>
              <w:snapToGrid w:val="0"/>
              <w:spacing w:line="300" w:lineRule="auto"/>
              <w:ind w:left="0" w:leftChars="0" w:firstLine="0" w:firstLineChars="0"/>
              <w:jc w:val="center"/>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10</w:t>
            </w:r>
          </w:p>
        </w:tc>
        <w:tc>
          <w:tcPr>
            <w:tcW w:w="2477" w:type="dxa"/>
            <w:noWrap w:val="0"/>
            <w:vAlign w:val="center"/>
          </w:tcPr>
          <w:p w14:paraId="74A675FA">
            <w:pPr>
              <w:widowControl w:val="0"/>
              <w:snapToGrid w:val="0"/>
              <w:spacing w:line="300" w:lineRule="auto"/>
              <w:ind w:left="0" w:leftChars="0" w:firstLine="0" w:firstLineChars="0"/>
              <w:jc w:val="center"/>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墙纸内墙</w:t>
            </w:r>
          </w:p>
        </w:tc>
        <w:tc>
          <w:tcPr>
            <w:tcW w:w="11044" w:type="dxa"/>
            <w:noWrap w:val="0"/>
            <w:vAlign w:val="center"/>
          </w:tcPr>
          <w:p w14:paraId="22D5FDEE">
            <w:pPr>
              <w:widowControl w:val="0"/>
              <w:snapToGrid w:val="0"/>
              <w:spacing w:line="300" w:lineRule="auto"/>
              <w:ind w:firstLine="210" w:firstLineChars="100"/>
              <w:jc w:val="both"/>
              <w:rPr>
                <w:rFonts w:hint="eastAsia" w:ascii="仿宋" w:hAnsi="仿宋" w:eastAsia="仿宋" w:cs="仿宋"/>
                <w:sz w:val="21"/>
                <w:szCs w:val="21"/>
                <w:highlight w:val="none"/>
                <w:vertAlign w:val="baseli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sz w:val="21"/>
                <w:szCs w:val="21"/>
                <w:highlight w:val="none"/>
                <w:vertAlign w:val="baseline"/>
                <w:lang w:val="en-US" w:eastAsia="zh-CN"/>
              </w:rPr>
              <w:t>有污渍时用半干布擦拭。</w:t>
            </w:r>
          </w:p>
        </w:tc>
      </w:tr>
      <w:tr w14:paraId="31C9C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7" w:type="dxa"/>
            <w:noWrap w:val="0"/>
            <w:vAlign w:val="center"/>
          </w:tcPr>
          <w:p w14:paraId="66414892">
            <w:pPr>
              <w:widowControl w:val="0"/>
              <w:snapToGrid w:val="0"/>
              <w:spacing w:line="300" w:lineRule="auto"/>
              <w:ind w:left="0" w:leftChars="0" w:firstLine="0" w:firstLineChars="0"/>
              <w:jc w:val="center"/>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11</w:t>
            </w:r>
          </w:p>
        </w:tc>
        <w:tc>
          <w:tcPr>
            <w:tcW w:w="2477" w:type="dxa"/>
            <w:noWrap w:val="0"/>
            <w:vAlign w:val="center"/>
          </w:tcPr>
          <w:p w14:paraId="321AEC5E">
            <w:pPr>
              <w:widowControl w:val="0"/>
              <w:snapToGrid w:val="0"/>
              <w:spacing w:line="300" w:lineRule="auto"/>
              <w:ind w:left="0" w:leftChars="0" w:firstLine="0" w:firstLineChars="0"/>
              <w:jc w:val="center"/>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木饰面内墙</w:t>
            </w:r>
          </w:p>
        </w:tc>
        <w:tc>
          <w:tcPr>
            <w:tcW w:w="11044" w:type="dxa"/>
            <w:noWrap w:val="0"/>
            <w:vAlign w:val="center"/>
          </w:tcPr>
          <w:p w14:paraId="0F03804C">
            <w:pPr>
              <w:widowControl w:val="0"/>
              <w:snapToGrid w:val="0"/>
              <w:spacing w:line="300" w:lineRule="auto"/>
              <w:ind w:firstLine="210" w:firstLineChars="100"/>
              <w:jc w:val="both"/>
              <w:rPr>
                <w:rFonts w:hint="eastAsia" w:ascii="仿宋" w:hAnsi="仿宋" w:eastAsia="仿宋" w:cs="仿宋"/>
                <w:sz w:val="21"/>
                <w:szCs w:val="21"/>
                <w:highlight w:val="none"/>
                <w:vertAlign w:val="baseli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sz w:val="21"/>
                <w:szCs w:val="21"/>
                <w:highlight w:val="none"/>
                <w:vertAlign w:val="baseline"/>
                <w:lang w:val="en-US" w:eastAsia="zh-CN"/>
              </w:rPr>
              <w:t>有污渍时用中性清洁剂、半干布擦拭。</w:t>
            </w:r>
          </w:p>
        </w:tc>
      </w:tr>
      <w:tr w14:paraId="49F30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7" w:type="dxa"/>
            <w:noWrap w:val="0"/>
            <w:vAlign w:val="center"/>
          </w:tcPr>
          <w:p w14:paraId="6409AD75">
            <w:pPr>
              <w:widowControl w:val="0"/>
              <w:snapToGrid w:val="0"/>
              <w:spacing w:line="300" w:lineRule="auto"/>
              <w:ind w:left="0" w:leftChars="0" w:firstLine="0" w:firstLineChars="0"/>
              <w:jc w:val="center"/>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12</w:t>
            </w:r>
          </w:p>
        </w:tc>
        <w:tc>
          <w:tcPr>
            <w:tcW w:w="2477" w:type="dxa"/>
            <w:noWrap w:val="0"/>
            <w:vAlign w:val="center"/>
          </w:tcPr>
          <w:p w14:paraId="4B11E704">
            <w:pPr>
              <w:widowControl w:val="0"/>
              <w:snapToGrid w:val="0"/>
              <w:spacing w:line="300" w:lineRule="auto"/>
              <w:ind w:left="0" w:leftChars="0" w:firstLine="0" w:firstLineChars="0"/>
              <w:jc w:val="center"/>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石材内墙</w:t>
            </w:r>
          </w:p>
        </w:tc>
        <w:tc>
          <w:tcPr>
            <w:tcW w:w="11044" w:type="dxa"/>
            <w:noWrap w:val="0"/>
            <w:vAlign w:val="center"/>
          </w:tcPr>
          <w:p w14:paraId="4EC48E93">
            <w:pPr>
              <w:widowControl w:val="0"/>
              <w:snapToGrid w:val="0"/>
              <w:spacing w:line="300" w:lineRule="auto"/>
              <w:ind w:firstLine="210" w:firstLineChars="100"/>
              <w:jc w:val="both"/>
              <w:rPr>
                <w:rFonts w:hint="eastAsia" w:ascii="仿宋" w:hAnsi="仿宋" w:eastAsia="仿宋" w:cs="仿宋"/>
                <w:sz w:val="21"/>
                <w:szCs w:val="21"/>
                <w:highlight w:val="none"/>
                <w:vertAlign w:val="baseli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sz w:val="21"/>
                <w:szCs w:val="21"/>
                <w:highlight w:val="none"/>
                <w:vertAlign w:val="baseline"/>
                <w:lang w:val="en-US" w:eastAsia="zh-CN"/>
              </w:rPr>
              <w:t>有污渍时用半干布擦拭。</w:t>
            </w:r>
          </w:p>
        </w:tc>
      </w:tr>
      <w:tr w14:paraId="015A1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7" w:type="dxa"/>
            <w:noWrap w:val="0"/>
            <w:vAlign w:val="center"/>
          </w:tcPr>
          <w:p w14:paraId="33B73DA0">
            <w:pPr>
              <w:widowControl w:val="0"/>
              <w:snapToGrid w:val="0"/>
              <w:spacing w:line="300" w:lineRule="auto"/>
              <w:ind w:left="0" w:leftChars="0" w:firstLine="0" w:firstLineChars="0"/>
              <w:jc w:val="center"/>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13</w:t>
            </w:r>
          </w:p>
        </w:tc>
        <w:tc>
          <w:tcPr>
            <w:tcW w:w="2477" w:type="dxa"/>
            <w:noWrap w:val="0"/>
            <w:vAlign w:val="center"/>
          </w:tcPr>
          <w:p w14:paraId="29ABE00E">
            <w:pPr>
              <w:widowControl w:val="0"/>
              <w:snapToGrid w:val="0"/>
              <w:spacing w:line="300" w:lineRule="auto"/>
              <w:ind w:left="0" w:leftChars="0" w:firstLine="0" w:firstLineChars="0"/>
              <w:jc w:val="center"/>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金属板内墙</w:t>
            </w:r>
          </w:p>
        </w:tc>
        <w:tc>
          <w:tcPr>
            <w:tcW w:w="11044" w:type="dxa"/>
            <w:noWrap w:val="0"/>
            <w:vAlign w:val="center"/>
          </w:tcPr>
          <w:p w14:paraId="4ED18C15">
            <w:pPr>
              <w:widowControl w:val="0"/>
              <w:snapToGrid w:val="0"/>
              <w:spacing w:line="300" w:lineRule="auto"/>
              <w:ind w:firstLine="210" w:firstLineChars="100"/>
              <w:jc w:val="both"/>
              <w:rPr>
                <w:rFonts w:hint="eastAsia" w:ascii="仿宋" w:hAnsi="仿宋" w:eastAsia="仿宋" w:cs="仿宋"/>
                <w:sz w:val="21"/>
                <w:szCs w:val="21"/>
                <w:highlight w:val="none"/>
                <w:vertAlign w:val="baseli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sz w:val="21"/>
                <w:szCs w:val="21"/>
                <w:highlight w:val="none"/>
                <w:vertAlign w:val="baseline"/>
                <w:lang w:val="en-US" w:eastAsia="zh-CN"/>
              </w:rPr>
              <w:t>有污渍时用半干布擦拭。</w:t>
            </w:r>
          </w:p>
        </w:tc>
      </w:tr>
      <w:tr w14:paraId="2D760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7" w:type="dxa"/>
            <w:noWrap w:val="0"/>
            <w:vAlign w:val="center"/>
          </w:tcPr>
          <w:p w14:paraId="1C55529C">
            <w:pPr>
              <w:widowControl w:val="0"/>
              <w:snapToGrid w:val="0"/>
              <w:spacing w:line="300" w:lineRule="auto"/>
              <w:ind w:left="0" w:leftChars="0" w:firstLine="0" w:firstLineChars="0"/>
              <w:jc w:val="center"/>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14</w:t>
            </w:r>
          </w:p>
        </w:tc>
        <w:tc>
          <w:tcPr>
            <w:tcW w:w="2477" w:type="dxa"/>
            <w:noWrap w:val="0"/>
            <w:vAlign w:val="center"/>
          </w:tcPr>
          <w:p w14:paraId="5F3EDA5B">
            <w:pPr>
              <w:widowControl w:val="0"/>
              <w:snapToGrid w:val="0"/>
              <w:spacing w:line="300" w:lineRule="auto"/>
              <w:ind w:left="0" w:leftChars="0" w:firstLine="0" w:firstLineChars="0"/>
              <w:jc w:val="center"/>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涂料外墙</w:t>
            </w:r>
          </w:p>
        </w:tc>
        <w:tc>
          <w:tcPr>
            <w:tcW w:w="11044" w:type="dxa"/>
            <w:noWrap w:val="0"/>
            <w:vAlign w:val="center"/>
          </w:tcPr>
          <w:p w14:paraId="2D190141">
            <w:pPr>
              <w:widowControl w:val="0"/>
              <w:snapToGrid w:val="0"/>
              <w:spacing w:line="300" w:lineRule="auto"/>
              <w:ind w:firstLine="210" w:firstLineChars="100"/>
              <w:jc w:val="both"/>
              <w:rPr>
                <w:rFonts w:hint="eastAsia" w:ascii="仿宋" w:hAnsi="仿宋" w:eastAsia="仿宋" w:cs="仿宋"/>
                <w:sz w:val="21"/>
                <w:szCs w:val="21"/>
                <w:highlight w:val="none"/>
                <w:vertAlign w:val="baseli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sz w:val="21"/>
                <w:szCs w:val="21"/>
                <w:highlight w:val="none"/>
                <w:vertAlign w:val="baseline"/>
                <w:lang w:val="en-US" w:eastAsia="zh-CN"/>
              </w:rPr>
              <w:t>定期专业清洗。</w:t>
            </w:r>
          </w:p>
        </w:tc>
      </w:tr>
      <w:tr w14:paraId="7A51A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7" w:type="dxa"/>
            <w:noWrap w:val="0"/>
            <w:vAlign w:val="center"/>
          </w:tcPr>
          <w:p w14:paraId="2C9C2EA7">
            <w:pPr>
              <w:widowControl w:val="0"/>
              <w:snapToGrid w:val="0"/>
              <w:spacing w:line="300" w:lineRule="auto"/>
              <w:ind w:left="0" w:leftChars="0" w:firstLine="0" w:firstLineChars="0"/>
              <w:jc w:val="center"/>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15</w:t>
            </w:r>
          </w:p>
        </w:tc>
        <w:tc>
          <w:tcPr>
            <w:tcW w:w="2477" w:type="dxa"/>
            <w:noWrap w:val="0"/>
            <w:vAlign w:val="center"/>
          </w:tcPr>
          <w:p w14:paraId="4DABFB8A">
            <w:pPr>
              <w:widowControl w:val="0"/>
              <w:snapToGrid w:val="0"/>
              <w:spacing w:line="300" w:lineRule="auto"/>
              <w:ind w:left="0" w:leftChars="0" w:firstLine="0" w:firstLineChars="0"/>
              <w:jc w:val="center"/>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真石漆外墙</w:t>
            </w:r>
          </w:p>
        </w:tc>
        <w:tc>
          <w:tcPr>
            <w:tcW w:w="11044" w:type="dxa"/>
            <w:noWrap w:val="0"/>
            <w:vAlign w:val="center"/>
          </w:tcPr>
          <w:p w14:paraId="6F09D4DE">
            <w:pPr>
              <w:widowControl w:val="0"/>
              <w:snapToGrid w:val="0"/>
              <w:spacing w:line="300" w:lineRule="auto"/>
              <w:ind w:firstLine="210" w:firstLineChars="100"/>
              <w:jc w:val="both"/>
              <w:rPr>
                <w:rFonts w:hint="eastAsia" w:ascii="仿宋" w:hAnsi="仿宋" w:eastAsia="仿宋" w:cs="仿宋"/>
                <w:sz w:val="21"/>
                <w:szCs w:val="21"/>
                <w:highlight w:val="none"/>
                <w:vertAlign w:val="baseli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sz w:val="21"/>
                <w:szCs w:val="21"/>
                <w:highlight w:val="none"/>
                <w:vertAlign w:val="baseline"/>
                <w:lang w:val="en-US" w:eastAsia="zh-CN"/>
              </w:rPr>
              <w:t>定期专业清洗。</w:t>
            </w:r>
          </w:p>
        </w:tc>
      </w:tr>
      <w:tr w14:paraId="60390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7" w:type="dxa"/>
            <w:noWrap w:val="0"/>
            <w:vAlign w:val="center"/>
          </w:tcPr>
          <w:p w14:paraId="64055542">
            <w:pPr>
              <w:widowControl w:val="0"/>
              <w:snapToGrid w:val="0"/>
              <w:spacing w:line="300" w:lineRule="auto"/>
              <w:ind w:left="0" w:leftChars="0" w:firstLine="0" w:firstLineChars="0"/>
              <w:jc w:val="center"/>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16</w:t>
            </w:r>
          </w:p>
        </w:tc>
        <w:tc>
          <w:tcPr>
            <w:tcW w:w="2477" w:type="dxa"/>
            <w:noWrap w:val="0"/>
            <w:vAlign w:val="center"/>
          </w:tcPr>
          <w:p w14:paraId="4882B15D">
            <w:pPr>
              <w:widowControl w:val="0"/>
              <w:snapToGrid w:val="0"/>
              <w:spacing w:line="300" w:lineRule="auto"/>
              <w:ind w:left="0" w:leftChars="0" w:firstLine="0" w:firstLineChars="0"/>
              <w:jc w:val="center"/>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瓷砖外墙</w:t>
            </w:r>
          </w:p>
        </w:tc>
        <w:tc>
          <w:tcPr>
            <w:tcW w:w="11044" w:type="dxa"/>
            <w:noWrap w:val="0"/>
            <w:vAlign w:val="center"/>
          </w:tcPr>
          <w:p w14:paraId="0262F869">
            <w:pPr>
              <w:widowControl w:val="0"/>
              <w:snapToGrid w:val="0"/>
              <w:spacing w:line="300" w:lineRule="auto"/>
              <w:ind w:firstLine="210" w:firstLineChars="100"/>
              <w:jc w:val="both"/>
              <w:rPr>
                <w:rFonts w:hint="eastAsia" w:ascii="仿宋" w:hAnsi="仿宋" w:eastAsia="仿宋" w:cs="仿宋"/>
                <w:sz w:val="21"/>
                <w:szCs w:val="21"/>
                <w:highlight w:val="none"/>
                <w:vertAlign w:val="baseli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sz w:val="21"/>
                <w:szCs w:val="21"/>
                <w:highlight w:val="none"/>
                <w:vertAlign w:val="baseline"/>
                <w:lang w:val="en-US" w:eastAsia="zh-CN"/>
              </w:rPr>
              <w:t>定期专业清洗。</w:t>
            </w:r>
          </w:p>
        </w:tc>
      </w:tr>
      <w:tr w14:paraId="37BDD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7" w:type="dxa"/>
            <w:noWrap w:val="0"/>
            <w:vAlign w:val="center"/>
          </w:tcPr>
          <w:p w14:paraId="36455D47">
            <w:pPr>
              <w:widowControl w:val="0"/>
              <w:snapToGrid w:val="0"/>
              <w:spacing w:line="300" w:lineRule="auto"/>
              <w:ind w:left="0" w:leftChars="0" w:firstLine="0" w:firstLineChars="0"/>
              <w:jc w:val="center"/>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17</w:t>
            </w:r>
          </w:p>
        </w:tc>
        <w:tc>
          <w:tcPr>
            <w:tcW w:w="2477" w:type="dxa"/>
            <w:noWrap w:val="0"/>
            <w:vAlign w:val="center"/>
          </w:tcPr>
          <w:p w14:paraId="75A61E52">
            <w:pPr>
              <w:widowControl w:val="0"/>
              <w:snapToGrid w:val="0"/>
              <w:spacing w:line="300" w:lineRule="auto"/>
              <w:ind w:left="0" w:leftChars="0" w:firstLine="0" w:firstLineChars="0"/>
              <w:jc w:val="center"/>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保温一体板外墙</w:t>
            </w:r>
          </w:p>
        </w:tc>
        <w:tc>
          <w:tcPr>
            <w:tcW w:w="11044" w:type="dxa"/>
            <w:noWrap w:val="0"/>
            <w:vAlign w:val="center"/>
          </w:tcPr>
          <w:p w14:paraId="10A34882">
            <w:pPr>
              <w:widowControl w:val="0"/>
              <w:snapToGrid w:val="0"/>
              <w:spacing w:line="300" w:lineRule="auto"/>
              <w:ind w:firstLine="210" w:firstLineChars="100"/>
              <w:jc w:val="both"/>
              <w:rPr>
                <w:rFonts w:hint="eastAsia" w:ascii="仿宋" w:hAnsi="仿宋" w:eastAsia="仿宋" w:cs="仿宋"/>
                <w:sz w:val="21"/>
                <w:szCs w:val="21"/>
                <w:highlight w:val="none"/>
                <w:vertAlign w:val="baseli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sz w:val="21"/>
                <w:szCs w:val="21"/>
                <w:highlight w:val="none"/>
                <w:vertAlign w:val="baseline"/>
                <w:lang w:val="en-US" w:eastAsia="zh-CN"/>
              </w:rPr>
              <w:t>定期专业清洗。</w:t>
            </w:r>
          </w:p>
        </w:tc>
      </w:tr>
      <w:tr w14:paraId="227A2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7" w:type="dxa"/>
            <w:noWrap w:val="0"/>
            <w:vAlign w:val="center"/>
          </w:tcPr>
          <w:p w14:paraId="3B975E34">
            <w:pPr>
              <w:widowControl w:val="0"/>
              <w:snapToGrid w:val="0"/>
              <w:spacing w:line="300" w:lineRule="auto"/>
              <w:ind w:left="0" w:leftChars="0" w:firstLine="0" w:firstLineChars="0"/>
              <w:jc w:val="center"/>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18</w:t>
            </w:r>
          </w:p>
        </w:tc>
        <w:tc>
          <w:tcPr>
            <w:tcW w:w="2477" w:type="dxa"/>
            <w:noWrap w:val="0"/>
            <w:vAlign w:val="center"/>
          </w:tcPr>
          <w:p w14:paraId="0823D225">
            <w:pPr>
              <w:widowControl w:val="0"/>
              <w:snapToGrid w:val="0"/>
              <w:spacing w:line="300" w:lineRule="auto"/>
              <w:ind w:left="0" w:leftChars="0" w:firstLine="0" w:firstLineChars="0"/>
              <w:jc w:val="center"/>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铝板外墙</w:t>
            </w:r>
          </w:p>
        </w:tc>
        <w:tc>
          <w:tcPr>
            <w:tcW w:w="11044" w:type="dxa"/>
            <w:noWrap w:val="0"/>
            <w:vAlign w:val="center"/>
          </w:tcPr>
          <w:p w14:paraId="34DC739E">
            <w:pPr>
              <w:widowControl w:val="0"/>
              <w:snapToGrid w:val="0"/>
              <w:spacing w:line="300" w:lineRule="auto"/>
              <w:ind w:firstLine="210" w:firstLineChars="100"/>
              <w:jc w:val="both"/>
              <w:rPr>
                <w:rFonts w:hint="eastAsia" w:ascii="仿宋" w:hAnsi="仿宋" w:eastAsia="仿宋" w:cs="仿宋"/>
                <w:sz w:val="21"/>
                <w:szCs w:val="21"/>
                <w:highlight w:val="none"/>
                <w:vertAlign w:val="baseli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sz w:val="21"/>
                <w:szCs w:val="21"/>
                <w:highlight w:val="none"/>
                <w:vertAlign w:val="baseline"/>
                <w:lang w:val="en-US" w:eastAsia="zh-CN"/>
              </w:rPr>
              <w:t>定期专业清洗。</w:t>
            </w:r>
          </w:p>
        </w:tc>
      </w:tr>
      <w:tr w14:paraId="317C8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7" w:type="dxa"/>
            <w:noWrap w:val="0"/>
            <w:vAlign w:val="center"/>
          </w:tcPr>
          <w:p w14:paraId="3E62A01A">
            <w:pPr>
              <w:widowControl w:val="0"/>
              <w:snapToGrid w:val="0"/>
              <w:spacing w:line="300" w:lineRule="auto"/>
              <w:ind w:left="0" w:leftChars="0" w:firstLine="0" w:firstLineChars="0"/>
              <w:jc w:val="center"/>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19</w:t>
            </w:r>
          </w:p>
        </w:tc>
        <w:tc>
          <w:tcPr>
            <w:tcW w:w="2477" w:type="dxa"/>
            <w:noWrap w:val="0"/>
            <w:vAlign w:val="center"/>
          </w:tcPr>
          <w:p w14:paraId="75814E51">
            <w:pPr>
              <w:widowControl w:val="0"/>
              <w:snapToGrid w:val="0"/>
              <w:spacing w:line="300" w:lineRule="auto"/>
              <w:ind w:left="0" w:leftChars="0" w:firstLine="0" w:firstLineChars="0"/>
              <w:jc w:val="center"/>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干挂石材外墙</w:t>
            </w:r>
          </w:p>
        </w:tc>
        <w:tc>
          <w:tcPr>
            <w:tcW w:w="11044" w:type="dxa"/>
            <w:noWrap w:val="0"/>
            <w:vAlign w:val="center"/>
          </w:tcPr>
          <w:p w14:paraId="236869AC">
            <w:pPr>
              <w:widowControl w:val="0"/>
              <w:snapToGrid w:val="0"/>
              <w:spacing w:line="300" w:lineRule="auto"/>
              <w:ind w:firstLine="210" w:firstLineChars="100"/>
              <w:jc w:val="both"/>
              <w:rPr>
                <w:rFonts w:hint="eastAsia" w:ascii="仿宋" w:hAnsi="仿宋" w:eastAsia="仿宋" w:cs="仿宋"/>
                <w:sz w:val="21"/>
                <w:szCs w:val="21"/>
                <w:highlight w:val="none"/>
                <w:vertAlign w:val="baseli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sz w:val="21"/>
                <w:szCs w:val="21"/>
                <w:highlight w:val="none"/>
                <w:vertAlign w:val="baseline"/>
                <w:lang w:val="en-US" w:eastAsia="zh-CN"/>
              </w:rPr>
              <w:t>定期专业清洗。</w:t>
            </w:r>
          </w:p>
        </w:tc>
      </w:tr>
      <w:tr w14:paraId="19F3B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7" w:type="dxa"/>
            <w:noWrap w:val="0"/>
            <w:vAlign w:val="center"/>
          </w:tcPr>
          <w:p w14:paraId="4760E0B3">
            <w:pPr>
              <w:widowControl w:val="0"/>
              <w:snapToGrid w:val="0"/>
              <w:spacing w:line="300" w:lineRule="auto"/>
              <w:ind w:left="0" w:leftChars="0" w:firstLine="0" w:firstLineChars="0"/>
              <w:jc w:val="center"/>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20</w:t>
            </w:r>
          </w:p>
        </w:tc>
        <w:tc>
          <w:tcPr>
            <w:tcW w:w="2477" w:type="dxa"/>
            <w:noWrap w:val="0"/>
            <w:vAlign w:val="center"/>
          </w:tcPr>
          <w:p w14:paraId="71D6C7E9">
            <w:pPr>
              <w:widowControl w:val="0"/>
              <w:snapToGrid w:val="0"/>
              <w:spacing w:line="300" w:lineRule="auto"/>
              <w:ind w:left="0" w:leftChars="0" w:firstLine="0" w:firstLineChars="0"/>
              <w:jc w:val="center"/>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玻璃幕墙外墙</w:t>
            </w:r>
          </w:p>
        </w:tc>
        <w:tc>
          <w:tcPr>
            <w:tcW w:w="11044" w:type="dxa"/>
            <w:noWrap w:val="0"/>
            <w:vAlign w:val="center"/>
          </w:tcPr>
          <w:p w14:paraId="102733AD">
            <w:pPr>
              <w:widowControl w:val="0"/>
              <w:snapToGrid w:val="0"/>
              <w:spacing w:line="300" w:lineRule="auto"/>
              <w:ind w:firstLine="210" w:firstLineChars="100"/>
              <w:jc w:val="both"/>
              <w:rPr>
                <w:rFonts w:hint="eastAsia" w:ascii="仿宋" w:hAnsi="仿宋" w:eastAsia="仿宋" w:cs="仿宋"/>
                <w:sz w:val="21"/>
                <w:szCs w:val="21"/>
                <w:highlight w:val="none"/>
                <w:vertAlign w:val="baseli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sz w:val="21"/>
                <w:szCs w:val="21"/>
                <w:highlight w:val="none"/>
                <w:vertAlign w:val="baseline"/>
                <w:lang w:val="en-US" w:eastAsia="zh-CN"/>
              </w:rPr>
              <w:t>定期专业清洗。</w:t>
            </w:r>
          </w:p>
        </w:tc>
      </w:tr>
    </w:tbl>
    <w:p w14:paraId="291C9797">
      <w:pPr>
        <w:widowControl w:val="0"/>
        <w:bidi w:val="0"/>
        <w:snapToGrid w:val="0"/>
        <w:spacing w:line="30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注：根据物业用材情况选择清洁要求</w:t>
      </w:r>
    </w:p>
    <w:p w14:paraId="47E14AF1">
      <w:pPr>
        <w:widowControl w:val="0"/>
        <w:bidi w:val="0"/>
        <w:snapToGrid w:val="0"/>
        <w:spacing w:line="300" w:lineRule="auto"/>
        <w:ind w:firstLine="562" w:firstLineChars="200"/>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3.5绿化服务</w:t>
      </w:r>
    </w:p>
    <w:tbl>
      <w:tblPr>
        <w:tblStyle w:val="4"/>
        <w:tblW w:w="499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6"/>
        <w:gridCol w:w="1421"/>
        <w:gridCol w:w="6363"/>
      </w:tblGrid>
      <w:tr w14:paraId="50683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dxa"/>
            <w:noWrap w:val="0"/>
            <w:vAlign w:val="center"/>
          </w:tcPr>
          <w:p w14:paraId="7D22D96B">
            <w:pPr>
              <w:pageBreakBefore w:val="0"/>
              <w:widowControl/>
              <w:kinsoku/>
              <w:wordWrap/>
              <w:overflowPunct/>
              <w:topLinePunct w:val="0"/>
              <w:bidi w:val="0"/>
              <w:snapToGrid w:val="0"/>
              <w:spacing w:line="300" w:lineRule="auto"/>
              <w:ind w:left="0" w:leftChars="0" w:firstLine="0" w:firstLineChars="0"/>
              <w:jc w:val="center"/>
              <w:rPr>
                <w:rFonts w:hint="eastAsia" w:ascii="仿宋" w:hAnsi="仿宋" w:eastAsia="仿宋" w:cs="仿宋"/>
                <w:b/>
                <w:bCs/>
                <w:color w:val="auto"/>
                <w:kern w:val="0"/>
                <w:sz w:val="21"/>
                <w:szCs w:val="21"/>
                <w:highlight w:val="none"/>
                <w:lang w:val="en-US" w:eastAsia="zh-CN"/>
              </w:rPr>
            </w:pPr>
            <w:r>
              <w:rPr>
                <w:rFonts w:hint="eastAsia" w:ascii="仿宋" w:hAnsi="仿宋" w:eastAsia="仿宋" w:cs="仿宋"/>
                <w:b/>
                <w:bCs/>
                <w:color w:val="auto"/>
                <w:kern w:val="0"/>
                <w:sz w:val="21"/>
                <w:szCs w:val="21"/>
                <w:highlight w:val="none"/>
                <w:lang w:val="en-US" w:eastAsia="zh-CN"/>
              </w:rPr>
              <w:t>序号</w:t>
            </w:r>
          </w:p>
        </w:tc>
        <w:tc>
          <w:tcPr>
            <w:tcW w:w="2465" w:type="dxa"/>
            <w:noWrap w:val="0"/>
            <w:vAlign w:val="center"/>
          </w:tcPr>
          <w:p w14:paraId="5902118A">
            <w:pPr>
              <w:pageBreakBefore w:val="0"/>
              <w:widowControl/>
              <w:kinsoku/>
              <w:wordWrap/>
              <w:overflowPunct/>
              <w:topLinePunct w:val="0"/>
              <w:bidi w:val="0"/>
              <w:snapToGrid w:val="0"/>
              <w:spacing w:line="300" w:lineRule="auto"/>
              <w:ind w:left="0" w:leftChars="0" w:firstLine="0" w:firstLineChars="0"/>
              <w:jc w:val="center"/>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服务内容</w:t>
            </w:r>
          </w:p>
        </w:tc>
        <w:tc>
          <w:tcPr>
            <w:tcW w:w="11044" w:type="dxa"/>
            <w:noWrap w:val="0"/>
            <w:vAlign w:val="center"/>
          </w:tcPr>
          <w:p w14:paraId="22971E1B">
            <w:pPr>
              <w:pageBreakBefore w:val="0"/>
              <w:widowControl/>
              <w:kinsoku/>
              <w:wordWrap/>
              <w:overflowPunct/>
              <w:topLinePunct w:val="0"/>
              <w:bidi w:val="0"/>
              <w:snapToGrid w:val="0"/>
              <w:spacing w:line="300" w:lineRule="auto"/>
              <w:ind w:left="0" w:leftChars="0" w:firstLine="0" w:firstLineChars="0"/>
              <w:jc w:val="center"/>
              <w:rPr>
                <w:rFonts w:hint="eastAsia" w:ascii="仿宋" w:hAnsi="仿宋" w:eastAsia="仿宋" w:cs="仿宋"/>
                <w:b/>
                <w:bCs/>
                <w:color w:val="auto"/>
                <w:kern w:val="0"/>
                <w:sz w:val="21"/>
                <w:szCs w:val="21"/>
                <w:highlight w:val="none"/>
                <w:lang w:val="en-US" w:eastAsia="zh-CN"/>
              </w:rPr>
            </w:pPr>
            <w:r>
              <w:rPr>
                <w:rFonts w:hint="eastAsia" w:ascii="仿宋" w:hAnsi="仿宋" w:eastAsia="仿宋" w:cs="仿宋"/>
                <w:b/>
                <w:bCs/>
                <w:color w:val="auto"/>
                <w:kern w:val="0"/>
                <w:sz w:val="21"/>
                <w:szCs w:val="21"/>
                <w:highlight w:val="none"/>
                <w:lang w:val="en-US" w:eastAsia="zh-CN"/>
              </w:rPr>
              <w:t>服务标准</w:t>
            </w:r>
          </w:p>
        </w:tc>
      </w:tr>
      <w:tr w14:paraId="4FABF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dxa"/>
            <w:vMerge w:val="restart"/>
            <w:noWrap w:val="0"/>
            <w:vAlign w:val="center"/>
          </w:tcPr>
          <w:p w14:paraId="71AC2C8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1</w:t>
            </w:r>
          </w:p>
        </w:tc>
        <w:tc>
          <w:tcPr>
            <w:tcW w:w="2465" w:type="dxa"/>
            <w:vMerge w:val="restart"/>
            <w:noWrap w:val="0"/>
            <w:vAlign w:val="center"/>
          </w:tcPr>
          <w:p w14:paraId="56639A2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kern w:val="2"/>
                <w:sz w:val="21"/>
                <w:szCs w:val="21"/>
                <w:highlight w:val="none"/>
                <w:lang w:val="en-US" w:eastAsia="zh-CN" w:bidi="ar-SA"/>
              </w:rPr>
            </w:pPr>
            <w:r>
              <w:rPr>
                <w:rFonts w:hint="eastAsia" w:ascii="仿宋" w:hAnsi="仿宋" w:eastAsia="仿宋" w:cs="仿宋"/>
                <w:sz w:val="21"/>
                <w:szCs w:val="21"/>
                <w:highlight w:val="none"/>
                <w:lang w:val="en-US" w:eastAsia="zh-CN"/>
              </w:rPr>
              <w:t>基本要求</w:t>
            </w:r>
          </w:p>
        </w:tc>
        <w:tc>
          <w:tcPr>
            <w:tcW w:w="11044" w:type="dxa"/>
            <w:noWrap w:val="0"/>
            <w:vAlign w:val="center"/>
          </w:tcPr>
          <w:p w14:paraId="2C2D7568">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（1）制定绿化服务的工作制度及工作计划，并按照执行。</w:t>
            </w:r>
          </w:p>
        </w:tc>
      </w:tr>
      <w:tr w14:paraId="3DC5A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dxa"/>
            <w:vMerge w:val="continue"/>
            <w:noWrap w:val="0"/>
            <w:vAlign w:val="center"/>
          </w:tcPr>
          <w:p w14:paraId="10B39FA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65" w:type="dxa"/>
            <w:vMerge w:val="continue"/>
            <w:noWrap w:val="0"/>
            <w:vAlign w:val="center"/>
          </w:tcPr>
          <w:p w14:paraId="1FCE8B4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11044" w:type="dxa"/>
            <w:noWrap w:val="0"/>
            <w:vAlign w:val="center"/>
          </w:tcPr>
          <w:p w14:paraId="36A88587">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（2）做好绿化服务工作记录，填写规范。</w:t>
            </w:r>
          </w:p>
        </w:tc>
      </w:tr>
      <w:tr w14:paraId="45B2C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dxa"/>
            <w:vMerge w:val="continue"/>
            <w:noWrap w:val="0"/>
            <w:vAlign w:val="center"/>
          </w:tcPr>
          <w:p w14:paraId="454B0D1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65" w:type="dxa"/>
            <w:vMerge w:val="continue"/>
            <w:noWrap w:val="0"/>
            <w:vAlign w:val="center"/>
          </w:tcPr>
          <w:p w14:paraId="46D4A46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11044" w:type="dxa"/>
            <w:noWrap w:val="0"/>
            <w:vAlign w:val="center"/>
          </w:tcPr>
          <w:p w14:paraId="380990C1">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（3）作业时采取安全防护措施，防止对作业人员或他人造成伤害。</w:t>
            </w:r>
          </w:p>
        </w:tc>
      </w:tr>
      <w:tr w14:paraId="06D8B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dxa"/>
            <w:vMerge w:val="continue"/>
            <w:noWrap w:val="0"/>
            <w:vAlign w:val="center"/>
          </w:tcPr>
          <w:p w14:paraId="17B6FAC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65" w:type="dxa"/>
            <w:vMerge w:val="continue"/>
            <w:noWrap w:val="0"/>
            <w:vAlign w:val="center"/>
          </w:tcPr>
          <w:p w14:paraId="70E084C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kern w:val="2"/>
                <w:sz w:val="21"/>
                <w:szCs w:val="21"/>
                <w:highlight w:val="none"/>
                <w:lang w:val="en-US" w:eastAsia="zh-CN" w:bidi="ar-SA"/>
              </w:rPr>
            </w:pPr>
          </w:p>
        </w:tc>
        <w:tc>
          <w:tcPr>
            <w:tcW w:w="11044" w:type="dxa"/>
            <w:noWrap w:val="0"/>
            <w:vAlign w:val="center"/>
          </w:tcPr>
          <w:p w14:paraId="52995FA3">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（4）相关耗材的环保、安全性应当符合规定要求。</w:t>
            </w:r>
          </w:p>
        </w:tc>
      </w:tr>
      <w:tr w14:paraId="31862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dxa"/>
            <w:vMerge w:val="continue"/>
            <w:noWrap w:val="0"/>
            <w:vAlign w:val="center"/>
          </w:tcPr>
          <w:p w14:paraId="012B227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65" w:type="dxa"/>
            <w:vMerge w:val="continue"/>
            <w:noWrap w:val="0"/>
            <w:vAlign w:val="center"/>
          </w:tcPr>
          <w:p w14:paraId="6B9EA56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kern w:val="2"/>
                <w:sz w:val="21"/>
                <w:szCs w:val="21"/>
                <w:highlight w:val="none"/>
                <w:lang w:val="en-US" w:eastAsia="zh-CN" w:bidi="ar-SA"/>
              </w:rPr>
            </w:pPr>
          </w:p>
        </w:tc>
        <w:tc>
          <w:tcPr>
            <w:tcW w:w="11044" w:type="dxa"/>
            <w:noWrap w:val="0"/>
            <w:vAlign w:val="center"/>
          </w:tcPr>
          <w:p w14:paraId="58DFD9EE">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（5）......</w:t>
            </w:r>
          </w:p>
        </w:tc>
      </w:tr>
      <w:tr w14:paraId="7B3A0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dxa"/>
            <w:vMerge w:val="restart"/>
            <w:noWrap w:val="0"/>
            <w:vAlign w:val="center"/>
          </w:tcPr>
          <w:p w14:paraId="2878616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2465" w:type="dxa"/>
            <w:vMerge w:val="restart"/>
            <w:noWrap w:val="0"/>
            <w:vAlign w:val="center"/>
          </w:tcPr>
          <w:p w14:paraId="722DA06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kern w:val="2"/>
                <w:sz w:val="21"/>
                <w:szCs w:val="21"/>
                <w:highlight w:val="none"/>
                <w:lang w:val="en-US" w:eastAsia="zh-CN" w:bidi="ar-SA"/>
              </w:rPr>
            </w:pPr>
            <w:r>
              <w:rPr>
                <w:rFonts w:hint="eastAsia" w:ascii="仿宋" w:hAnsi="仿宋" w:eastAsia="仿宋" w:cs="仿宋"/>
                <w:sz w:val="21"/>
                <w:szCs w:val="21"/>
                <w:highlight w:val="none"/>
                <w:lang w:val="en-US" w:eastAsia="zh-CN"/>
              </w:rPr>
              <w:t>室外绿化养护</w:t>
            </w:r>
          </w:p>
        </w:tc>
        <w:tc>
          <w:tcPr>
            <w:tcW w:w="11044" w:type="dxa"/>
            <w:noWrap w:val="0"/>
            <w:vAlign w:val="center"/>
          </w:tcPr>
          <w:p w14:paraId="41709DFF">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w:t>
            </w:r>
            <w:r>
              <w:rPr>
                <w:rFonts w:hint="eastAsia" w:ascii="仿宋" w:hAnsi="仿宋" w:eastAsia="仿宋" w:cs="仿宋"/>
                <w:color w:val="auto"/>
                <w:sz w:val="21"/>
                <w:szCs w:val="21"/>
                <w:highlight w:val="none"/>
                <w:u w:val="none"/>
                <w:lang w:val="en-US" w:eastAsia="zh-CN"/>
              </w:rPr>
              <w:t>根据生长环境、植物特性进行除草、灌溉、施肥、整形修剪、防治病虫害等。</w:t>
            </w:r>
          </w:p>
        </w:tc>
      </w:tr>
      <w:tr w14:paraId="2CCB2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dxa"/>
            <w:vMerge w:val="continue"/>
            <w:noWrap w:val="0"/>
            <w:vAlign w:val="center"/>
          </w:tcPr>
          <w:p w14:paraId="7DA82EF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65" w:type="dxa"/>
            <w:vMerge w:val="continue"/>
            <w:noWrap w:val="0"/>
            <w:vAlign w:val="center"/>
          </w:tcPr>
          <w:p w14:paraId="35918CB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1"/>
                <w:szCs w:val="21"/>
                <w:highlight w:val="none"/>
                <w:lang w:val="en-US" w:eastAsia="zh-CN"/>
              </w:rPr>
            </w:pPr>
          </w:p>
        </w:tc>
        <w:tc>
          <w:tcPr>
            <w:tcW w:w="11044" w:type="dxa"/>
            <w:noWrap w:val="0"/>
            <w:vAlign w:val="center"/>
          </w:tcPr>
          <w:p w14:paraId="07B770AF">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（2）根据生长情况修剪绿地，绿地内无枯草、无杂物，</w:t>
            </w:r>
            <w:r>
              <w:rPr>
                <w:rFonts w:hint="eastAsia" w:ascii="仿宋" w:hAnsi="仿宋" w:eastAsia="仿宋" w:cs="仿宋"/>
                <w:color w:val="auto"/>
                <w:sz w:val="21"/>
                <w:szCs w:val="21"/>
                <w:highlight w:val="none"/>
                <w:u w:val="none"/>
                <w:lang w:val="en-US" w:eastAsia="zh-CN"/>
              </w:rPr>
              <w:t>无干枯坏死和病虫侵害，基本无裸露土地。</w:t>
            </w:r>
          </w:p>
        </w:tc>
      </w:tr>
      <w:tr w14:paraId="0DD3A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dxa"/>
            <w:vMerge w:val="continue"/>
            <w:noWrap w:val="0"/>
            <w:vAlign w:val="center"/>
          </w:tcPr>
          <w:p w14:paraId="1EB5A19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65" w:type="dxa"/>
            <w:vMerge w:val="continue"/>
            <w:noWrap w:val="0"/>
            <w:vAlign w:val="center"/>
          </w:tcPr>
          <w:p w14:paraId="20A2324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1"/>
                <w:szCs w:val="21"/>
                <w:highlight w:val="none"/>
                <w:lang w:val="en-US" w:eastAsia="zh-CN"/>
              </w:rPr>
            </w:pPr>
          </w:p>
        </w:tc>
        <w:tc>
          <w:tcPr>
            <w:tcW w:w="11044" w:type="dxa"/>
            <w:noWrap w:val="0"/>
            <w:vAlign w:val="center"/>
          </w:tcPr>
          <w:p w14:paraId="2D669911">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（3）定期修剪树木、花卉等，</w:t>
            </w:r>
            <w:r>
              <w:rPr>
                <w:rFonts w:hint="eastAsia" w:ascii="仿宋" w:hAnsi="仿宋" w:eastAsia="仿宋" w:cs="仿宋"/>
                <w:color w:val="auto"/>
                <w:sz w:val="21"/>
                <w:szCs w:val="21"/>
                <w:highlight w:val="none"/>
                <w:u w:val="none"/>
                <w:lang w:val="en-US" w:eastAsia="zh-CN"/>
              </w:rPr>
              <w:t>灌乔木生长正常、造型美观自然、花枝新鲜，无枯叶、无病虫、无死树缺株。</w:t>
            </w:r>
          </w:p>
        </w:tc>
      </w:tr>
      <w:tr w14:paraId="65BBE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dxa"/>
            <w:vMerge w:val="continue"/>
            <w:noWrap w:val="0"/>
            <w:vAlign w:val="center"/>
          </w:tcPr>
          <w:p w14:paraId="709D890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65" w:type="dxa"/>
            <w:vMerge w:val="continue"/>
            <w:noWrap w:val="0"/>
            <w:vAlign w:val="center"/>
          </w:tcPr>
          <w:p w14:paraId="702E83C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1"/>
                <w:szCs w:val="21"/>
                <w:highlight w:val="none"/>
                <w:lang w:val="en-US" w:eastAsia="zh-CN"/>
              </w:rPr>
            </w:pPr>
          </w:p>
        </w:tc>
        <w:tc>
          <w:tcPr>
            <w:tcW w:w="11044" w:type="dxa"/>
            <w:noWrap w:val="0"/>
            <w:vAlign w:val="center"/>
          </w:tcPr>
          <w:p w14:paraId="3FD83027">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（4）</w:t>
            </w:r>
            <w:r>
              <w:rPr>
                <w:rFonts w:hint="eastAsia" w:ascii="仿宋" w:hAnsi="仿宋" w:eastAsia="仿宋" w:cs="仿宋"/>
                <w:color w:val="auto"/>
                <w:sz w:val="21"/>
                <w:szCs w:val="21"/>
                <w:highlight w:val="none"/>
                <w:u w:val="none"/>
                <w:lang w:val="en-US" w:eastAsia="zh-CN"/>
              </w:rPr>
              <w:t>绿篱生长造型正常，颜色正常，修剪及时，基本无死株和干死株，有虫株率在10%以下。</w:t>
            </w:r>
          </w:p>
        </w:tc>
      </w:tr>
      <w:tr w14:paraId="0671B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dxa"/>
            <w:vMerge w:val="continue"/>
            <w:noWrap w:val="0"/>
            <w:vAlign w:val="center"/>
          </w:tcPr>
          <w:p w14:paraId="3BD782F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65" w:type="dxa"/>
            <w:vMerge w:val="continue"/>
            <w:noWrap w:val="0"/>
            <w:vAlign w:val="center"/>
          </w:tcPr>
          <w:p w14:paraId="0FEF13B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1"/>
                <w:szCs w:val="21"/>
                <w:highlight w:val="none"/>
                <w:lang w:val="en-US" w:eastAsia="zh-CN"/>
              </w:rPr>
            </w:pPr>
          </w:p>
        </w:tc>
        <w:tc>
          <w:tcPr>
            <w:tcW w:w="11044" w:type="dxa"/>
            <w:noWrap w:val="0"/>
            <w:vAlign w:val="center"/>
          </w:tcPr>
          <w:p w14:paraId="17C76F2D">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（5）</w:t>
            </w:r>
            <w:r>
              <w:rPr>
                <w:rFonts w:hint="eastAsia" w:ascii="仿宋" w:hAnsi="仿宋" w:eastAsia="仿宋" w:cs="仿宋"/>
                <w:color w:val="auto"/>
                <w:sz w:val="21"/>
                <w:szCs w:val="21"/>
                <w:highlight w:val="none"/>
                <w:u w:val="none"/>
                <w:lang w:val="en-US" w:eastAsia="zh-CN"/>
              </w:rPr>
              <w:t>清除花坛和花景的花蒂、黄叶、杂草、垃圾，做好病虫害防治。</w:t>
            </w:r>
          </w:p>
        </w:tc>
      </w:tr>
      <w:tr w14:paraId="4B15E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dxa"/>
            <w:vMerge w:val="continue"/>
            <w:noWrap w:val="0"/>
            <w:vAlign w:val="center"/>
          </w:tcPr>
          <w:p w14:paraId="52EC61B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65" w:type="dxa"/>
            <w:vMerge w:val="continue"/>
            <w:noWrap w:val="0"/>
            <w:vAlign w:val="center"/>
          </w:tcPr>
          <w:p w14:paraId="1D2470C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1"/>
                <w:szCs w:val="21"/>
                <w:highlight w:val="none"/>
                <w:lang w:val="en-US" w:eastAsia="zh-CN"/>
              </w:rPr>
            </w:pPr>
          </w:p>
        </w:tc>
        <w:tc>
          <w:tcPr>
            <w:tcW w:w="11044" w:type="dxa"/>
            <w:noWrap w:val="0"/>
            <w:vAlign w:val="center"/>
          </w:tcPr>
          <w:p w14:paraId="7FC35594">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（6）</w:t>
            </w:r>
            <w:r>
              <w:rPr>
                <w:rFonts w:hint="eastAsia" w:ascii="仿宋" w:hAnsi="仿宋" w:eastAsia="仿宋" w:cs="仿宋"/>
                <w:color w:val="auto"/>
                <w:sz w:val="21"/>
                <w:szCs w:val="21"/>
                <w:highlight w:val="none"/>
                <w:u w:val="none"/>
                <w:lang w:val="en-US" w:eastAsia="zh-CN"/>
              </w:rPr>
              <w:t>水池水面定期清理，无枯枝落叶、水质清洁。</w:t>
            </w:r>
          </w:p>
        </w:tc>
      </w:tr>
      <w:tr w14:paraId="194E6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dxa"/>
            <w:vMerge w:val="continue"/>
            <w:noWrap w:val="0"/>
            <w:vAlign w:val="center"/>
          </w:tcPr>
          <w:p w14:paraId="7055974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65" w:type="dxa"/>
            <w:vMerge w:val="continue"/>
            <w:noWrap w:val="0"/>
            <w:vAlign w:val="center"/>
          </w:tcPr>
          <w:p w14:paraId="420A603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1"/>
                <w:szCs w:val="21"/>
                <w:highlight w:val="none"/>
                <w:lang w:val="en-US" w:eastAsia="zh-CN"/>
              </w:rPr>
            </w:pPr>
          </w:p>
        </w:tc>
        <w:tc>
          <w:tcPr>
            <w:tcW w:w="11044" w:type="dxa"/>
            <w:noWrap w:val="0"/>
            <w:vAlign w:val="center"/>
          </w:tcPr>
          <w:p w14:paraId="5EC64131">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（7）根据病虫害发生规律实施综合治理，通常在病虫率高时，以药剂杀死病虫，以确保植物良好生长。产生垃圾的主要区域和路段做到日产日清。</w:t>
            </w:r>
          </w:p>
        </w:tc>
      </w:tr>
      <w:tr w14:paraId="45177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dxa"/>
            <w:vMerge w:val="continue"/>
            <w:noWrap w:val="0"/>
            <w:vAlign w:val="center"/>
          </w:tcPr>
          <w:p w14:paraId="4FB0E1B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65" w:type="dxa"/>
            <w:vMerge w:val="continue"/>
            <w:noWrap w:val="0"/>
            <w:vAlign w:val="center"/>
          </w:tcPr>
          <w:p w14:paraId="3B4B6B6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1"/>
                <w:szCs w:val="21"/>
                <w:highlight w:val="none"/>
                <w:lang w:val="en-US" w:eastAsia="zh-CN"/>
              </w:rPr>
            </w:pPr>
          </w:p>
        </w:tc>
        <w:tc>
          <w:tcPr>
            <w:tcW w:w="11044" w:type="dxa"/>
            <w:noWrap w:val="0"/>
            <w:vAlign w:val="center"/>
          </w:tcPr>
          <w:p w14:paraId="55EB9518">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（8）雨雪、冰冻等恶劣天气来临前，专人巡查，对绿植做好预防措施，排除安全隐患。</w:t>
            </w:r>
          </w:p>
        </w:tc>
      </w:tr>
      <w:tr w14:paraId="698F0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dxa"/>
            <w:vMerge w:val="continue"/>
            <w:noWrap w:val="0"/>
            <w:vAlign w:val="center"/>
          </w:tcPr>
          <w:p w14:paraId="56B163A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65" w:type="dxa"/>
            <w:vMerge w:val="continue"/>
            <w:noWrap w:val="0"/>
            <w:vAlign w:val="center"/>
          </w:tcPr>
          <w:p w14:paraId="5F6747D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kern w:val="2"/>
                <w:sz w:val="21"/>
                <w:szCs w:val="21"/>
                <w:highlight w:val="none"/>
                <w:lang w:val="en-US" w:eastAsia="zh-CN" w:bidi="ar-SA"/>
              </w:rPr>
            </w:pPr>
          </w:p>
        </w:tc>
        <w:tc>
          <w:tcPr>
            <w:tcW w:w="11044" w:type="dxa"/>
            <w:noWrap w:val="0"/>
            <w:vAlign w:val="center"/>
          </w:tcPr>
          <w:p w14:paraId="492F5003">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（9）恶劣天气后，及时清除倒树断枝，疏通道路，尽快恢复原状。</w:t>
            </w:r>
          </w:p>
        </w:tc>
      </w:tr>
      <w:tr w14:paraId="1B0DC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9" w:type="dxa"/>
            <w:vMerge w:val="continue"/>
            <w:noWrap w:val="0"/>
            <w:vAlign w:val="center"/>
          </w:tcPr>
          <w:p w14:paraId="6C0655C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65" w:type="dxa"/>
            <w:vMerge w:val="continue"/>
            <w:noWrap w:val="0"/>
            <w:vAlign w:val="center"/>
          </w:tcPr>
          <w:p w14:paraId="59660B1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kern w:val="2"/>
                <w:sz w:val="21"/>
                <w:szCs w:val="21"/>
                <w:highlight w:val="none"/>
                <w:lang w:val="en-US" w:eastAsia="zh-CN" w:bidi="ar-SA"/>
              </w:rPr>
            </w:pPr>
          </w:p>
        </w:tc>
        <w:tc>
          <w:tcPr>
            <w:tcW w:w="11044" w:type="dxa"/>
            <w:noWrap w:val="0"/>
            <w:vAlign w:val="center"/>
          </w:tcPr>
          <w:p w14:paraId="514D350E">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（10）......</w:t>
            </w:r>
          </w:p>
        </w:tc>
      </w:tr>
    </w:tbl>
    <w:p w14:paraId="2763E212">
      <w:pPr>
        <w:widowControl w:val="0"/>
        <w:bidi w:val="0"/>
        <w:snapToGrid w:val="0"/>
        <w:spacing w:line="300" w:lineRule="auto"/>
        <w:ind w:firstLine="562" w:firstLineChars="200"/>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3.6保安服务</w:t>
      </w:r>
    </w:p>
    <w:tbl>
      <w:tblPr>
        <w:tblStyle w:val="4"/>
        <w:tblW w:w="498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1424"/>
        <w:gridCol w:w="6333"/>
      </w:tblGrid>
      <w:tr w14:paraId="3647B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74" w:type="dxa"/>
            <w:noWrap w:val="0"/>
            <w:vAlign w:val="center"/>
          </w:tcPr>
          <w:p w14:paraId="5A8E49B0">
            <w:pPr>
              <w:pageBreakBefore w:val="0"/>
              <w:widowControl/>
              <w:kinsoku/>
              <w:wordWrap/>
              <w:overflowPunct/>
              <w:topLinePunct w:val="0"/>
              <w:bidi w:val="0"/>
              <w:snapToGrid w:val="0"/>
              <w:spacing w:line="300" w:lineRule="auto"/>
              <w:ind w:left="0" w:leftChars="0" w:firstLine="0" w:firstLineChars="0"/>
              <w:jc w:val="center"/>
              <w:rPr>
                <w:rFonts w:hint="eastAsia" w:ascii="仿宋" w:hAnsi="仿宋" w:eastAsia="仿宋" w:cs="仿宋"/>
                <w:b/>
                <w:bCs/>
                <w:color w:val="auto"/>
                <w:kern w:val="0"/>
                <w:sz w:val="21"/>
                <w:szCs w:val="21"/>
                <w:highlight w:val="none"/>
                <w:lang w:val="en-US" w:eastAsia="zh-CN"/>
              </w:rPr>
            </w:pPr>
            <w:r>
              <w:rPr>
                <w:rFonts w:hint="eastAsia" w:ascii="仿宋" w:hAnsi="仿宋" w:eastAsia="仿宋" w:cs="仿宋"/>
                <w:b/>
                <w:bCs/>
                <w:color w:val="auto"/>
                <w:kern w:val="0"/>
                <w:sz w:val="21"/>
                <w:szCs w:val="21"/>
                <w:highlight w:val="none"/>
                <w:lang w:val="en-US" w:eastAsia="zh-CN"/>
              </w:rPr>
              <w:t>序号</w:t>
            </w:r>
          </w:p>
        </w:tc>
        <w:tc>
          <w:tcPr>
            <w:tcW w:w="2471" w:type="dxa"/>
            <w:noWrap w:val="0"/>
            <w:vAlign w:val="center"/>
          </w:tcPr>
          <w:p w14:paraId="257D3479">
            <w:pPr>
              <w:pageBreakBefore w:val="0"/>
              <w:widowControl/>
              <w:kinsoku/>
              <w:wordWrap/>
              <w:overflowPunct/>
              <w:topLinePunct w:val="0"/>
              <w:bidi w:val="0"/>
              <w:snapToGrid w:val="0"/>
              <w:spacing w:line="300" w:lineRule="auto"/>
              <w:ind w:left="0" w:firstLine="422" w:firstLineChars="200"/>
              <w:jc w:val="center"/>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服务内容</w:t>
            </w:r>
          </w:p>
        </w:tc>
        <w:tc>
          <w:tcPr>
            <w:tcW w:w="10988" w:type="dxa"/>
            <w:noWrap w:val="0"/>
            <w:vAlign w:val="center"/>
          </w:tcPr>
          <w:p w14:paraId="6F3DCA3E">
            <w:pPr>
              <w:pageBreakBefore w:val="0"/>
              <w:widowControl/>
              <w:kinsoku/>
              <w:wordWrap/>
              <w:overflowPunct/>
              <w:topLinePunct w:val="0"/>
              <w:bidi w:val="0"/>
              <w:snapToGrid w:val="0"/>
              <w:spacing w:line="300" w:lineRule="auto"/>
              <w:ind w:left="0" w:firstLine="422" w:firstLineChars="200"/>
              <w:jc w:val="center"/>
              <w:rPr>
                <w:rFonts w:hint="eastAsia" w:ascii="仿宋" w:hAnsi="仿宋" w:eastAsia="仿宋" w:cs="仿宋"/>
                <w:b/>
                <w:bCs/>
                <w:color w:val="auto"/>
                <w:kern w:val="0"/>
                <w:sz w:val="21"/>
                <w:szCs w:val="21"/>
                <w:highlight w:val="none"/>
                <w:lang w:val="en-US" w:eastAsia="zh-CN"/>
              </w:rPr>
            </w:pPr>
            <w:r>
              <w:rPr>
                <w:rFonts w:hint="eastAsia" w:ascii="仿宋" w:hAnsi="仿宋" w:eastAsia="仿宋" w:cs="仿宋"/>
                <w:b/>
                <w:bCs/>
                <w:color w:val="auto"/>
                <w:kern w:val="0"/>
                <w:sz w:val="21"/>
                <w:szCs w:val="21"/>
                <w:highlight w:val="none"/>
                <w:lang w:val="en-US" w:eastAsia="zh-CN"/>
              </w:rPr>
              <w:t>服务标准</w:t>
            </w:r>
          </w:p>
        </w:tc>
      </w:tr>
      <w:tr w14:paraId="50262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74" w:type="dxa"/>
            <w:vMerge w:val="restart"/>
            <w:noWrap w:val="0"/>
            <w:vAlign w:val="center"/>
          </w:tcPr>
          <w:p w14:paraId="5552F7D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1</w:t>
            </w:r>
          </w:p>
        </w:tc>
        <w:tc>
          <w:tcPr>
            <w:tcW w:w="2471" w:type="dxa"/>
            <w:vMerge w:val="restart"/>
            <w:noWrap w:val="0"/>
            <w:vAlign w:val="center"/>
          </w:tcPr>
          <w:p w14:paraId="0A1570D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基本要求</w:t>
            </w:r>
          </w:p>
        </w:tc>
        <w:tc>
          <w:tcPr>
            <w:tcW w:w="10988" w:type="dxa"/>
            <w:noWrap w:val="0"/>
            <w:vAlign w:val="center"/>
          </w:tcPr>
          <w:p w14:paraId="4BC86C82">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（1）建立保安服务相关制度，并按照执行。</w:t>
            </w:r>
          </w:p>
        </w:tc>
      </w:tr>
      <w:tr w14:paraId="01F5A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74" w:type="dxa"/>
            <w:vMerge w:val="continue"/>
            <w:noWrap w:val="0"/>
            <w:vAlign w:val="center"/>
          </w:tcPr>
          <w:p w14:paraId="3656684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71" w:type="dxa"/>
            <w:vMerge w:val="continue"/>
            <w:noWrap w:val="0"/>
            <w:vAlign w:val="center"/>
          </w:tcPr>
          <w:p w14:paraId="108E321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0988" w:type="dxa"/>
            <w:noWrap w:val="0"/>
            <w:vAlign w:val="center"/>
          </w:tcPr>
          <w:p w14:paraId="7B5C8220">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（2）对巡查、值守及异常情况等做好相关记录，填写规范，保存完好。</w:t>
            </w:r>
          </w:p>
        </w:tc>
      </w:tr>
      <w:tr w14:paraId="6A53B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74" w:type="dxa"/>
            <w:vMerge w:val="continue"/>
            <w:noWrap w:val="0"/>
            <w:vAlign w:val="center"/>
          </w:tcPr>
          <w:p w14:paraId="546A533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71" w:type="dxa"/>
            <w:vMerge w:val="continue"/>
            <w:noWrap w:val="0"/>
            <w:vAlign w:val="center"/>
          </w:tcPr>
          <w:p w14:paraId="1819DBC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0988" w:type="dxa"/>
            <w:noWrap w:val="0"/>
            <w:vAlign w:val="center"/>
          </w:tcPr>
          <w:p w14:paraId="31556407">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（3）配备保安服务必要的器材。</w:t>
            </w:r>
          </w:p>
        </w:tc>
      </w:tr>
      <w:tr w14:paraId="2A123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74" w:type="dxa"/>
            <w:vMerge w:val="continue"/>
            <w:noWrap w:val="0"/>
            <w:vAlign w:val="center"/>
          </w:tcPr>
          <w:p w14:paraId="149A038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71" w:type="dxa"/>
            <w:vMerge w:val="continue"/>
            <w:noWrap w:val="0"/>
            <w:vAlign w:val="center"/>
          </w:tcPr>
          <w:p w14:paraId="708D021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0988" w:type="dxa"/>
            <w:noWrap w:val="0"/>
            <w:vAlign w:val="center"/>
          </w:tcPr>
          <w:p w14:paraId="10517EB6">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（4）......</w:t>
            </w:r>
          </w:p>
        </w:tc>
      </w:tr>
      <w:tr w14:paraId="28F70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74" w:type="dxa"/>
            <w:vMerge w:val="restart"/>
            <w:noWrap w:val="0"/>
            <w:vAlign w:val="center"/>
          </w:tcPr>
          <w:p w14:paraId="01CFF70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2471" w:type="dxa"/>
            <w:vMerge w:val="restart"/>
            <w:noWrap w:val="0"/>
            <w:vAlign w:val="center"/>
          </w:tcPr>
          <w:p w14:paraId="396B597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rPr>
              <w:t>出入管理</w:t>
            </w:r>
          </w:p>
        </w:tc>
        <w:tc>
          <w:tcPr>
            <w:tcW w:w="10988" w:type="dxa"/>
            <w:noWrap w:val="0"/>
            <w:vAlign w:val="center"/>
          </w:tcPr>
          <w:p w14:paraId="14AFC355">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（1）办公楼（区）主出入口应当实行 24小时值班制。</w:t>
            </w:r>
          </w:p>
        </w:tc>
      </w:tr>
      <w:tr w14:paraId="2BB30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74" w:type="dxa"/>
            <w:vMerge w:val="continue"/>
            <w:noWrap w:val="0"/>
            <w:vAlign w:val="center"/>
          </w:tcPr>
          <w:p w14:paraId="12F8228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71" w:type="dxa"/>
            <w:vMerge w:val="continue"/>
            <w:noWrap w:val="0"/>
            <w:vAlign w:val="center"/>
          </w:tcPr>
          <w:p w14:paraId="198E2A7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0988" w:type="dxa"/>
            <w:noWrap w:val="0"/>
            <w:vAlign w:val="center"/>
          </w:tcPr>
          <w:p w14:paraId="204D80A6">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（2）设置门岗。</w:t>
            </w:r>
          </w:p>
        </w:tc>
      </w:tr>
      <w:tr w14:paraId="4869B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74" w:type="dxa"/>
            <w:vMerge w:val="continue"/>
            <w:noWrap w:val="0"/>
            <w:vAlign w:val="center"/>
          </w:tcPr>
          <w:p w14:paraId="53D64F1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71" w:type="dxa"/>
            <w:vMerge w:val="continue"/>
            <w:noWrap w:val="0"/>
            <w:vAlign w:val="center"/>
          </w:tcPr>
          <w:p w14:paraId="3AB31DA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0988" w:type="dxa"/>
            <w:noWrap w:val="0"/>
            <w:vAlign w:val="center"/>
          </w:tcPr>
          <w:p w14:paraId="4DF9F924">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（3）在出入口对外来人员及其携带大件物品、外来车辆进行询问和记录，并与相关部门取得联系，同意后方可进入。</w:t>
            </w:r>
          </w:p>
        </w:tc>
      </w:tr>
      <w:tr w14:paraId="4B806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74" w:type="dxa"/>
            <w:vMerge w:val="continue"/>
            <w:noWrap w:val="0"/>
            <w:vAlign w:val="center"/>
          </w:tcPr>
          <w:p w14:paraId="59E90F6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71" w:type="dxa"/>
            <w:vMerge w:val="continue"/>
            <w:noWrap w:val="0"/>
            <w:vAlign w:val="center"/>
          </w:tcPr>
          <w:p w14:paraId="695B028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0988" w:type="dxa"/>
            <w:noWrap w:val="0"/>
            <w:vAlign w:val="center"/>
          </w:tcPr>
          <w:p w14:paraId="1DFE7022">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（4）大件物品搬出有相关部门开具的证明和清单，经核实后放行。</w:t>
            </w:r>
          </w:p>
        </w:tc>
      </w:tr>
      <w:tr w14:paraId="39B9F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74" w:type="dxa"/>
            <w:vMerge w:val="continue"/>
            <w:noWrap w:val="0"/>
            <w:vAlign w:val="center"/>
          </w:tcPr>
          <w:p w14:paraId="117BD15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71" w:type="dxa"/>
            <w:vMerge w:val="continue"/>
            <w:noWrap w:val="0"/>
            <w:vAlign w:val="center"/>
          </w:tcPr>
          <w:p w14:paraId="25D1F0F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0988" w:type="dxa"/>
            <w:noWrap w:val="0"/>
            <w:vAlign w:val="center"/>
          </w:tcPr>
          <w:p w14:paraId="0EE188F3">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（5）排查可疑人员，对于不出示证件、不按规定登记、不听劝阻而强行闯入者，及时劝离，必要时通知公安机关进行处理。</w:t>
            </w:r>
          </w:p>
        </w:tc>
      </w:tr>
      <w:tr w14:paraId="2D041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74" w:type="dxa"/>
            <w:vMerge w:val="continue"/>
            <w:noWrap w:val="0"/>
            <w:vAlign w:val="center"/>
          </w:tcPr>
          <w:p w14:paraId="6B8CF55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71" w:type="dxa"/>
            <w:vMerge w:val="continue"/>
            <w:noWrap w:val="0"/>
            <w:vAlign w:val="center"/>
          </w:tcPr>
          <w:p w14:paraId="7856B55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0988" w:type="dxa"/>
            <w:noWrap w:val="0"/>
            <w:vAlign w:val="center"/>
          </w:tcPr>
          <w:p w14:paraId="46CF34D1">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（6）配合相关部门积极疏导上访人员，有效疏导如出入口人群集聚、车辆拥堵、货物堵塞道路等情况。</w:t>
            </w:r>
          </w:p>
        </w:tc>
      </w:tr>
      <w:tr w14:paraId="51CBD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74" w:type="dxa"/>
            <w:vMerge w:val="continue"/>
            <w:noWrap w:val="0"/>
            <w:vAlign w:val="center"/>
          </w:tcPr>
          <w:p w14:paraId="50B191B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71" w:type="dxa"/>
            <w:vMerge w:val="continue"/>
            <w:noWrap w:val="0"/>
            <w:vAlign w:val="center"/>
          </w:tcPr>
          <w:p w14:paraId="6EE546D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0988" w:type="dxa"/>
            <w:noWrap w:val="0"/>
            <w:vAlign w:val="center"/>
          </w:tcPr>
          <w:p w14:paraId="1B4C8377">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7）根据物业服务合同约定，对物品进出实行安检、登记、电话确认等分类管理措施。大宗物品进出会同接收单位收件人审检，严防违禁品（包括毒品、军火弹药、管制刀具、易燃易爆品等）、限带品（包括动物、任何未经授权的专业摄影设备、无人机等）进入。</w:t>
            </w:r>
          </w:p>
        </w:tc>
      </w:tr>
      <w:tr w14:paraId="2D489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74" w:type="dxa"/>
            <w:vMerge w:val="continue"/>
            <w:noWrap w:val="0"/>
            <w:vAlign w:val="center"/>
          </w:tcPr>
          <w:p w14:paraId="2BF1EB5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71" w:type="dxa"/>
            <w:vMerge w:val="continue"/>
            <w:noWrap w:val="0"/>
            <w:vAlign w:val="center"/>
          </w:tcPr>
          <w:p w14:paraId="164708E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0988" w:type="dxa"/>
            <w:noWrap w:val="0"/>
            <w:vAlign w:val="center"/>
          </w:tcPr>
          <w:p w14:paraId="5397C1F7">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（8）提供现场接待服务。</w:t>
            </w:r>
          </w:p>
          <w:p w14:paraId="56B14397">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color w:val="auto"/>
                <w:sz w:val="21"/>
                <w:szCs w:val="21"/>
                <w:highlight w:val="none"/>
                <w:u w:val="none"/>
                <w:lang w:eastAsia="zh-CN"/>
              </w:rPr>
            </w:pPr>
            <w:r>
              <w:rPr>
                <w:rFonts w:hint="eastAsia" w:ascii="仿宋" w:hAnsi="仿宋" w:eastAsia="仿宋" w:cs="仿宋"/>
                <w:color w:val="auto"/>
                <w:sz w:val="21"/>
                <w:szCs w:val="21"/>
                <w:highlight w:val="none"/>
                <w:u w:val="none"/>
                <w:lang w:val="en-US" w:eastAsia="zh-CN"/>
              </w:rPr>
              <w:t>①</w:t>
            </w:r>
            <w:r>
              <w:rPr>
                <w:rFonts w:hint="eastAsia" w:ascii="仿宋" w:hAnsi="仿宋" w:eastAsia="仿宋" w:cs="仿宋"/>
                <w:color w:val="auto"/>
                <w:sz w:val="21"/>
                <w:szCs w:val="21"/>
                <w:highlight w:val="none"/>
                <w:u w:val="none"/>
                <w:lang w:eastAsia="zh-CN"/>
              </w:rPr>
              <w:t>做好来访人员、车辆进出证件登记，及时通报。</w:t>
            </w:r>
          </w:p>
          <w:p w14:paraId="3B2D3243">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color w:val="auto"/>
                <w:sz w:val="21"/>
                <w:szCs w:val="21"/>
                <w:highlight w:val="none"/>
                <w:u w:val="none"/>
                <w:lang w:eastAsia="zh-CN"/>
              </w:rPr>
            </w:pPr>
            <w:r>
              <w:rPr>
                <w:rFonts w:hint="eastAsia" w:ascii="仿宋" w:hAnsi="仿宋" w:eastAsia="仿宋" w:cs="仿宋"/>
                <w:color w:val="auto"/>
                <w:sz w:val="21"/>
                <w:szCs w:val="21"/>
                <w:highlight w:val="none"/>
                <w:u w:val="none"/>
                <w:lang w:val="en-US" w:eastAsia="zh-CN"/>
              </w:rPr>
              <w:t>②</w:t>
            </w:r>
            <w:r>
              <w:rPr>
                <w:rFonts w:hint="eastAsia" w:ascii="仿宋" w:hAnsi="仿宋" w:eastAsia="仿宋" w:cs="仿宋"/>
                <w:color w:val="auto"/>
                <w:sz w:val="21"/>
                <w:szCs w:val="21"/>
                <w:highlight w:val="none"/>
                <w:u w:val="none"/>
                <w:lang w:eastAsia="zh-CN"/>
              </w:rPr>
              <w:t>严禁无关人员、可疑人员和危险物品进入办公楼（区）内。</w:t>
            </w:r>
          </w:p>
          <w:p w14:paraId="051BEF75">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color w:val="auto"/>
                <w:sz w:val="21"/>
                <w:szCs w:val="21"/>
                <w:highlight w:val="none"/>
                <w:u w:val="none"/>
              </w:rPr>
            </w:pPr>
            <w:r>
              <w:rPr>
                <w:rFonts w:hint="eastAsia" w:ascii="仿宋" w:hAnsi="仿宋" w:eastAsia="仿宋" w:cs="仿宋"/>
                <w:color w:val="auto"/>
                <w:sz w:val="21"/>
                <w:szCs w:val="21"/>
                <w:highlight w:val="none"/>
                <w:u w:val="none"/>
              </w:rPr>
              <w:t>③物品摆放整齐有序、分类放置。</w:t>
            </w:r>
          </w:p>
          <w:p w14:paraId="400AD645">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color w:val="auto"/>
                <w:sz w:val="21"/>
                <w:szCs w:val="21"/>
                <w:highlight w:val="none"/>
                <w:u w:val="none"/>
              </w:rPr>
            </w:pPr>
            <w:r>
              <w:rPr>
                <w:rFonts w:hint="eastAsia" w:ascii="仿宋" w:hAnsi="仿宋" w:eastAsia="仿宋" w:cs="仿宋"/>
                <w:color w:val="auto"/>
                <w:sz w:val="21"/>
                <w:szCs w:val="21"/>
                <w:highlight w:val="none"/>
                <w:u w:val="none"/>
              </w:rPr>
              <w:t>④现场办理等待时间不超过5分钟，等待较长时间应</w:t>
            </w:r>
            <w:r>
              <w:rPr>
                <w:rFonts w:hint="eastAsia" w:ascii="仿宋" w:hAnsi="仿宋" w:eastAsia="仿宋" w:cs="仿宋"/>
                <w:color w:val="auto"/>
                <w:sz w:val="21"/>
                <w:szCs w:val="21"/>
                <w:highlight w:val="none"/>
                <w:u w:val="none"/>
                <w:lang w:eastAsia="zh-CN"/>
              </w:rPr>
              <w:t>当</w:t>
            </w:r>
            <w:r>
              <w:rPr>
                <w:rFonts w:hint="eastAsia" w:ascii="仿宋" w:hAnsi="仿宋" w:eastAsia="仿宋" w:cs="仿宋"/>
                <w:color w:val="auto"/>
                <w:sz w:val="21"/>
                <w:szCs w:val="21"/>
                <w:highlight w:val="none"/>
                <w:u w:val="none"/>
              </w:rPr>
              <w:t>及时沟通。</w:t>
            </w:r>
          </w:p>
          <w:p w14:paraId="303097EF">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color w:val="auto"/>
                <w:sz w:val="21"/>
                <w:szCs w:val="21"/>
                <w:highlight w:val="none"/>
                <w:u w:val="none"/>
              </w:rPr>
            </w:pPr>
            <w:r>
              <w:rPr>
                <w:rFonts w:hint="eastAsia" w:ascii="仿宋" w:hAnsi="仿宋" w:eastAsia="仿宋" w:cs="仿宋"/>
                <w:color w:val="auto"/>
                <w:sz w:val="21"/>
                <w:szCs w:val="21"/>
                <w:highlight w:val="none"/>
                <w:u w:val="none"/>
              </w:rPr>
              <w:t>⑤对来访人员咨询、建议、求助等事项，及时处理或答复，处理和答复率100%。</w:t>
            </w:r>
          </w:p>
          <w:p w14:paraId="755553B1">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color w:val="auto"/>
                <w:sz w:val="21"/>
                <w:szCs w:val="21"/>
                <w:highlight w:val="none"/>
                <w:u w:val="none"/>
              </w:rPr>
            </w:pPr>
            <w:r>
              <w:rPr>
                <w:rFonts w:hint="eastAsia" w:ascii="仿宋" w:hAnsi="仿宋" w:eastAsia="仿宋" w:cs="仿宋"/>
                <w:color w:val="auto"/>
                <w:sz w:val="21"/>
                <w:szCs w:val="21"/>
                <w:highlight w:val="none"/>
                <w:u w:val="none"/>
              </w:rPr>
              <w:t>⑥接待服务工作时间应</w:t>
            </w:r>
            <w:r>
              <w:rPr>
                <w:rFonts w:hint="eastAsia" w:ascii="仿宋" w:hAnsi="仿宋" w:eastAsia="仿宋" w:cs="仿宋"/>
                <w:color w:val="auto"/>
                <w:sz w:val="21"/>
                <w:szCs w:val="21"/>
                <w:highlight w:val="none"/>
                <w:u w:val="none"/>
                <w:lang w:eastAsia="zh-CN"/>
              </w:rPr>
              <w:t>当</w:t>
            </w:r>
            <w:r>
              <w:rPr>
                <w:rFonts w:hint="eastAsia" w:ascii="仿宋" w:hAnsi="仿宋" w:eastAsia="仿宋" w:cs="仿宋"/>
                <w:color w:val="auto"/>
                <w:sz w:val="21"/>
                <w:szCs w:val="21"/>
                <w:highlight w:val="none"/>
                <w:u w:val="none"/>
              </w:rPr>
              <w:t>覆盖采购人工作时间（上班时间为—</w:t>
            </w:r>
            <w:r>
              <w:rPr>
                <w:rFonts w:hint="eastAsia" w:ascii="仿宋" w:hAnsi="仿宋" w:eastAsia="仿宋" w:cs="仿宋"/>
                <w:color w:val="auto"/>
                <w:sz w:val="21"/>
                <w:szCs w:val="21"/>
                <w:highlight w:val="none"/>
                <w:u w:val="none"/>
                <w:lang w:val="en-US" w:eastAsia="zh-CN"/>
              </w:rPr>
              <w:t>07：00</w:t>
            </w:r>
            <w:r>
              <w:rPr>
                <w:rFonts w:hint="eastAsia" w:ascii="仿宋" w:hAnsi="仿宋" w:eastAsia="仿宋" w:cs="仿宋"/>
                <w:color w:val="auto"/>
                <w:sz w:val="21"/>
                <w:szCs w:val="21"/>
                <w:highlight w:val="none"/>
                <w:u w:val="none"/>
              </w:rPr>
              <w:t>-</w:t>
            </w:r>
            <w:r>
              <w:rPr>
                <w:rFonts w:hint="eastAsia" w:ascii="仿宋" w:hAnsi="仿宋" w:eastAsia="仿宋" w:cs="仿宋"/>
                <w:color w:val="auto"/>
                <w:sz w:val="21"/>
                <w:szCs w:val="21"/>
                <w:highlight w:val="none"/>
                <w:u w:val="none"/>
                <w:lang w:val="en-US" w:eastAsia="zh-CN"/>
              </w:rPr>
              <w:t>22:00</w:t>
            </w:r>
            <w:r>
              <w:rPr>
                <w:rFonts w:hint="eastAsia" w:ascii="仿宋" w:hAnsi="仿宋" w:eastAsia="仿宋" w:cs="仿宋"/>
                <w:color w:val="auto"/>
                <w:sz w:val="21"/>
                <w:szCs w:val="21"/>
                <w:highlight w:val="none"/>
                <w:u w:val="none"/>
              </w:rPr>
              <w:t>）。</w:t>
            </w:r>
          </w:p>
          <w:p w14:paraId="68334E31">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color w:val="auto"/>
                <w:sz w:val="21"/>
                <w:szCs w:val="21"/>
                <w:highlight w:val="none"/>
                <w:u w:val="none"/>
              </w:rPr>
            </w:pPr>
            <w:r>
              <w:rPr>
                <w:rFonts w:hint="eastAsia" w:ascii="仿宋" w:hAnsi="仿宋" w:eastAsia="仿宋" w:cs="仿宋"/>
                <w:color w:val="auto"/>
                <w:sz w:val="21"/>
                <w:szCs w:val="21"/>
                <w:highlight w:val="none"/>
                <w:u w:val="none"/>
              </w:rPr>
              <w:t>⑦与被访人进行核实确认；告知被访人的办公室门牌号；告知访客注意事项（</w:t>
            </w:r>
            <w:r>
              <w:rPr>
                <w:rFonts w:hint="eastAsia" w:ascii="仿宋" w:hAnsi="仿宋" w:eastAsia="仿宋" w:cs="仿宋"/>
                <w:color w:val="auto"/>
                <w:sz w:val="21"/>
                <w:szCs w:val="21"/>
                <w:highlight w:val="none"/>
                <w:u w:val="none"/>
                <w:lang w:val="en-US" w:eastAsia="zh-CN"/>
              </w:rPr>
              <w:t>根据实际需要</w:t>
            </w:r>
            <w:r>
              <w:rPr>
                <w:rFonts w:hint="eastAsia" w:ascii="仿宋" w:hAnsi="仿宋" w:eastAsia="仿宋" w:cs="仿宋"/>
                <w:color w:val="auto"/>
                <w:sz w:val="21"/>
                <w:szCs w:val="21"/>
                <w:highlight w:val="none"/>
                <w:u w:val="none"/>
              </w:rPr>
              <w:t>填写</w:t>
            </w:r>
            <w:r>
              <w:rPr>
                <w:rFonts w:hint="eastAsia" w:ascii="仿宋" w:hAnsi="仿宋" w:eastAsia="仿宋" w:cs="仿宋"/>
                <w:color w:val="auto"/>
                <w:sz w:val="21"/>
                <w:szCs w:val="21"/>
                <w:highlight w:val="none"/>
                <w:u w:val="none"/>
                <w:lang w:val="en-US" w:eastAsia="zh-CN"/>
              </w:rPr>
              <w:t>注意事项</w:t>
            </w:r>
            <w:r>
              <w:rPr>
                <w:rFonts w:hint="eastAsia" w:ascii="仿宋" w:hAnsi="仿宋" w:eastAsia="仿宋" w:cs="仿宋"/>
                <w:color w:val="auto"/>
                <w:sz w:val="21"/>
                <w:szCs w:val="21"/>
                <w:highlight w:val="none"/>
                <w:u w:val="none"/>
              </w:rPr>
              <w:t>）。</w:t>
            </w:r>
          </w:p>
        </w:tc>
      </w:tr>
      <w:tr w14:paraId="4D0AD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74" w:type="dxa"/>
            <w:vMerge w:val="continue"/>
            <w:noWrap w:val="0"/>
            <w:vAlign w:val="center"/>
          </w:tcPr>
          <w:p w14:paraId="5722152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71" w:type="dxa"/>
            <w:vMerge w:val="continue"/>
            <w:noWrap w:val="0"/>
            <w:vAlign w:val="center"/>
          </w:tcPr>
          <w:p w14:paraId="5BCC07B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0988" w:type="dxa"/>
            <w:noWrap w:val="0"/>
            <w:vAlign w:val="center"/>
          </w:tcPr>
          <w:p w14:paraId="1DF0EEE0">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color w:val="auto"/>
                <w:sz w:val="21"/>
                <w:szCs w:val="21"/>
                <w:highlight w:val="none"/>
                <w:u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（9）......</w:t>
            </w:r>
          </w:p>
        </w:tc>
      </w:tr>
      <w:tr w14:paraId="1EC5D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74" w:type="dxa"/>
            <w:vMerge w:val="restart"/>
            <w:noWrap w:val="0"/>
            <w:vAlign w:val="center"/>
          </w:tcPr>
          <w:p w14:paraId="2BA4F7C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w:t>
            </w:r>
          </w:p>
        </w:tc>
        <w:tc>
          <w:tcPr>
            <w:tcW w:w="2471" w:type="dxa"/>
            <w:vMerge w:val="restart"/>
            <w:noWrap w:val="0"/>
            <w:vAlign w:val="center"/>
          </w:tcPr>
          <w:p w14:paraId="235428D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值班</w:t>
            </w:r>
            <w:r>
              <w:rPr>
                <w:rFonts w:hint="eastAsia" w:ascii="仿宋" w:hAnsi="仿宋" w:eastAsia="仿宋" w:cs="仿宋"/>
                <w:sz w:val="21"/>
                <w:szCs w:val="21"/>
                <w:highlight w:val="none"/>
              </w:rPr>
              <w:t>巡查</w:t>
            </w:r>
          </w:p>
        </w:tc>
        <w:tc>
          <w:tcPr>
            <w:tcW w:w="10988" w:type="dxa"/>
            <w:noWrap w:val="0"/>
            <w:vAlign w:val="center"/>
          </w:tcPr>
          <w:p w14:paraId="076F0474">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（1）建立24小时值班巡查制度。</w:t>
            </w:r>
          </w:p>
        </w:tc>
      </w:tr>
      <w:tr w14:paraId="36EE2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74" w:type="dxa"/>
            <w:vMerge w:val="continue"/>
            <w:noWrap w:val="0"/>
            <w:vAlign w:val="center"/>
          </w:tcPr>
          <w:p w14:paraId="0C37EF2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71" w:type="dxa"/>
            <w:vMerge w:val="continue"/>
            <w:noWrap w:val="0"/>
            <w:vAlign w:val="center"/>
          </w:tcPr>
          <w:p w14:paraId="073D084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10988" w:type="dxa"/>
            <w:noWrap w:val="0"/>
            <w:vAlign w:val="center"/>
          </w:tcPr>
          <w:p w14:paraId="63D8471C">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（2）制定巡查路线，按照指定时间和路线执行，加强重点区域、重点部位及装修区域的巡查。</w:t>
            </w:r>
          </w:p>
        </w:tc>
      </w:tr>
      <w:tr w14:paraId="27146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74" w:type="dxa"/>
            <w:vMerge w:val="continue"/>
            <w:noWrap w:val="0"/>
            <w:vAlign w:val="center"/>
          </w:tcPr>
          <w:p w14:paraId="4FB9F7C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71" w:type="dxa"/>
            <w:vMerge w:val="continue"/>
            <w:noWrap w:val="0"/>
            <w:vAlign w:val="center"/>
          </w:tcPr>
          <w:p w14:paraId="62DD42A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10988" w:type="dxa"/>
            <w:noWrap w:val="0"/>
            <w:vAlign w:val="center"/>
          </w:tcPr>
          <w:p w14:paraId="2E5641A7">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（3）巡查期间保持通信设施设备畅通，遇到异常情况立即上报并在现场采取相应措施。</w:t>
            </w:r>
          </w:p>
        </w:tc>
      </w:tr>
      <w:tr w14:paraId="61E14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74" w:type="dxa"/>
            <w:vMerge w:val="continue"/>
            <w:noWrap w:val="0"/>
            <w:vAlign w:val="center"/>
          </w:tcPr>
          <w:p w14:paraId="3B6664E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71" w:type="dxa"/>
            <w:vMerge w:val="continue"/>
            <w:noWrap w:val="0"/>
            <w:vAlign w:val="center"/>
          </w:tcPr>
          <w:p w14:paraId="5163EDC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0988" w:type="dxa"/>
            <w:noWrap w:val="0"/>
            <w:vAlign w:val="center"/>
          </w:tcPr>
          <w:p w14:paraId="0EBBD29E">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（4）收到监控室指令后，巡查人员及时到达指定地点并迅速采取相应措施。</w:t>
            </w:r>
          </w:p>
        </w:tc>
      </w:tr>
      <w:tr w14:paraId="66F19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74" w:type="dxa"/>
            <w:vMerge w:val="continue"/>
            <w:noWrap w:val="0"/>
            <w:vAlign w:val="center"/>
          </w:tcPr>
          <w:p w14:paraId="4BE64FA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71" w:type="dxa"/>
            <w:vMerge w:val="continue"/>
            <w:noWrap w:val="0"/>
            <w:vAlign w:val="center"/>
          </w:tcPr>
          <w:p w14:paraId="20327D2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0988" w:type="dxa"/>
            <w:noWrap w:val="0"/>
            <w:vAlign w:val="center"/>
          </w:tcPr>
          <w:p w14:paraId="04B8EFDF">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（5）......</w:t>
            </w:r>
          </w:p>
        </w:tc>
      </w:tr>
      <w:tr w14:paraId="1E56E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74" w:type="dxa"/>
            <w:vMerge w:val="restart"/>
            <w:noWrap w:val="0"/>
            <w:vAlign w:val="center"/>
          </w:tcPr>
          <w:p w14:paraId="303B6C4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4</w:t>
            </w:r>
          </w:p>
        </w:tc>
        <w:tc>
          <w:tcPr>
            <w:tcW w:w="2471" w:type="dxa"/>
            <w:vMerge w:val="restart"/>
            <w:noWrap w:val="0"/>
            <w:vAlign w:val="center"/>
          </w:tcPr>
          <w:p w14:paraId="3A071E2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监控</w:t>
            </w:r>
            <w:r>
              <w:rPr>
                <w:rFonts w:hint="eastAsia" w:ascii="仿宋" w:hAnsi="仿宋" w:eastAsia="仿宋" w:cs="仿宋"/>
                <w:sz w:val="21"/>
                <w:szCs w:val="21"/>
                <w:highlight w:val="none"/>
                <w:lang w:val="en-US" w:eastAsia="zh-CN"/>
              </w:rPr>
              <w:t>值守</w:t>
            </w:r>
          </w:p>
        </w:tc>
        <w:tc>
          <w:tcPr>
            <w:tcW w:w="10988" w:type="dxa"/>
            <w:noWrap w:val="0"/>
            <w:vAlign w:val="center"/>
          </w:tcPr>
          <w:p w14:paraId="406261A4">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（1）监控室环境符合系统设备运行要求，定期进行检查和检测，确保系统功能正常。</w:t>
            </w:r>
          </w:p>
        </w:tc>
      </w:tr>
      <w:tr w14:paraId="7410C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74" w:type="dxa"/>
            <w:vMerge w:val="continue"/>
            <w:noWrap w:val="0"/>
            <w:vAlign w:val="center"/>
          </w:tcPr>
          <w:p w14:paraId="1F78BFB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71" w:type="dxa"/>
            <w:vMerge w:val="continue"/>
            <w:noWrap w:val="0"/>
            <w:vAlign w:val="center"/>
          </w:tcPr>
          <w:p w14:paraId="05E64B8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0988" w:type="dxa"/>
            <w:noWrap w:val="0"/>
            <w:vAlign w:val="center"/>
          </w:tcPr>
          <w:p w14:paraId="6DF2EB6D">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（2）监控设备24小时正常运行，监控室实行专人24小时值班制度。</w:t>
            </w:r>
          </w:p>
        </w:tc>
      </w:tr>
      <w:tr w14:paraId="7EDD0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74" w:type="dxa"/>
            <w:vMerge w:val="continue"/>
            <w:noWrap w:val="0"/>
            <w:vAlign w:val="center"/>
          </w:tcPr>
          <w:p w14:paraId="0BE17AD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71" w:type="dxa"/>
            <w:vMerge w:val="continue"/>
            <w:noWrap w:val="0"/>
            <w:vAlign w:val="center"/>
          </w:tcPr>
          <w:p w14:paraId="2A687F5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0988" w:type="dxa"/>
            <w:noWrap w:val="0"/>
            <w:vAlign w:val="center"/>
          </w:tcPr>
          <w:p w14:paraId="1C0F9809">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（3）监控记录画面清晰，视频监控无死角、无盲区。</w:t>
            </w:r>
          </w:p>
        </w:tc>
      </w:tr>
      <w:tr w14:paraId="7B05A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74" w:type="dxa"/>
            <w:vMerge w:val="continue"/>
            <w:noWrap w:val="0"/>
            <w:vAlign w:val="center"/>
          </w:tcPr>
          <w:p w14:paraId="07163C0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71" w:type="dxa"/>
            <w:vMerge w:val="continue"/>
            <w:noWrap w:val="0"/>
            <w:vAlign w:val="center"/>
          </w:tcPr>
          <w:p w14:paraId="14B311D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0988" w:type="dxa"/>
            <w:noWrap w:val="0"/>
            <w:vAlign w:val="center"/>
          </w:tcPr>
          <w:p w14:paraId="125DB0C0">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（4）值班期间遵守操作规程和保密制度，做好监控记录的保存工作。</w:t>
            </w:r>
          </w:p>
        </w:tc>
      </w:tr>
      <w:tr w14:paraId="3CC59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74" w:type="dxa"/>
            <w:vMerge w:val="continue"/>
            <w:noWrap w:val="0"/>
            <w:vAlign w:val="center"/>
          </w:tcPr>
          <w:p w14:paraId="5A22780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71" w:type="dxa"/>
            <w:vMerge w:val="continue"/>
            <w:noWrap w:val="0"/>
            <w:vAlign w:val="center"/>
          </w:tcPr>
          <w:p w14:paraId="07EB54A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0988" w:type="dxa"/>
            <w:noWrap w:val="0"/>
            <w:vAlign w:val="center"/>
          </w:tcPr>
          <w:p w14:paraId="186EC3C8">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（5）监控记录保持完整，保存时间不应少于90天。</w:t>
            </w:r>
          </w:p>
        </w:tc>
      </w:tr>
      <w:tr w14:paraId="1FE70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1274" w:type="dxa"/>
            <w:vMerge w:val="continue"/>
            <w:noWrap w:val="0"/>
            <w:vAlign w:val="center"/>
          </w:tcPr>
          <w:p w14:paraId="65F0EBC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71" w:type="dxa"/>
            <w:vMerge w:val="continue"/>
            <w:noWrap w:val="0"/>
            <w:vAlign w:val="center"/>
          </w:tcPr>
          <w:p w14:paraId="4C9FC8B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0988" w:type="dxa"/>
            <w:noWrap w:val="0"/>
            <w:vAlign w:val="center"/>
          </w:tcPr>
          <w:p w14:paraId="7559FC7A">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（6）无关人员进入监控室或查阅监控记录，经授权人批准并做好相关记录。</w:t>
            </w:r>
          </w:p>
        </w:tc>
      </w:tr>
      <w:tr w14:paraId="72C46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74" w:type="dxa"/>
            <w:vMerge w:val="continue"/>
            <w:noWrap w:val="0"/>
            <w:vAlign w:val="center"/>
          </w:tcPr>
          <w:p w14:paraId="018AA32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71" w:type="dxa"/>
            <w:vMerge w:val="continue"/>
            <w:noWrap w:val="0"/>
            <w:vAlign w:val="center"/>
          </w:tcPr>
          <w:p w14:paraId="2B1223F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0988" w:type="dxa"/>
            <w:noWrap w:val="0"/>
            <w:vAlign w:val="center"/>
          </w:tcPr>
          <w:p w14:paraId="09B52B4B">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（7）监控室收到火情等报警信号、其他异常情况信号后，及时报警并安排其他安保人员前往现场进行处理。</w:t>
            </w:r>
          </w:p>
        </w:tc>
      </w:tr>
      <w:tr w14:paraId="79658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74" w:type="dxa"/>
            <w:vMerge w:val="continue"/>
            <w:noWrap w:val="0"/>
            <w:vAlign w:val="center"/>
          </w:tcPr>
          <w:p w14:paraId="562E683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71" w:type="dxa"/>
            <w:vMerge w:val="continue"/>
            <w:noWrap w:val="0"/>
            <w:vAlign w:val="center"/>
          </w:tcPr>
          <w:p w14:paraId="0A1CC7F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0988" w:type="dxa"/>
            <w:noWrap w:val="0"/>
            <w:vAlign w:val="center"/>
          </w:tcPr>
          <w:p w14:paraId="31EB7EB3">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（8）......</w:t>
            </w:r>
          </w:p>
        </w:tc>
      </w:tr>
      <w:tr w14:paraId="01302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74" w:type="dxa"/>
            <w:vMerge w:val="restart"/>
            <w:noWrap w:val="0"/>
            <w:vAlign w:val="center"/>
          </w:tcPr>
          <w:p w14:paraId="67D5B8E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5</w:t>
            </w:r>
          </w:p>
        </w:tc>
        <w:tc>
          <w:tcPr>
            <w:tcW w:w="2471" w:type="dxa"/>
            <w:vMerge w:val="restart"/>
            <w:noWrap w:val="0"/>
            <w:vAlign w:val="center"/>
          </w:tcPr>
          <w:p w14:paraId="42DA974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车辆停放</w:t>
            </w:r>
          </w:p>
        </w:tc>
        <w:tc>
          <w:tcPr>
            <w:tcW w:w="10988" w:type="dxa"/>
            <w:noWrap w:val="0"/>
            <w:vAlign w:val="center"/>
          </w:tcPr>
          <w:p w14:paraId="04538837">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（1）车辆行驶路线设置合理、规范，导向标志完整、清晰。</w:t>
            </w:r>
          </w:p>
        </w:tc>
      </w:tr>
      <w:tr w14:paraId="510FE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74" w:type="dxa"/>
            <w:vMerge w:val="continue"/>
            <w:noWrap w:val="0"/>
            <w:vAlign w:val="center"/>
          </w:tcPr>
          <w:p w14:paraId="5DC00FF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71" w:type="dxa"/>
            <w:vMerge w:val="continue"/>
            <w:noWrap w:val="0"/>
            <w:vAlign w:val="center"/>
          </w:tcPr>
          <w:p w14:paraId="1D0C3D4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0988" w:type="dxa"/>
            <w:noWrap w:val="0"/>
            <w:vAlign w:val="center"/>
          </w:tcPr>
          <w:p w14:paraId="0AE2FBD1">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（2）合理规划车辆停放区域，张贴车辆引导标识，对车辆及停放区域实行规范管理。</w:t>
            </w:r>
          </w:p>
        </w:tc>
      </w:tr>
      <w:tr w14:paraId="56E5B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74" w:type="dxa"/>
            <w:vMerge w:val="continue"/>
            <w:noWrap w:val="0"/>
            <w:vAlign w:val="center"/>
          </w:tcPr>
          <w:p w14:paraId="5E877B4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71" w:type="dxa"/>
            <w:vMerge w:val="continue"/>
            <w:noWrap w:val="0"/>
            <w:vAlign w:val="center"/>
          </w:tcPr>
          <w:p w14:paraId="5FF91A8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0988" w:type="dxa"/>
            <w:noWrap w:val="0"/>
            <w:vAlign w:val="center"/>
          </w:tcPr>
          <w:p w14:paraId="0CD2DF75">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（3）严禁在办公楼的公用走道、楼梯间、安全出口处等公共区域停放车辆或充电。</w:t>
            </w:r>
          </w:p>
        </w:tc>
      </w:tr>
      <w:tr w14:paraId="0D93B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74" w:type="dxa"/>
            <w:vMerge w:val="continue"/>
            <w:noWrap w:val="0"/>
            <w:vAlign w:val="center"/>
          </w:tcPr>
          <w:p w14:paraId="420ECFA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71" w:type="dxa"/>
            <w:vMerge w:val="continue"/>
            <w:noWrap w:val="0"/>
            <w:vAlign w:val="center"/>
          </w:tcPr>
          <w:p w14:paraId="3248391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0988" w:type="dxa"/>
            <w:noWrap w:val="0"/>
            <w:vAlign w:val="center"/>
          </w:tcPr>
          <w:p w14:paraId="02E8DAA7">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（4）非机动车定点有序停放。</w:t>
            </w:r>
          </w:p>
        </w:tc>
      </w:tr>
      <w:tr w14:paraId="3863C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74" w:type="dxa"/>
            <w:vMerge w:val="continue"/>
            <w:noWrap w:val="0"/>
            <w:vAlign w:val="center"/>
          </w:tcPr>
          <w:p w14:paraId="094A8D8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71" w:type="dxa"/>
            <w:vMerge w:val="continue"/>
            <w:noWrap w:val="0"/>
            <w:vAlign w:val="center"/>
          </w:tcPr>
          <w:p w14:paraId="3C04AC4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0988" w:type="dxa"/>
            <w:noWrap w:val="0"/>
            <w:vAlign w:val="center"/>
          </w:tcPr>
          <w:p w14:paraId="0227F277">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（5）发现车辆异常情况及时通知车主，并做好登记；发生交通事故、自然灾害等意外事故时及时赶赴现场疏导和协助处理，响应时间不超过3分钟。</w:t>
            </w:r>
          </w:p>
        </w:tc>
      </w:tr>
      <w:tr w14:paraId="50ABF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74" w:type="dxa"/>
            <w:vMerge w:val="continue"/>
            <w:noWrap w:val="0"/>
            <w:vAlign w:val="center"/>
          </w:tcPr>
          <w:p w14:paraId="40AE616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71" w:type="dxa"/>
            <w:vMerge w:val="continue"/>
            <w:noWrap w:val="0"/>
            <w:vAlign w:val="center"/>
          </w:tcPr>
          <w:p w14:paraId="476C35D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0988" w:type="dxa"/>
            <w:noWrap w:val="0"/>
            <w:vAlign w:val="center"/>
          </w:tcPr>
          <w:p w14:paraId="2F9BA7C3">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（6）......</w:t>
            </w:r>
          </w:p>
        </w:tc>
      </w:tr>
      <w:tr w14:paraId="22721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74" w:type="dxa"/>
            <w:vMerge w:val="restart"/>
            <w:noWrap w:val="0"/>
            <w:vAlign w:val="center"/>
          </w:tcPr>
          <w:p w14:paraId="58A289F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6</w:t>
            </w:r>
          </w:p>
        </w:tc>
        <w:tc>
          <w:tcPr>
            <w:tcW w:w="2471" w:type="dxa"/>
            <w:vMerge w:val="restart"/>
            <w:noWrap w:val="0"/>
            <w:vAlign w:val="center"/>
          </w:tcPr>
          <w:p w14:paraId="2C1C22C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rPr>
              <w:t>消防安全管理</w:t>
            </w:r>
          </w:p>
        </w:tc>
        <w:tc>
          <w:tcPr>
            <w:tcW w:w="10988" w:type="dxa"/>
            <w:noWrap w:val="0"/>
            <w:vAlign w:val="center"/>
          </w:tcPr>
          <w:p w14:paraId="6BE78A08">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（1）建立消防安全责任制，确定各级消防安全责任人及其职责。</w:t>
            </w:r>
          </w:p>
        </w:tc>
      </w:tr>
      <w:tr w14:paraId="2D42D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74" w:type="dxa"/>
            <w:vMerge w:val="continue"/>
            <w:noWrap w:val="0"/>
            <w:vAlign w:val="center"/>
          </w:tcPr>
          <w:p w14:paraId="79896D0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71" w:type="dxa"/>
            <w:vMerge w:val="continue"/>
            <w:noWrap w:val="0"/>
            <w:vAlign w:val="center"/>
          </w:tcPr>
          <w:p w14:paraId="226CD72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0988" w:type="dxa"/>
            <w:noWrap w:val="0"/>
            <w:vAlign w:val="center"/>
          </w:tcPr>
          <w:p w14:paraId="35B64720">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（2）消防控制室实行24小时值班制度，每班不少于2人。</w:t>
            </w:r>
          </w:p>
        </w:tc>
      </w:tr>
      <w:tr w14:paraId="32DE2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74" w:type="dxa"/>
            <w:vMerge w:val="continue"/>
            <w:noWrap w:val="0"/>
            <w:vAlign w:val="center"/>
          </w:tcPr>
          <w:p w14:paraId="26EC54A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71" w:type="dxa"/>
            <w:vMerge w:val="continue"/>
            <w:noWrap w:val="0"/>
            <w:vAlign w:val="center"/>
          </w:tcPr>
          <w:p w14:paraId="5863DEE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0988" w:type="dxa"/>
            <w:noWrap w:val="0"/>
            <w:vAlign w:val="center"/>
          </w:tcPr>
          <w:p w14:paraId="326CAE02">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（3）消火栓、应急照明、应急物资、消防及人员逃生通道、消防车通道可随时正常使用。</w:t>
            </w:r>
          </w:p>
        </w:tc>
      </w:tr>
      <w:tr w14:paraId="3968A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74" w:type="dxa"/>
            <w:vMerge w:val="continue"/>
            <w:noWrap w:val="0"/>
            <w:vAlign w:val="center"/>
          </w:tcPr>
          <w:p w14:paraId="20BB2A9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71" w:type="dxa"/>
            <w:vMerge w:val="continue"/>
            <w:noWrap w:val="0"/>
            <w:vAlign w:val="center"/>
          </w:tcPr>
          <w:p w14:paraId="2604402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0988" w:type="dxa"/>
            <w:noWrap w:val="0"/>
            <w:vAlign w:val="center"/>
          </w:tcPr>
          <w:p w14:paraId="2FBF6C50">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（4）易燃易爆品设专区专人管理，做好相关记录。</w:t>
            </w:r>
          </w:p>
        </w:tc>
      </w:tr>
      <w:tr w14:paraId="58802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74" w:type="dxa"/>
            <w:vMerge w:val="continue"/>
            <w:noWrap w:val="0"/>
            <w:vAlign w:val="center"/>
          </w:tcPr>
          <w:p w14:paraId="3DACE5F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71" w:type="dxa"/>
            <w:vMerge w:val="continue"/>
            <w:noWrap w:val="0"/>
            <w:vAlign w:val="center"/>
          </w:tcPr>
          <w:p w14:paraId="0682041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0988" w:type="dxa"/>
            <w:noWrap w:val="0"/>
            <w:vAlign w:val="center"/>
          </w:tcPr>
          <w:p w14:paraId="6DDFB289">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（5）定期组织消防安全宣传，每半年至少开展1次消防演练。</w:t>
            </w:r>
          </w:p>
        </w:tc>
      </w:tr>
      <w:tr w14:paraId="398B9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74" w:type="dxa"/>
            <w:vMerge w:val="continue"/>
            <w:noWrap w:val="0"/>
            <w:vAlign w:val="center"/>
          </w:tcPr>
          <w:p w14:paraId="11F8A92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71" w:type="dxa"/>
            <w:vMerge w:val="continue"/>
            <w:noWrap w:val="0"/>
            <w:vAlign w:val="center"/>
          </w:tcPr>
          <w:p w14:paraId="20A0358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0988" w:type="dxa"/>
            <w:noWrap w:val="0"/>
            <w:vAlign w:val="center"/>
          </w:tcPr>
          <w:p w14:paraId="06731E8C">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（6）......</w:t>
            </w:r>
          </w:p>
        </w:tc>
      </w:tr>
      <w:tr w14:paraId="514EE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74" w:type="dxa"/>
            <w:vMerge w:val="restart"/>
            <w:noWrap w:val="0"/>
            <w:vAlign w:val="center"/>
          </w:tcPr>
          <w:p w14:paraId="4F92D6A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7</w:t>
            </w:r>
          </w:p>
        </w:tc>
        <w:tc>
          <w:tcPr>
            <w:tcW w:w="2471" w:type="dxa"/>
            <w:vMerge w:val="restart"/>
            <w:noWrap w:val="0"/>
            <w:vAlign w:val="center"/>
          </w:tcPr>
          <w:p w14:paraId="3F553F9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突发事件处理</w:t>
            </w:r>
          </w:p>
        </w:tc>
        <w:tc>
          <w:tcPr>
            <w:tcW w:w="10988" w:type="dxa"/>
            <w:noWrap w:val="0"/>
            <w:vAlign w:val="center"/>
          </w:tcPr>
          <w:p w14:paraId="4D0A4CB8">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（1）制定突发事件安全责任书，明确突发事件责任人及应承担的安全责任。</w:t>
            </w:r>
          </w:p>
        </w:tc>
      </w:tr>
      <w:tr w14:paraId="309BE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74" w:type="dxa"/>
            <w:vMerge w:val="continue"/>
            <w:noWrap w:val="0"/>
            <w:vAlign w:val="center"/>
          </w:tcPr>
          <w:p w14:paraId="71E353F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71" w:type="dxa"/>
            <w:vMerge w:val="continue"/>
            <w:noWrap w:val="0"/>
            <w:vAlign w:val="center"/>
          </w:tcPr>
          <w:p w14:paraId="0C10DD4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0988" w:type="dxa"/>
            <w:noWrap w:val="0"/>
            <w:vAlign w:val="center"/>
          </w:tcPr>
          <w:p w14:paraId="5C781B46">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（2）建立应急突发事件处置队伍，明确各自的职责。</w:t>
            </w:r>
          </w:p>
        </w:tc>
      </w:tr>
      <w:tr w14:paraId="30312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74" w:type="dxa"/>
            <w:vMerge w:val="continue"/>
            <w:noWrap w:val="0"/>
            <w:vAlign w:val="center"/>
          </w:tcPr>
          <w:p w14:paraId="5A7E086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71" w:type="dxa"/>
            <w:vMerge w:val="continue"/>
            <w:noWrap w:val="0"/>
            <w:vAlign w:val="center"/>
          </w:tcPr>
          <w:p w14:paraId="1379C1B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0988" w:type="dxa"/>
            <w:noWrap w:val="0"/>
            <w:vAlign w:val="center"/>
          </w:tcPr>
          <w:p w14:paraId="0DF7481B">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（3）识别、分析各种潜在风险，针对不同风险类型制定相应解决方案，并配备应急物资。</w:t>
            </w:r>
          </w:p>
        </w:tc>
      </w:tr>
      <w:tr w14:paraId="77133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74" w:type="dxa"/>
            <w:vMerge w:val="continue"/>
            <w:noWrap w:val="0"/>
            <w:vAlign w:val="center"/>
          </w:tcPr>
          <w:p w14:paraId="0C24E46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71" w:type="dxa"/>
            <w:vMerge w:val="continue"/>
            <w:noWrap w:val="0"/>
            <w:vAlign w:val="center"/>
          </w:tcPr>
          <w:p w14:paraId="19061BB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0988" w:type="dxa"/>
            <w:noWrap w:val="0"/>
            <w:vAlign w:val="center"/>
          </w:tcPr>
          <w:p w14:paraId="2E73FA6E">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（4）每半年至少开展1次突发事件应急演练，并有相应记录。</w:t>
            </w:r>
          </w:p>
        </w:tc>
      </w:tr>
      <w:tr w14:paraId="6D3CC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74" w:type="dxa"/>
            <w:vMerge w:val="continue"/>
            <w:noWrap w:val="0"/>
            <w:vAlign w:val="center"/>
          </w:tcPr>
          <w:p w14:paraId="66DBC6B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71" w:type="dxa"/>
            <w:vMerge w:val="continue"/>
            <w:noWrap w:val="0"/>
            <w:vAlign w:val="center"/>
          </w:tcPr>
          <w:p w14:paraId="75012A9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0988" w:type="dxa"/>
            <w:noWrap w:val="0"/>
            <w:vAlign w:val="center"/>
          </w:tcPr>
          <w:p w14:paraId="41172325">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（5）发生意外事件时，及时采取应急措施，维护办公区域物业服务正常进行，保护人身财产安全。</w:t>
            </w:r>
          </w:p>
        </w:tc>
      </w:tr>
      <w:tr w14:paraId="2D770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74" w:type="dxa"/>
            <w:vMerge w:val="continue"/>
            <w:noWrap w:val="0"/>
            <w:vAlign w:val="center"/>
          </w:tcPr>
          <w:p w14:paraId="3A97B5A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71" w:type="dxa"/>
            <w:vMerge w:val="continue"/>
            <w:noWrap w:val="0"/>
            <w:vAlign w:val="center"/>
          </w:tcPr>
          <w:p w14:paraId="1EE8179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0988" w:type="dxa"/>
            <w:noWrap w:val="0"/>
            <w:vAlign w:val="center"/>
          </w:tcPr>
          <w:p w14:paraId="6E5DF708">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（6）办公区域物业服务应急预案终止实施后，积极采取措施，在尽可能短的时间内，消除事故带来的不良影响，妥善安置和慰问受害及受影响的人员和部门。</w:t>
            </w:r>
          </w:p>
        </w:tc>
      </w:tr>
      <w:tr w14:paraId="12B9F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74" w:type="dxa"/>
            <w:vMerge w:val="continue"/>
            <w:noWrap w:val="0"/>
            <w:vAlign w:val="center"/>
          </w:tcPr>
          <w:p w14:paraId="4FBBB62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71" w:type="dxa"/>
            <w:vMerge w:val="continue"/>
            <w:noWrap w:val="0"/>
            <w:vAlign w:val="center"/>
          </w:tcPr>
          <w:p w14:paraId="64CB2AB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0988" w:type="dxa"/>
            <w:noWrap w:val="0"/>
            <w:vAlign w:val="center"/>
          </w:tcPr>
          <w:p w14:paraId="50C03E48">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（7）事故处理后，及时形成事故应急总结报告，完善应急救援工作方案。</w:t>
            </w:r>
          </w:p>
        </w:tc>
      </w:tr>
      <w:tr w14:paraId="28F9B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74" w:type="dxa"/>
            <w:vMerge w:val="continue"/>
            <w:noWrap w:val="0"/>
            <w:vAlign w:val="center"/>
          </w:tcPr>
          <w:p w14:paraId="272F560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71" w:type="dxa"/>
            <w:vMerge w:val="continue"/>
            <w:noWrap w:val="0"/>
            <w:vAlign w:val="center"/>
          </w:tcPr>
          <w:p w14:paraId="5D83768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p>
        </w:tc>
        <w:tc>
          <w:tcPr>
            <w:tcW w:w="10988" w:type="dxa"/>
            <w:noWrap w:val="0"/>
            <w:vAlign w:val="center"/>
          </w:tcPr>
          <w:p w14:paraId="5BB5A979">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（8）......</w:t>
            </w:r>
          </w:p>
        </w:tc>
      </w:tr>
      <w:tr w14:paraId="3AF86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74" w:type="dxa"/>
            <w:vMerge w:val="restart"/>
            <w:noWrap w:val="0"/>
            <w:vAlign w:val="center"/>
          </w:tcPr>
          <w:p w14:paraId="23A4CE1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8</w:t>
            </w:r>
          </w:p>
        </w:tc>
        <w:tc>
          <w:tcPr>
            <w:tcW w:w="2471" w:type="dxa"/>
            <w:vMerge w:val="restart"/>
            <w:noWrap w:val="0"/>
            <w:vAlign w:val="center"/>
          </w:tcPr>
          <w:p w14:paraId="7FED268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大型活动秩序</w:t>
            </w:r>
          </w:p>
        </w:tc>
        <w:tc>
          <w:tcPr>
            <w:tcW w:w="10988" w:type="dxa"/>
            <w:noWrap w:val="0"/>
            <w:vAlign w:val="center"/>
          </w:tcPr>
          <w:p w14:paraId="32D94CC9">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（1）制定相应的活动秩序维护方案，合理安排人员，并对场所的安全隐患进行排查。</w:t>
            </w:r>
          </w:p>
        </w:tc>
      </w:tr>
      <w:tr w14:paraId="6FF39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74" w:type="dxa"/>
            <w:vMerge w:val="continue"/>
            <w:noWrap w:val="0"/>
            <w:vAlign w:val="center"/>
          </w:tcPr>
          <w:p w14:paraId="5AD98FB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71" w:type="dxa"/>
            <w:vMerge w:val="continue"/>
            <w:noWrap w:val="0"/>
            <w:vAlign w:val="center"/>
          </w:tcPr>
          <w:p w14:paraId="7545E10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1"/>
                <w:szCs w:val="21"/>
                <w:highlight w:val="none"/>
              </w:rPr>
            </w:pPr>
          </w:p>
        </w:tc>
        <w:tc>
          <w:tcPr>
            <w:tcW w:w="10988" w:type="dxa"/>
            <w:noWrap w:val="0"/>
            <w:vAlign w:val="center"/>
          </w:tcPr>
          <w:p w14:paraId="6BC58D81">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（2）应当保障通道、出入口、停车场等区域畅通。</w:t>
            </w:r>
          </w:p>
        </w:tc>
      </w:tr>
      <w:tr w14:paraId="45994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74" w:type="dxa"/>
            <w:vMerge w:val="continue"/>
            <w:noWrap w:val="0"/>
            <w:vAlign w:val="center"/>
          </w:tcPr>
          <w:p w14:paraId="652B407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71" w:type="dxa"/>
            <w:vMerge w:val="continue"/>
            <w:noWrap w:val="0"/>
            <w:vAlign w:val="center"/>
          </w:tcPr>
          <w:p w14:paraId="69B1EDE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1"/>
                <w:szCs w:val="21"/>
                <w:highlight w:val="none"/>
              </w:rPr>
            </w:pPr>
          </w:p>
        </w:tc>
        <w:tc>
          <w:tcPr>
            <w:tcW w:w="10988" w:type="dxa"/>
            <w:noWrap w:val="0"/>
            <w:vAlign w:val="center"/>
          </w:tcPr>
          <w:p w14:paraId="0D0FB4D8">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（3）活动举办过程中，做好现场秩序的维护和突发事故的处置工作，确保活动正常进行。</w:t>
            </w:r>
          </w:p>
        </w:tc>
      </w:tr>
      <w:tr w14:paraId="5359B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74" w:type="dxa"/>
            <w:vMerge w:val="continue"/>
            <w:noWrap w:val="0"/>
            <w:vAlign w:val="center"/>
          </w:tcPr>
          <w:p w14:paraId="260B1DB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471" w:type="dxa"/>
            <w:vMerge w:val="continue"/>
            <w:noWrap w:val="0"/>
            <w:vAlign w:val="center"/>
          </w:tcPr>
          <w:p w14:paraId="004739C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sz w:val="21"/>
                <w:szCs w:val="21"/>
                <w:highlight w:val="none"/>
              </w:rPr>
            </w:pPr>
          </w:p>
        </w:tc>
        <w:tc>
          <w:tcPr>
            <w:tcW w:w="10988" w:type="dxa"/>
            <w:noWrap w:val="0"/>
            <w:vAlign w:val="center"/>
          </w:tcPr>
          <w:p w14:paraId="56D09FC7">
            <w:pPr>
              <w:keepNext w:val="0"/>
              <w:keepLines w:val="0"/>
              <w:pageBreakBefore w:val="0"/>
              <w:widowControl/>
              <w:kinsoku/>
              <w:wordWrap/>
              <w:overflowPunct/>
              <w:topLinePunct w:val="0"/>
              <w:autoSpaceDE/>
              <w:autoSpaceDN/>
              <w:bidi w:val="0"/>
              <w:adjustRightInd/>
              <w:snapToGrid w:val="0"/>
              <w:spacing w:line="30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（4）......</w:t>
            </w:r>
          </w:p>
        </w:tc>
      </w:tr>
    </w:tbl>
    <w:p w14:paraId="3D4A0EC8">
      <w:pPr>
        <w:widowControl w:val="0"/>
        <w:bidi w:val="0"/>
        <w:snapToGrid w:val="0"/>
        <w:spacing w:line="300" w:lineRule="auto"/>
        <w:ind w:firstLine="562" w:firstLineChars="200"/>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3.7会议服务</w:t>
      </w:r>
    </w:p>
    <w:tbl>
      <w:tblPr>
        <w:tblStyle w:val="4"/>
        <w:tblW w:w="497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408"/>
        <w:gridCol w:w="6327"/>
      </w:tblGrid>
      <w:tr w14:paraId="77B27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1301" w:type="dxa"/>
            <w:noWrap w:val="0"/>
            <w:vAlign w:val="center"/>
          </w:tcPr>
          <w:p w14:paraId="1B5D0BAC">
            <w:pPr>
              <w:pageBreakBefore w:val="0"/>
              <w:widowControl/>
              <w:kinsoku/>
              <w:wordWrap/>
              <w:overflowPunct/>
              <w:topLinePunct w:val="0"/>
              <w:bidi w:val="0"/>
              <w:snapToGrid w:val="0"/>
              <w:spacing w:line="300" w:lineRule="auto"/>
              <w:ind w:left="0" w:leftChars="0" w:firstLine="0" w:firstLineChars="0"/>
              <w:jc w:val="center"/>
              <w:rPr>
                <w:rFonts w:hint="eastAsia" w:ascii="仿宋" w:hAnsi="仿宋" w:eastAsia="仿宋" w:cs="仿宋"/>
                <w:b/>
                <w:bCs/>
                <w:color w:val="auto"/>
                <w:kern w:val="0"/>
                <w:sz w:val="21"/>
                <w:szCs w:val="21"/>
                <w:highlight w:val="none"/>
                <w:lang w:val="en-US" w:eastAsia="zh-CN"/>
              </w:rPr>
            </w:pPr>
            <w:r>
              <w:rPr>
                <w:rFonts w:hint="eastAsia" w:ascii="仿宋" w:hAnsi="仿宋" w:eastAsia="仿宋" w:cs="仿宋"/>
                <w:b/>
                <w:bCs/>
                <w:color w:val="auto"/>
                <w:kern w:val="0"/>
                <w:sz w:val="21"/>
                <w:szCs w:val="21"/>
                <w:highlight w:val="none"/>
                <w:lang w:val="en-US" w:eastAsia="zh-CN"/>
              </w:rPr>
              <w:t>序号</w:t>
            </w:r>
          </w:p>
        </w:tc>
        <w:tc>
          <w:tcPr>
            <w:tcW w:w="2443" w:type="dxa"/>
            <w:noWrap w:val="0"/>
            <w:vAlign w:val="center"/>
          </w:tcPr>
          <w:p w14:paraId="683B1747">
            <w:pPr>
              <w:pageBreakBefore w:val="0"/>
              <w:widowControl/>
              <w:kinsoku/>
              <w:wordWrap/>
              <w:overflowPunct/>
              <w:topLinePunct w:val="0"/>
              <w:bidi w:val="0"/>
              <w:snapToGrid w:val="0"/>
              <w:spacing w:line="300" w:lineRule="auto"/>
              <w:ind w:left="0" w:leftChars="0" w:firstLine="0" w:firstLineChars="0"/>
              <w:jc w:val="center"/>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服务内容</w:t>
            </w:r>
          </w:p>
        </w:tc>
        <w:tc>
          <w:tcPr>
            <w:tcW w:w="10977" w:type="dxa"/>
            <w:noWrap w:val="0"/>
            <w:vAlign w:val="center"/>
          </w:tcPr>
          <w:p w14:paraId="0C39BBDF">
            <w:pPr>
              <w:pageBreakBefore w:val="0"/>
              <w:widowControl/>
              <w:kinsoku/>
              <w:wordWrap/>
              <w:overflowPunct/>
              <w:topLinePunct w:val="0"/>
              <w:bidi w:val="0"/>
              <w:snapToGrid w:val="0"/>
              <w:spacing w:line="300" w:lineRule="auto"/>
              <w:ind w:left="0" w:leftChars="0" w:firstLine="0" w:firstLineChars="0"/>
              <w:jc w:val="center"/>
              <w:rPr>
                <w:rFonts w:hint="eastAsia" w:ascii="仿宋" w:hAnsi="仿宋" w:eastAsia="仿宋" w:cs="仿宋"/>
                <w:b/>
                <w:bCs/>
                <w:color w:val="auto"/>
                <w:kern w:val="0"/>
                <w:sz w:val="21"/>
                <w:szCs w:val="21"/>
                <w:highlight w:val="none"/>
                <w:lang w:val="en-US" w:eastAsia="zh-CN"/>
              </w:rPr>
            </w:pPr>
            <w:r>
              <w:rPr>
                <w:rFonts w:hint="eastAsia" w:ascii="仿宋" w:hAnsi="仿宋" w:eastAsia="仿宋" w:cs="仿宋"/>
                <w:b/>
                <w:bCs/>
                <w:color w:val="auto"/>
                <w:kern w:val="0"/>
                <w:sz w:val="21"/>
                <w:szCs w:val="21"/>
                <w:highlight w:val="none"/>
                <w:lang w:val="en-US" w:eastAsia="zh-CN"/>
              </w:rPr>
              <w:t>服务标准</w:t>
            </w:r>
          </w:p>
        </w:tc>
      </w:tr>
      <w:tr w14:paraId="69DF6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01" w:type="dxa"/>
            <w:noWrap w:val="0"/>
            <w:vAlign w:val="center"/>
          </w:tcPr>
          <w:p w14:paraId="10A019C1">
            <w:pPr>
              <w:pageBreakBefore w:val="0"/>
              <w:widowControl/>
              <w:numPr>
                <w:ilvl w:val="0"/>
                <w:numId w:val="0"/>
              </w:numPr>
              <w:kinsoku/>
              <w:wordWrap/>
              <w:overflowPunct/>
              <w:topLinePunct w:val="0"/>
              <w:bidi w:val="0"/>
              <w:snapToGrid w:val="0"/>
              <w:spacing w:line="300" w:lineRule="auto"/>
              <w:ind w:left="0" w:leftChars="0" w:firstLine="0" w:firstLineChars="0"/>
              <w:jc w:val="center"/>
              <w:rPr>
                <w:rFonts w:hint="eastAsia" w:ascii="仿宋" w:hAnsi="仿宋" w:eastAsia="仿宋" w:cs="仿宋"/>
                <w:color w:val="auto"/>
                <w:sz w:val="21"/>
                <w:szCs w:val="21"/>
                <w:highlight w:val="none"/>
                <w:u w:val="none"/>
                <w:lang w:val="en-US" w:eastAsia="zh-CN"/>
              </w:rPr>
            </w:pPr>
            <w:r>
              <w:rPr>
                <w:rFonts w:hint="eastAsia" w:ascii="仿宋" w:hAnsi="仿宋" w:eastAsia="仿宋" w:cs="仿宋"/>
                <w:color w:val="auto"/>
                <w:sz w:val="21"/>
                <w:szCs w:val="21"/>
                <w:highlight w:val="none"/>
                <w:u w:val="none"/>
                <w:lang w:val="en-US" w:eastAsia="zh-CN"/>
              </w:rPr>
              <w:t>1</w:t>
            </w:r>
          </w:p>
        </w:tc>
        <w:tc>
          <w:tcPr>
            <w:tcW w:w="2443" w:type="dxa"/>
            <w:noWrap w:val="0"/>
            <w:vAlign w:val="center"/>
          </w:tcPr>
          <w:p w14:paraId="08DE277B">
            <w:pPr>
              <w:pageBreakBefore w:val="0"/>
              <w:widowControl/>
              <w:numPr>
                <w:ilvl w:val="0"/>
                <w:numId w:val="0"/>
              </w:numPr>
              <w:kinsoku/>
              <w:wordWrap/>
              <w:overflowPunct/>
              <w:topLinePunct w:val="0"/>
              <w:bidi w:val="0"/>
              <w:snapToGrid w:val="0"/>
              <w:spacing w:line="300" w:lineRule="auto"/>
              <w:ind w:left="0" w:leftChars="0" w:firstLine="0" w:firstLineChars="0"/>
              <w:rPr>
                <w:rFonts w:hint="eastAsia" w:ascii="仿宋" w:hAnsi="仿宋" w:eastAsia="仿宋" w:cs="仿宋"/>
                <w:color w:val="auto"/>
                <w:kern w:val="2"/>
                <w:sz w:val="21"/>
                <w:szCs w:val="21"/>
                <w:highlight w:val="none"/>
                <w:u w:val="none"/>
                <w:lang w:val="en-US" w:eastAsia="zh-CN" w:bidi="ar-SA"/>
              </w:rPr>
            </w:pPr>
            <w:r>
              <w:rPr>
                <w:rFonts w:hint="eastAsia" w:ascii="仿宋" w:hAnsi="仿宋" w:eastAsia="仿宋" w:cs="仿宋"/>
                <w:color w:val="auto"/>
                <w:sz w:val="21"/>
                <w:szCs w:val="21"/>
                <w:highlight w:val="none"/>
                <w:u w:val="none"/>
                <w:lang w:val="en-US" w:eastAsia="zh-CN"/>
              </w:rPr>
              <w:t>会议受理</w:t>
            </w:r>
          </w:p>
        </w:tc>
        <w:tc>
          <w:tcPr>
            <w:tcW w:w="10977" w:type="dxa"/>
            <w:noWrap w:val="0"/>
            <w:vAlign w:val="center"/>
          </w:tcPr>
          <w:p w14:paraId="4D77F108">
            <w:pPr>
              <w:pageBreakBefore w:val="0"/>
              <w:widowControl/>
              <w:numPr>
                <w:ilvl w:val="0"/>
                <w:numId w:val="0"/>
              </w:numPr>
              <w:kinsoku/>
              <w:wordWrap/>
              <w:overflowPunct/>
              <w:topLinePunct w:val="0"/>
              <w:bidi w:val="0"/>
              <w:snapToGrid w:val="0"/>
              <w:spacing w:line="300" w:lineRule="auto"/>
              <w:ind w:leftChars="0" w:firstLine="420" w:firstLineChars="200"/>
              <w:rPr>
                <w:rFonts w:hint="eastAsia" w:ascii="仿宋" w:hAnsi="仿宋" w:eastAsia="仿宋" w:cs="仿宋"/>
                <w:color w:val="auto"/>
                <w:kern w:val="2"/>
                <w:sz w:val="21"/>
                <w:szCs w:val="21"/>
                <w:highlight w:val="none"/>
                <w:u w:val="none"/>
                <w:lang w:val="en-US" w:eastAsia="zh-CN" w:bidi="ar-SA"/>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color w:val="auto"/>
                <w:sz w:val="21"/>
                <w:szCs w:val="21"/>
                <w:highlight w:val="none"/>
                <w:u w:val="none"/>
                <w:lang w:val="en-US" w:eastAsia="zh-CN"/>
              </w:rPr>
              <w:t>接受会议预订，记录会议需求。</w:t>
            </w:r>
          </w:p>
        </w:tc>
      </w:tr>
      <w:tr w14:paraId="2B2E4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01" w:type="dxa"/>
            <w:noWrap w:val="0"/>
            <w:vAlign w:val="center"/>
          </w:tcPr>
          <w:p w14:paraId="12A0F65E">
            <w:pPr>
              <w:pageBreakBefore w:val="0"/>
              <w:widowControl/>
              <w:numPr>
                <w:ilvl w:val="0"/>
                <w:numId w:val="0"/>
              </w:numPr>
              <w:kinsoku/>
              <w:wordWrap/>
              <w:overflowPunct/>
              <w:topLinePunct w:val="0"/>
              <w:bidi w:val="0"/>
              <w:snapToGrid w:val="0"/>
              <w:spacing w:line="300" w:lineRule="auto"/>
              <w:ind w:left="0" w:leftChars="0" w:firstLine="0" w:firstLineChars="0"/>
              <w:jc w:val="center"/>
              <w:rPr>
                <w:rFonts w:hint="eastAsia" w:ascii="仿宋" w:hAnsi="仿宋" w:eastAsia="仿宋" w:cs="仿宋"/>
                <w:color w:val="auto"/>
                <w:sz w:val="21"/>
                <w:szCs w:val="21"/>
                <w:highlight w:val="none"/>
                <w:u w:val="none"/>
                <w:lang w:val="en-US" w:eastAsia="zh-CN"/>
              </w:rPr>
            </w:pPr>
            <w:r>
              <w:rPr>
                <w:rFonts w:hint="eastAsia" w:ascii="仿宋" w:hAnsi="仿宋" w:eastAsia="仿宋" w:cs="仿宋"/>
                <w:color w:val="auto"/>
                <w:sz w:val="21"/>
                <w:szCs w:val="21"/>
                <w:highlight w:val="none"/>
                <w:u w:val="none"/>
                <w:lang w:val="en-US" w:eastAsia="zh-CN"/>
              </w:rPr>
              <w:t>2</w:t>
            </w:r>
          </w:p>
        </w:tc>
        <w:tc>
          <w:tcPr>
            <w:tcW w:w="2443" w:type="dxa"/>
            <w:noWrap w:val="0"/>
            <w:vAlign w:val="center"/>
          </w:tcPr>
          <w:p w14:paraId="16512371">
            <w:pPr>
              <w:pageBreakBefore w:val="0"/>
              <w:widowControl/>
              <w:numPr>
                <w:ilvl w:val="0"/>
                <w:numId w:val="0"/>
              </w:numPr>
              <w:kinsoku/>
              <w:wordWrap/>
              <w:overflowPunct/>
              <w:topLinePunct w:val="0"/>
              <w:bidi w:val="0"/>
              <w:snapToGrid w:val="0"/>
              <w:spacing w:line="300" w:lineRule="auto"/>
              <w:ind w:left="0" w:leftChars="0" w:firstLine="0" w:firstLineChars="0"/>
              <w:rPr>
                <w:rFonts w:hint="eastAsia" w:ascii="仿宋" w:hAnsi="仿宋" w:eastAsia="仿宋" w:cs="仿宋"/>
                <w:color w:val="auto"/>
                <w:kern w:val="2"/>
                <w:sz w:val="21"/>
                <w:szCs w:val="21"/>
                <w:highlight w:val="none"/>
                <w:u w:val="none"/>
                <w:lang w:val="en-US" w:eastAsia="zh-CN" w:bidi="ar-SA"/>
              </w:rPr>
            </w:pPr>
            <w:r>
              <w:rPr>
                <w:rFonts w:hint="eastAsia" w:ascii="仿宋" w:hAnsi="仿宋" w:eastAsia="仿宋" w:cs="仿宋"/>
                <w:color w:val="auto"/>
                <w:sz w:val="21"/>
                <w:szCs w:val="21"/>
                <w:highlight w:val="none"/>
                <w:u w:val="none"/>
                <w:lang w:val="en-US" w:eastAsia="zh-CN"/>
              </w:rPr>
              <w:t>会前准备</w:t>
            </w:r>
          </w:p>
        </w:tc>
        <w:tc>
          <w:tcPr>
            <w:tcW w:w="10977" w:type="dxa"/>
            <w:noWrap w:val="0"/>
            <w:vAlign w:val="center"/>
          </w:tcPr>
          <w:p w14:paraId="511B01A3">
            <w:pPr>
              <w:pageBreakBefore w:val="0"/>
              <w:widowControl/>
              <w:numPr>
                <w:ilvl w:val="0"/>
                <w:numId w:val="0"/>
              </w:numPr>
              <w:kinsoku/>
              <w:wordWrap/>
              <w:overflowPunct/>
              <w:topLinePunct w:val="0"/>
              <w:bidi w:val="0"/>
              <w:snapToGrid w:val="0"/>
              <w:spacing w:line="300" w:lineRule="auto"/>
              <w:ind w:leftChars="0" w:firstLine="420" w:firstLineChars="200"/>
              <w:rPr>
                <w:rFonts w:hint="eastAsia" w:ascii="仿宋" w:hAnsi="仿宋" w:eastAsia="仿宋" w:cs="仿宋"/>
                <w:color w:val="auto"/>
                <w:kern w:val="2"/>
                <w:sz w:val="21"/>
                <w:szCs w:val="21"/>
                <w:highlight w:val="none"/>
                <w:u w:val="none"/>
                <w:lang w:val="en-US" w:eastAsia="zh-CN" w:bidi="ar-SA"/>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color w:val="auto"/>
                <w:sz w:val="21"/>
                <w:szCs w:val="21"/>
                <w:highlight w:val="none"/>
                <w:u w:val="none"/>
                <w:lang w:val="en-US" w:eastAsia="zh-CN"/>
              </w:rPr>
              <w:t>根据会议需求、场地大小、用途，明确会议桌椅、物品、设备、文具等摆放规定，音、视频设施保障措施。</w:t>
            </w:r>
          </w:p>
        </w:tc>
      </w:tr>
      <w:tr w14:paraId="11243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01" w:type="dxa"/>
            <w:noWrap w:val="0"/>
            <w:vAlign w:val="center"/>
          </w:tcPr>
          <w:p w14:paraId="60BCD2BE">
            <w:pPr>
              <w:pageBreakBefore w:val="0"/>
              <w:widowControl/>
              <w:numPr>
                <w:ilvl w:val="0"/>
                <w:numId w:val="0"/>
              </w:numPr>
              <w:kinsoku/>
              <w:wordWrap/>
              <w:overflowPunct/>
              <w:topLinePunct w:val="0"/>
              <w:bidi w:val="0"/>
              <w:snapToGrid w:val="0"/>
              <w:spacing w:line="300" w:lineRule="auto"/>
              <w:ind w:left="0" w:leftChars="0" w:firstLine="0" w:firstLineChars="0"/>
              <w:jc w:val="center"/>
              <w:rPr>
                <w:rFonts w:hint="eastAsia" w:ascii="仿宋" w:hAnsi="仿宋" w:eastAsia="仿宋" w:cs="仿宋"/>
                <w:color w:val="auto"/>
                <w:sz w:val="21"/>
                <w:szCs w:val="21"/>
                <w:highlight w:val="none"/>
                <w:u w:val="none"/>
                <w:lang w:val="en-US" w:eastAsia="zh-CN"/>
              </w:rPr>
            </w:pPr>
            <w:r>
              <w:rPr>
                <w:rFonts w:hint="eastAsia" w:ascii="仿宋" w:hAnsi="仿宋" w:eastAsia="仿宋" w:cs="仿宋"/>
                <w:color w:val="auto"/>
                <w:sz w:val="21"/>
                <w:szCs w:val="21"/>
                <w:highlight w:val="none"/>
                <w:u w:val="none"/>
                <w:lang w:val="en-US" w:eastAsia="zh-CN"/>
              </w:rPr>
              <w:t>3</w:t>
            </w:r>
          </w:p>
        </w:tc>
        <w:tc>
          <w:tcPr>
            <w:tcW w:w="2443" w:type="dxa"/>
            <w:noWrap w:val="0"/>
            <w:vAlign w:val="center"/>
          </w:tcPr>
          <w:p w14:paraId="3B79EBA9">
            <w:pPr>
              <w:pageBreakBefore w:val="0"/>
              <w:widowControl/>
              <w:numPr>
                <w:ilvl w:val="0"/>
                <w:numId w:val="0"/>
              </w:numPr>
              <w:kinsoku/>
              <w:wordWrap/>
              <w:overflowPunct/>
              <w:topLinePunct w:val="0"/>
              <w:bidi w:val="0"/>
              <w:snapToGrid w:val="0"/>
              <w:spacing w:line="300" w:lineRule="auto"/>
              <w:ind w:left="0" w:leftChars="0" w:firstLine="0" w:firstLineChars="0"/>
              <w:rPr>
                <w:rFonts w:hint="eastAsia" w:ascii="仿宋" w:hAnsi="仿宋" w:eastAsia="仿宋" w:cs="仿宋"/>
                <w:color w:val="auto"/>
                <w:kern w:val="2"/>
                <w:sz w:val="21"/>
                <w:szCs w:val="21"/>
                <w:highlight w:val="none"/>
                <w:u w:val="none"/>
                <w:lang w:val="en-US" w:eastAsia="zh-CN" w:bidi="ar-SA"/>
              </w:rPr>
            </w:pPr>
            <w:r>
              <w:rPr>
                <w:rFonts w:hint="eastAsia" w:ascii="仿宋" w:hAnsi="仿宋" w:eastAsia="仿宋" w:cs="仿宋"/>
                <w:color w:val="auto"/>
                <w:sz w:val="21"/>
                <w:szCs w:val="21"/>
                <w:highlight w:val="none"/>
                <w:u w:val="none"/>
                <w:lang w:val="en-US" w:eastAsia="zh-CN"/>
              </w:rPr>
              <w:t>引导服务</w:t>
            </w:r>
          </w:p>
        </w:tc>
        <w:tc>
          <w:tcPr>
            <w:tcW w:w="10977" w:type="dxa"/>
            <w:noWrap w:val="0"/>
            <w:vAlign w:val="center"/>
          </w:tcPr>
          <w:p w14:paraId="75C67F99">
            <w:pPr>
              <w:pageBreakBefore w:val="0"/>
              <w:widowControl/>
              <w:numPr>
                <w:ilvl w:val="0"/>
                <w:numId w:val="0"/>
              </w:numPr>
              <w:kinsoku/>
              <w:wordWrap/>
              <w:overflowPunct/>
              <w:topLinePunct w:val="0"/>
              <w:bidi w:val="0"/>
              <w:snapToGrid w:val="0"/>
              <w:spacing w:line="300" w:lineRule="auto"/>
              <w:ind w:leftChars="0" w:firstLine="420" w:firstLineChars="200"/>
              <w:rPr>
                <w:rFonts w:hint="eastAsia" w:ascii="仿宋" w:hAnsi="仿宋" w:eastAsia="仿宋" w:cs="仿宋"/>
                <w:color w:val="auto"/>
                <w:kern w:val="2"/>
                <w:sz w:val="21"/>
                <w:szCs w:val="21"/>
                <w:highlight w:val="none"/>
                <w:u w:val="none"/>
                <w:lang w:val="en-US" w:eastAsia="zh-CN" w:bidi="ar-SA"/>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color w:val="auto"/>
                <w:sz w:val="21"/>
                <w:szCs w:val="21"/>
                <w:highlight w:val="none"/>
                <w:u w:val="none"/>
                <w:lang w:val="en-US" w:eastAsia="zh-CN"/>
              </w:rPr>
              <w:t>做好引导牌并放置在指定位置，引导人员引导手势规范，语言标准。</w:t>
            </w:r>
          </w:p>
        </w:tc>
      </w:tr>
      <w:tr w14:paraId="40CF6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01" w:type="dxa"/>
            <w:noWrap w:val="0"/>
            <w:vAlign w:val="center"/>
          </w:tcPr>
          <w:p w14:paraId="44427E29">
            <w:pPr>
              <w:pageBreakBefore w:val="0"/>
              <w:widowControl/>
              <w:numPr>
                <w:ilvl w:val="0"/>
                <w:numId w:val="0"/>
              </w:numPr>
              <w:kinsoku/>
              <w:wordWrap/>
              <w:overflowPunct/>
              <w:topLinePunct w:val="0"/>
              <w:bidi w:val="0"/>
              <w:snapToGrid w:val="0"/>
              <w:spacing w:line="300" w:lineRule="auto"/>
              <w:ind w:left="0" w:leftChars="0" w:firstLine="0" w:firstLineChars="0"/>
              <w:jc w:val="center"/>
              <w:rPr>
                <w:rFonts w:hint="eastAsia" w:ascii="仿宋" w:hAnsi="仿宋" w:eastAsia="仿宋" w:cs="仿宋"/>
                <w:color w:val="auto"/>
                <w:sz w:val="21"/>
                <w:szCs w:val="21"/>
                <w:highlight w:val="none"/>
                <w:u w:val="none"/>
                <w:lang w:val="en-US" w:eastAsia="zh-CN"/>
              </w:rPr>
            </w:pPr>
            <w:r>
              <w:rPr>
                <w:rFonts w:hint="eastAsia" w:ascii="仿宋" w:hAnsi="仿宋" w:eastAsia="仿宋" w:cs="仿宋"/>
                <w:color w:val="auto"/>
                <w:sz w:val="21"/>
                <w:szCs w:val="21"/>
                <w:highlight w:val="none"/>
                <w:u w:val="none"/>
                <w:lang w:val="en-US" w:eastAsia="zh-CN"/>
              </w:rPr>
              <w:t>4</w:t>
            </w:r>
          </w:p>
        </w:tc>
        <w:tc>
          <w:tcPr>
            <w:tcW w:w="2443" w:type="dxa"/>
            <w:noWrap w:val="0"/>
            <w:vAlign w:val="center"/>
          </w:tcPr>
          <w:p w14:paraId="23748E7A">
            <w:pPr>
              <w:pageBreakBefore w:val="0"/>
              <w:widowControl/>
              <w:numPr>
                <w:ilvl w:val="0"/>
                <w:numId w:val="0"/>
              </w:numPr>
              <w:kinsoku/>
              <w:wordWrap/>
              <w:overflowPunct/>
              <w:topLinePunct w:val="0"/>
              <w:bidi w:val="0"/>
              <w:snapToGrid w:val="0"/>
              <w:spacing w:line="300" w:lineRule="auto"/>
              <w:ind w:left="0" w:leftChars="0" w:firstLine="0" w:firstLineChars="0"/>
              <w:rPr>
                <w:rFonts w:hint="eastAsia" w:ascii="仿宋" w:hAnsi="仿宋" w:eastAsia="仿宋" w:cs="仿宋"/>
                <w:color w:val="auto"/>
                <w:kern w:val="2"/>
                <w:sz w:val="21"/>
                <w:szCs w:val="21"/>
                <w:highlight w:val="none"/>
                <w:u w:val="none"/>
                <w:lang w:val="en-US" w:eastAsia="zh-CN" w:bidi="ar-SA"/>
              </w:rPr>
            </w:pPr>
            <w:r>
              <w:rPr>
                <w:rFonts w:hint="eastAsia" w:ascii="仿宋" w:hAnsi="仿宋" w:eastAsia="仿宋" w:cs="仿宋"/>
                <w:color w:val="auto"/>
                <w:sz w:val="21"/>
                <w:szCs w:val="21"/>
                <w:highlight w:val="none"/>
                <w:u w:val="none"/>
                <w:lang w:val="en-US" w:eastAsia="zh-CN"/>
              </w:rPr>
              <w:t>会中服务</w:t>
            </w:r>
          </w:p>
        </w:tc>
        <w:tc>
          <w:tcPr>
            <w:tcW w:w="10977" w:type="dxa"/>
            <w:noWrap w:val="0"/>
            <w:vAlign w:val="center"/>
          </w:tcPr>
          <w:p w14:paraId="5C0E741A">
            <w:pPr>
              <w:pageBreakBefore w:val="0"/>
              <w:widowControl/>
              <w:numPr>
                <w:ilvl w:val="0"/>
                <w:numId w:val="0"/>
              </w:numPr>
              <w:kinsoku/>
              <w:wordWrap/>
              <w:overflowPunct/>
              <w:topLinePunct w:val="0"/>
              <w:bidi w:val="0"/>
              <w:snapToGrid w:val="0"/>
              <w:spacing w:line="300" w:lineRule="auto"/>
              <w:ind w:leftChars="0" w:firstLine="420" w:firstLineChars="200"/>
              <w:rPr>
                <w:rFonts w:hint="eastAsia" w:ascii="仿宋" w:hAnsi="仿宋" w:eastAsia="仿宋" w:cs="仿宋"/>
                <w:color w:val="auto"/>
                <w:kern w:val="2"/>
                <w:sz w:val="21"/>
                <w:szCs w:val="21"/>
                <w:highlight w:val="none"/>
                <w:u w:val="none"/>
                <w:lang w:val="en-US" w:eastAsia="zh-CN" w:bidi="ar-SA"/>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color w:val="auto"/>
                <w:sz w:val="21"/>
                <w:szCs w:val="21"/>
                <w:highlight w:val="none"/>
                <w:u w:val="none"/>
                <w:lang w:val="en-US" w:eastAsia="zh-CN"/>
              </w:rPr>
              <w:t>会议期间按要求加水。</w:t>
            </w:r>
          </w:p>
        </w:tc>
      </w:tr>
      <w:tr w14:paraId="39FAD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01" w:type="dxa"/>
            <w:noWrap w:val="0"/>
            <w:vAlign w:val="center"/>
          </w:tcPr>
          <w:p w14:paraId="6CC76E5C">
            <w:pPr>
              <w:pageBreakBefore w:val="0"/>
              <w:widowControl/>
              <w:numPr>
                <w:ilvl w:val="0"/>
                <w:numId w:val="0"/>
              </w:numPr>
              <w:kinsoku/>
              <w:wordWrap/>
              <w:overflowPunct/>
              <w:topLinePunct w:val="0"/>
              <w:bidi w:val="0"/>
              <w:snapToGrid w:val="0"/>
              <w:spacing w:line="300" w:lineRule="auto"/>
              <w:ind w:left="0" w:leftChars="0" w:firstLine="0" w:firstLineChars="0"/>
              <w:jc w:val="center"/>
              <w:rPr>
                <w:rFonts w:hint="eastAsia" w:ascii="仿宋" w:hAnsi="仿宋" w:eastAsia="仿宋" w:cs="仿宋"/>
                <w:color w:val="auto"/>
                <w:sz w:val="21"/>
                <w:szCs w:val="21"/>
                <w:highlight w:val="none"/>
                <w:u w:val="none"/>
                <w:lang w:val="en-US" w:eastAsia="zh-CN"/>
              </w:rPr>
            </w:pPr>
            <w:r>
              <w:rPr>
                <w:rFonts w:hint="eastAsia" w:ascii="仿宋" w:hAnsi="仿宋" w:eastAsia="仿宋" w:cs="仿宋"/>
                <w:color w:val="auto"/>
                <w:sz w:val="21"/>
                <w:szCs w:val="21"/>
                <w:highlight w:val="none"/>
                <w:u w:val="none"/>
                <w:lang w:val="en-US" w:eastAsia="zh-CN"/>
              </w:rPr>
              <w:t>5</w:t>
            </w:r>
          </w:p>
        </w:tc>
        <w:tc>
          <w:tcPr>
            <w:tcW w:w="2443" w:type="dxa"/>
            <w:noWrap w:val="0"/>
            <w:vAlign w:val="center"/>
          </w:tcPr>
          <w:p w14:paraId="169F110C">
            <w:pPr>
              <w:pageBreakBefore w:val="0"/>
              <w:widowControl/>
              <w:numPr>
                <w:ilvl w:val="0"/>
                <w:numId w:val="0"/>
              </w:numPr>
              <w:kinsoku/>
              <w:wordWrap/>
              <w:overflowPunct/>
              <w:topLinePunct w:val="0"/>
              <w:bidi w:val="0"/>
              <w:snapToGrid w:val="0"/>
              <w:spacing w:line="300" w:lineRule="auto"/>
              <w:ind w:left="0" w:leftChars="0" w:firstLine="0" w:firstLineChars="0"/>
              <w:rPr>
                <w:rFonts w:hint="eastAsia" w:ascii="仿宋" w:hAnsi="仿宋" w:eastAsia="仿宋" w:cs="仿宋"/>
                <w:color w:val="auto"/>
                <w:kern w:val="2"/>
                <w:sz w:val="21"/>
                <w:szCs w:val="21"/>
                <w:highlight w:val="none"/>
                <w:u w:val="none"/>
                <w:lang w:val="en-US" w:eastAsia="zh-CN" w:bidi="ar-SA"/>
              </w:rPr>
            </w:pPr>
            <w:r>
              <w:rPr>
                <w:rFonts w:hint="eastAsia" w:ascii="仿宋" w:hAnsi="仿宋" w:eastAsia="仿宋" w:cs="仿宋"/>
                <w:color w:val="auto"/>
                <w:sz w:val="21"/>
                <w:szCs w:val="21"/>
                <w:highlight w:val="none"/>
                <w:u w:val="none"/>
                <w:lang w:val="en-US" w:eastAsia="zh-CN"/>
              </w:rPr>
              <w:t>会后整理</w:t>
            </w:r>
          </w:p>
        </w:tc>
        <w:tc>
          <w:tcPr>
            <w:tcW w:w="10977" w:type="dxa"/>
            <w:noWrap w:val="0"/>
            <w:vAlign w:val="center"/>
          </w:tcPr>
          <w:p w14:paraId="65F2E995">
            <w:pPr>
              <w:pageBreakBefore w:val="0"/>
              <w:widowControl/>
              <w:numPr>
                <w:ilvl w:val="0"/>
                <w:numId w:val="0"/>
              </w:numPr>
              <w:kinsoku/>
              <w:wordWrap/>
              <w:overflowPunct/>
              <w:topLinePunct w:val="0"/>
              <w:bidi w:val="0"/>
              <w:snapToGrid w:val="0"/>
              <w:spacing w:line="300" w:lineRule="auto"/>
              <w:ind w:leftChars="0" w:firstLine="420" w:firstLineChars="200"/>
              <w:rPr>
                <w:rFonts w:hint="eastAsia" w:ascii="仿宋" w:hAnsi="仿宋" w:eastAsia="仿宋" w:cs="仿宋"/>
                <w:color w:val="auto"/>
                <w:kern w:val="2"/>
                <w:sz w:val="21"/>
                <w:szCs w:val="21"/>
                <w:highlight w:val="none"/>
                <w:u w:val="none"/>
                <w:lang w:val="en-US" w:eastAsia="zh-CN" w:bidi="ar-SA"/>
              </w:rPr>
            </w:pPr>
            <w:r>
              <w:rPr>
                <w:rFonts w:hint="eastAsia" w:ascii="仿宋" w:hAnsi="仿宋" w:eastAsia="仿宋" w:cs="仿宋"/>
                <w:b w:val="0"/>
                <w:bCs w:val="0"/>
                <w:color w:val="auto"/>
                <w:kern w:val="0"/>
                <w:sz w:val="21"/>
                <w:szCs w:val="21"/>
                <w:highlight w:val="none"/>
                <w:lang w:val="en-US" w:eastAsia="zh-CN"/>
              </w:rPr>
              <w:t>P</w:t>
            </w: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color w:val="auto"/>
                <w:sz w:val="21"/>
                <w:szCs w:val="21"/>
                <w:highlight w:val="none"/>
                <w:u w:val="none"/>
                <w:lang w:val="en-US" w:eastAsia="zh-CN"/>
              </w:rPr>
              <w:t>对会议现场进行检查，做好会场清扫工作。</w:t>
            </w:r>
          </w:p>
        </w:tc>
      </w:tr>
    </w:tbl>
    <w:p w14:paraId="0EA01552">
      <w:pPr>
        <w:widowControl w:val="0"/>
        <w:bidi w:val="0"/>
        <w:snapToGrid w:val="0"/>
        <w:spacing w:line="300" w:lineRule="auto"/>
        <w:ind w:firstLine="562" w:firstLineChars="200"/>
        <w:rPr>
          <w:rFonts w:hint="eastAsia" w:ascii="仿宋" w:hAnsi="仿宋" w:eastAsia="仿宋" w:cs="仿宋"/>
          <w:b/>
          <w:bCs/>
          <w:sz w:val="28"/>
          <w:szCs w:val="28"/>
          <w:lang w:val="en-US" w:eastAsia="zh-CN"/>
        </w:rPr>
      </w:pPr>
      <w:bookmarkStart w:id="10" w:name="_Toc27983"/>
      <w:bookmarkStart w:id="11" w:name="_Toc26417"/>
      <w:bookmarkStart w:id="12" w:name="_Toc12052"/>
      <w:r>
        <w:rPr>
          <w:rFonts w:hint="eastAsia" w:ascii="仿宋" w:hAnsi="仿宋" w:eastAsia="仿宋" w:cs="仿宋"/>
          <w:b/>
          <w:bCs/>
          <w:sz w:val="28"/>
          <w:szCs w:val="28"/>
          <w:lang w:val="en-US" w:eastAsia="zh-CN"/>
        </w:rPr>
        <w:t>4.供应商履行合同所需的设备</w:t>
      </w:r>
    </w:p>
    <w:p w14:paraId="743231EF">
      <w:pPr>
        <w:widowControl w:val="0"/>
        <w:bidi w:val="0"/>
        <w:snapToGrid w:val="0"/>
        <w:spacing w:line="30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采购人根据项目实际需求，需要供应商提供作业设备（自有或租赁）用于物业管理服务的，可在下表中列出，举例如下：</w:t>
      </w:r>
    </w:p>
    <w:tbl>
      <w:tblPr>
        <w:tblStyle w:val="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4"/>
        <w:gridCol w:w="1816"/>
        <w:gridCol w:w="4316"/>
        <w:gridCol w:w="875"/>
        <w:gridCol w:w="851"/>
      </w:tblGrid>
      <w:tr w14:paraId="1F9D9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152" w:type="dxa"/>
            <w:noWrap w:val="0"/>
            <w:vAlign w:val="center"/>
          </w:tcPr>
          <w:p w14:paraId="09B844B3">
            <w:pPr>
              <w:pageBreakBefore w:val="0"/>
              <w:widowControl/>
              <w:kinsoku/>
              <w:wordWrap/>
              <w:overflowPunct/>
              <w:topLinePunct w:val="0"/>
              <w:bidi w:val="0"/>
              <w:snapToGrid w:val="0"/>
              <w:spacing w:line="300" w:lineRule="auto"/>
              <w:ind w:left="0" w:leftChars="0" w:firstLine="0" w:firstLineChars="0"/>
              <w:jc w:val="center"/>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序号</w:t>
            </w:r>
          </w:p>
        </w:tc>
        <w:tc>
          <w:tcPr>
            <w:tcW w:w="3152" w:type="dxa"/>
            <w:noWrap w:val="0"/>
            <w:vAlign w:val="center"/>
          </w:tcPr>
          <w:p w14:paraId="3DFBD747">
            <w:pPr>
              <w:pageBreakBefore w:val="0"/>
              <w:widowControl/>
              <w:kinsoku/>
              <w:wordWrap/>
              <w:overflowPunct/>
              <w:topLinePunct w:val="0"/>
              <w:bidi w:val="0"/>
              <w:snapToGrid w:val="0"/>
              <w:spacing w:line="300" w:lineRule="auto"/>
              <w:ind w:left="0" w:leftChars="0" w:firstLine="0" w:firstLineChars="0"/>
              <w:jc w:val="center"/>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lang w:val="en-US" w:eastAsia="zh-CN"/>
              </w:rPr>
              <w:t>用途</w:t>
            </w:r>
          </w:p>
        </w:tc>
        <w:tc>
          <w:tcPr>
            <w:tcW w:w="7489" w:type="dxa"/>
            <w:noWrap w:val="0"/>
            <w:vAlign w:val="center"/>
          </w:tcPr>
          <w:p w14:paraId="713986D2">
            <w:pPr>
              <w:pageBreakBefore w:val="0"/>
              <w:widowControl/>
              <w:kinsoku/>
              <w:wordWrap/>
              <w:overflowPunct/>
              <w:topLinePunct w:val="0"/>
              <w:bidi w:val="0"/>
              <w:snapToGrid w:val="0"/>
              <w:spacing w:line="300" w:lineRule="auto"/>
              <w:ind w:left="0" w:leftChars="0" w:firstLine="0" w:firstLineChars="0"/>
              <w:jc w:val="center"/>
              <w:rPr>
                <w:rFonts w:hint="eastAsia" w:ascii="仿宋" w:hAnsi="仿宋" w:eastAsia="仿宋" w:cs="仿宋"/>
                <w:b/>
                <w:bCs/>
                <w:color w:val="auto"/>
                <w:kern w:val="0"/>
                <w:sz w:val="21"/>
                <w:szCs w:val="21"/>
                <w:highlight w:val="none"/>
                <w:lang w:eastAsia="zh-CN"/>
              </w:rPr>
            </w:pPr>
            <w:r>
              <w:rPr>
                <w:rFonts w:hint="eastAsia" w:ascii="仿宋" w:hAnsi="仿宋" w:eastAsia="仿宋" w:cs="仿宋"/>
                <w:b/>
                <w:bCs/>
                <w:color w:val="auto"/>
                <w:kern w:val="0"/>
                <w:sz w:val="21"/>
                <w:szCs w:val="21"/>
                <w:highlight w:val="none"/>
                <w:lang w:val="en-US" w:eastAsia="zh-CN"/>
              </w:rPr>
              <w:t>作业设备</w:t>
            </w:r>
            <w:r>
              <w:rPr>
                <w:rFonts w:hint="eastAsia" w:ascii="仿宋" w:hAnsi="仿宋" w:eastAsia="仿宋" w:cs="仿宋"/>
                <w:b/>
                <w:bCs/>
                <w:color w:val="auto"/>
                <w:kern w:val="0"/>
                <w:sz w:val="21"/>
                <w:szCs w:val="21"/>
                <w:highlight w:val="none"/>
              </w:rPr>
              <w:t>名称</w:t>
            </w:r>
          </w:p>
        </w:tc>
        <w:tc>
          <w:tcPr>
            <w:tcW w:w="1517" w:type="dxa"/>
            <w:noWrap w:val="0"/>
            <w:vAlign w:val="center"/>
          </w:tcPr>
          <w:p w14:paraId="7716222D">
            <w:pPr>
              <w:pageBreakBefore w:val="0"/>
              <w:widowControl/>
              <w:kinsoku/>
              <w:wordWrap/>
              <w:overflowPunct/>
              <w:topLinePunct w:val="0"/>
              <w:bidi w:val="0"/>
              <w:snapToGrid w:val="0"/>
              <w:spacing w:line="300" w:lineRule="auto"/>
              <w:ind w:left="0" w:leftChars="0" w:firstLine="0" w:firstLineChars="0"/>
              <w:jc w:val="center"/>
              <w:rPr>
                <w:rFonts w:hint="eastAsia" w:ascii="仿宋" w:hAnsi="仿宋" w:eastAsia="仿宋" w:cs="仿宋"/>
                <w:b/>
                <w:bCs/>
                <w:color w:val="auto"/>
                <w:kern w:val="0"/>
                <w:sz w:val="21"/>
                <w:szCs w:val="21"/>
                <w:highlight w:val="none"/>
                <w:lang w:val="en-US" w:eastAsia="zh-CN"/>
              </w:rPr>
            </w:pPr>
            <w:r>
              <w:rPr>
                <w:rFonts w:hint="eastAsia" w:ascii="仿宋" w:hAnsi="仿宋" w:eastAsia="仿宋" w:cs="仿宋"/>
                <w:b/>
                <w:bCs/>
                <w:color w:val="auto"/>
                <w:kern w:val="0"/>
                <w:sz w:val="21"/>
                <w:szCs w:val="21"/>
                <w:highlight w:val="none"/>
                <w:lang w:val="en-US" w:eastAsia="zh-CN"/>
              </w:rPr>
              <w:t>数量</w:t>
            </w:r>
          </w:p>
        </w:tc>
        <w:tc>
          <w:tcPr>
            <w:tcW w:w="1476" w:type="dxa"/>
            <w:noWrap w:val="0"/>
            <w:vAlign w:val="center"/>
          </w:tcPr>
          <w:p w14:paraId="779F08FE">
            <w:pPr>
              <w:pageBreakBefore w:val="0"/>
              <w:widowControl/>
              <w:kinsoku/>
              <w:wordWrap/>
              <w:overflowPunct/>
              <w:topLinePunct w:val="0"/>
              <w:bidi w:val="0"/>
              <w:snapToGrid w:val="0"/>
              <w:spacing w:line="300" w:lineRule="auto"/>
              <w:ind w:left="0" w:leftChars="0" w:firstLine="0" w:firstLineChars="0"/>
              <w:jc w:val="center"/>
              <w:rPr>
                <w:rFonts w:hint="eastAsia" w:ascii="仿宋" w:hAnsi="仿宋" w:eastAsia="仿宋" w:cs="仿宋"/>
                <w:b/>
                <w:bCs/>
                <w:color w:val="auto"/>
                <w:kern w:val="0"/>
                <w:sz w:val="21"/>
                <w:szCs w:val="21"/>
                <w:highlight w:val="none"/>
                <w:lang w:val="en-US" w:eastAsia="zh-CN"/>
              </w:rPr>
            </w:pPr>
            <w:r>
              <w:rPr>
                <w:rFonts w:hint="eastAsia" w:ascii="仿宋" w:hAnsi="仿宋" w:eastAsia="仿宋" w:cs="仿宋"/>
                <w:b/>
                <w:bCs/>
                <w:color w:val="auto"/>
                <w:kern w:val="0"/>
                <w:sz w:val="21"/>
                <w:szCs w:val="21"/>
                <w:highlight w:val="none"/>
                <w:lang w:val="en-US" w:eastAsia="zh-CN"/>
              </w:rPr>
              <w:t>单位</w:t>
            </w:r>
          </w:p>
        </w:tc>
      </w:tr>
      <w:tr w14:paraId="2825D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1152" w:type="dxa"/>
            <w:noWrap w:val="0"/>
            <w:vAlign w:val="center"/>
          </w:tcPr>
          <w:p w14:paraId="762B0C59">
            <w:pPr>
              <w:pageBreakBefore w:val="0"/>
              <w:widowControl/>
              <w:numPr>
                <w:ilvl w:val="0"/>
                <w:numId w:val="0"/>
              </w:numPr>
              <w:kinsoku/>
              <w:wordWrap/>
              <w:overflowPunct/>
              <w:topLinePunct w:val="0"/>
              <w:bidi w:val="0"/>
              <w:snapToGrid w:val="0"/>
              <w:spacing w:line="300" w:lineRule="auto"/>
              <w:ind w:left="0" w:firstLine="420" w:firstLineChars="200"/>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lang w:val="en-US" w:eastAsia="zh-CN"/>
              </w:rPr>
              <w:t>1</w:t>
            </w:r>
          </w:p>
        </w:tc>
        <w:tc>
          <w:tcPr>
            <w:tcW w:w="3152" w:type="dxa"/>
            <w:noWrap w:val="0"/>
            <w:vAlign w:val="center"/>
          </w:tcPr>
          <w:p w14:paraId="563F71DC">
            <w:pPr>
              <w:pageBreakBefore w:val="0"/>
              <w:widowControl/>
              <w:kinsoku/>
              <w:wordWrap/>
              <w:overflowPunct/>
              <w:topLinePunct w:val="0"/>
              <w:bidi w:val="0"/>
              <w:snapToGrid w:val="0"/>
              <w:spacing w:line="300" w:lineRule="auto"/>
              <w:ind w:left="0" w:leftChars="0" w:firstLine="0" w:firstLineChars="0"/>
              <w:jc w:val="center"/>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bidi="ar-SA"/>
              </w:rPr>
              <w:t>基本服务</w:t>
            </w:r>
          </w:p>
        </w:tc>
        <w:tc>
          <w:tcPr>
            <w:tcW w:w="7489" w:type="dxa"/>
            <w:noWrap w:val="0"/>
            <w:vAlign w:val="center"/>
          </w:tcPr>
          <w:p w14:paraId="74D1BAD7">
            <w:pPr>
              <w:pageBreakBefore w:val="0"/>
              <w:widowControl/>
              <w:kinsoku/>
              <w:wordWrap/>
              <w:overflowPunct/>
              <w:topLinePunct w:val="0"/>
              <w:bidi w:val="0"/>
              <w:snapToGrid w:val="0"/>
              <w:spacing w:line="300" w:lineRule="auto"/>
              <w:ind w:left="0" w:leftChars="0" w:firstLine="0" w:firstLineChars="0"/>
              <w:jc w:val="center"/>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bidi="ar-SA"/>
              </w:rPr>
              <w:t>无</w:t>
            </w:r>
          </w:p>
        </w:tc>
        <w:tc>
          <w:tcPr>
            <w:tcW w:w="1517" w:type="dxa"/>
            <w:noWrap w:val="0"/>
            <w:vAlign w:val="center"/>
          </w:tcPr>
          <w:p w14:paraId="52D5B135">
            <w:pPr>
              <w:pageBreakBefore w:val="0"/>
              <w:widowControl/>
              <w:kinsoku/>
              <w:wordWrap/>
              <w:overflowPunct/>
              <w:topLinePunct w:val="0"/>
              <w:bidi w:val="0"/>
              <w:snapToGrid w:val="0"/>
              <w:spacing w:line="300" w:lineRule="auto"/>
              <w:ind w:left="0" w:leftChars="0" w:firstLine="0" w:firstLineChars="0"/>
              <w:jc w:val="center"/>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t>0</w:t>
            </w:r>
          </w:p>
        </w:tc>
        <w:tc>
          <w:tcPr>
            <w:tcW w:w="1476" w:type="dxa"/>
            <w:noWrap w:val="0"/>
            <w:vAlign w:val="center"/>
          </w:tcPr>
          <w:p w14:paraId="2208C1AD">
            <w:pPr>
              <w:pageBreakBefore w:val="0"/>
              <w:widowControl/>
              <w:kinsoku/>
              <w:wordWrap/>
              <w:overflowPunct/>
              <w:topLinePunct w:val="0"/>
              <w:bidi w:val="0"/>
              <w:snapToGrid w:val="0"/>
              <w:spacing w:line="300" w:lineRule="auto"/>
              <w:ind w:left="0" w:leftChars="0" w:firstLine="0" w:firstLineChars="0"/>
              <w:jc w:val="center"/>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t>无</w:t>
            </w:r>
          </w:p>
        </w:tc>
      </w:tr>
      <w:tr w14:paraId="5A8F8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1152" w:type="dxa"/>
            <w:noWrap w:val="0"/>
            <w:vAlign w:val="center"/>
          </w:tcPr>
          <w:p w14:paraId="130EB1E9">
            <w:pPr>
              <w:pageBreakBefore w:val="0"/>
              <w:widowControl/>
              <w:numPr>
                <w:ilvl w:val="0"/>
                <w:numId w:val="0"/>
              </w:numPr>
              <w:kinsoku/>
              <w:wordWrap/>
              <w:overflowPunct/>
              <w:topLinePunct w:val="0"/>
              <w:bidi w:val="0"/>
              <w:snapToGrid w:val="0"/>
              <w:spacing w:line="300" w:lineRule="auto"/>
              <w:ind w:left="0" w:firstLine="420" w:firstLineChars="200"/>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lang w:val="en-US" w:eastAsia="zh-CN"/>
              </w:rPr>
              <w:t>2</w:t>
            </w:r>
          </w:p>
        </w:tc>
        <w:tc>
          <w:tcPr>
            <w:tcW w:w="3152" w:type="dxa"/>
            <w:noWrap w:val="0"/>
            <w:vAlign w:val="center"/>
          </w:tcPr>
          <w:p w14:paraId="5217B0EE">
            <w:pPr>
              <w:pageBreakBefore w:val="0"/>
              <w:widowControl/>
              <w:kinsoku/>
              <w:wordWrap/>
              <w:overflowPunct/>
              <w:topLinePunct w:val="0"/>
              <w:bidi w:val="0"/>
              <w:snapToGrid w:val="0"/>
              <w:spacing w:line="300" w:lineRule="auto"/>
              <w:ind w:left="0" w:leftChars="0" w:firstLine="0" w:firstLineChars="0"/>
              <w:jc w:val="center"/>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bidi="ar-SA"/>
              </w:rPr>
              <w:t>房屋维修服务</w:t>
            </w:r>
          </w:p>
        </w:tc>
        <w:tc>
          <w:tcPr>
            <w:tcW w:w="7489" w:type="dxa"/>
            <w:noWrap w:val="0"/>
            <w:vAlign w:val="center"/>
          </w:tcPr>
          <w:p w14:paraId="22C97305">
            <w:pPr>
              <w:pageBreakBefore w:val="0"/>
              <w:widowControl/>
              <w:kinsoku/>
              <w:wordWrap/>
              <w:overflowPunct/>
              <w:topLinePunct w:val="0"/>
              <w:bidi w:val="0"/>
              <w:snapToGrid w:val="0"/>
              <w:spacing w:line="300" w:lineRule="auto"/>
              <w:ind w:left="0" w:leftChars="0" w:firstLine="0" w:firstLineChars="0"/>
              <w:jc w:val="both"/>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bidi="ar-SA"/>
              </w:rPr>
              <w:t>铝合金人字梯2个、脚手架2组、冲击钻1台</w:t>
            </w:r>
          </w:p>
        </w:tc>
        <w:tc>
          <w:tcPr>
            <w:tcW w:w="1517" w:type="dxa"/>
            <w:noWrap w:val="0"/>
            <w:vAlign w:val="center"/>
          </w:tcPr>
          <w:p w14:paraId="10792DEE">
            <w:pPr>
              <w:pageBreakBefore w:val="0"/>
              <w:widowControl/>
              <w:kinsoku/>
              <w:wordWrap/>
              <w:overflowPunct/>
              <w:topLinePunct w:val="0"/>
              <w:bidi w:val="0"/>
              <w:snapToGrid w:val="0"/>
              <w:spacing w:line="300" w:lineRule="auto"/>
              <w:ind w:left="0" w:leftChars="0" w:firstLine="0" w:firstLineChars="0"/>
              <w:jc w:val="center"/>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t>1</w:t>
            </w:r>
          </w:p>
        </w:tc>
        <w:tc>
          <w:tcPr>
            <w:tcW w:w="1476" w:type="dxa"/>
            <w:noWrap w:val="0"/>
            <w:vAlign w:val="center"/>
          </w:tcPr>
          <w:p w14:paraId="2B23D0E7">
            <w:pPr>
              <w:pageBreakBefore w:val="0"/>
              <w:widowControl/>
              <w:kinsoku/>
              <w:wordWrap/>
              <w:overflowPunct/>
              <w:topLinePunct w:val="0"/>
              <w:bidi w:val="0"/>
              <w:snapToGrid w:val="0"/>
              <w:spacing w:line="300" w:lineRule="auto"/>
              <w:ind w:left="0" w:leftChars="0" w:firstLine="0" w:firstLineChars="0"/>
              <w:jc w:val="center"/>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t>批</w:t>
            </w:r>
          </w:p>
        </w:tc>
      </w:tr>
      <w:tr w14:paraId="435D7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7" w:hRule="atLeast"/>
        </w:trPr>
        <w:tc>
          <w:tcPr>
            <w:tcW w:w="1152" w:type="dxa"/>
            <w:noWrap w:val="0"/>
            <w:vAlign w:val="center"/>
          </w:tcPr>
          <w:p w14:paraId="1EA426A2">
            <w:pPr>
              <w:pageBreakBefore w:val="0"/>
              <w:widowControl/>
              <w:numPr>
                <w:ilvl w:val="0"/>
                <w:numId w:val="0"/>
              </w:numPr>
              <w:kinsoku/>
              <w:wordWrap/>
              <w:overflowPunct/>
              <w:topLinePunct w:val="0"/>
              <w:bidi w:val="0"/>
              <w:snapToGrid w:val="0"/>
              <w:spacing w:line="300" w:lineRule="auto"/>
              <w:ind w:left="0" w:firstLine="420" w:firstLineChars="200"/>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lang w:val="en-US" w:eastAsia="zh-CN"/>
              </w:rPr>
              <w:t>3</w:t>
            </w:r>
          </w:p>
        </w:tc>
        <w:tc>
          <w:tcPr>
            <w:tcW w:w="3152" w:type="dxa"/>
            <w:noWrap w:val="0"/>
            <w:vAlign w:val="center"/>
          </w:tcPr>
          <w:p w14:paraId="07D1BC90">
            <w:pPr>
              <w:pageBreakBefore w:val="0"/>
              <w:widowControl/>
              <w:kinsoku/>
              <w:wordWrap/>
              <w:overflowPunct/>
              <w:topLinePunct w:val="0"/>
              <w:bidi w:val="0"/>
              <w:snapToGrid w:val="0"/>
              <w:spacing w:line="300" w:lineRule="auto"/>
              <w:ind w:left="0" w:leftChars="0" w:firstLine="0" w:firstLineChars="0"/>
              <w:jc w:val="center"/>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sz w:val="21"/>
                <w:szCs w:val="21"/>
                <w:highlight w:val="none"/>
                <w:lang w:val="en-US" w:eastAsia="zh-CN"/>
              </w:rPr>
              <w:t>公用设施设备维护服务</w:t>
            </w:r>
          </w:p>
        </w:tc>
        <w:tc>
          <w:tcPr>
            <w:tcW w:w="7489" w:type="dxa"/>
            <w:noWrap w:val="0"/>
            <w:vAlign w:val="center"/>
          </w:tcPr>
          <w:p w14:paraId="4D1A93B1">
            <w:pPr>
              <w:pageBreakBefore w:val="0"/>
              <w:widowControl/>
              <w:kinsoku/>
              <w:wordWrap/>
              <w:overflowPunct/>
              <w:topLinePunct w:val="0"/>
              <w:bidi w:val="0"/>
              <w:snapToGrid w:val="0"/>
              <w:spacing w:line="300" w:lineRule="auto"/>
              <w:ind w:left="0" w:leftChars="0" w:firstLine="0" w:firstLineChars="0"/>
              <w:jc w:val="both"/>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bidi="ar-SA"/>
              </w:rPr>
              <w:t>应急排污水泵1台、发电机1台、多功能管道疏通器1台、高压清洗机1台、吸尘器1台、洗衣机1台、洗地机1台</w:t>
            </w:r>
          </w:p>
        </w:tc>
        <w:tc>
          <w:tcPr>
            <w:tcW w:w="1517" w:type="dxa"/>
            <w:noWrap w:val="0"/>
            <w:vAlign w:val="center"/>
          </w:tcPr>
          <w:p w14:paraId="2A4ED833">
            <w:pPr>
              <w:pageBreakBefore w:val="0"/>
              <w:widowControl/>
              <w:kinsoku/>
              <w:wordWrap/>
              <w:overflowPunct/>
              <w:topLinePunct w:val="0"/>
              <w:bidi w:val="0"/>
              <w:snapToGrid w:val="0"/>
              <w:spacing w:line="300" w:lineRule="auto"/>
              <w:ind w:left="0" w:leftChars="0" w:firstLine="0" w:firstLineChars="0"/>
              <w:jc w:val="center"/>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bidi="ar-SA"/>
              </w:rPr>
              <w:t>1</w:t>
            </w:r>
          </w:p>
        </w:tc>
        <w:tc>
          <w:tcPr>
            <w:tcW w:w="1476" w:type="dxa"/>
            <w:noWrap w:val="0"/>
            <w:vAlign w:val="center"/>
          </w:tcPr>
          <w:p w14:paraId="607CD2F4">
            <w:pPr>
              <w:pageBreakBefore w:val="0"/>
              <w:widowControl/>
              <w:kinsoku/>
              <w:wordWrap/>
              <w:overflowPunct/>
              <w:topLinePunct w:val="0"/>
              <w:bidi w:val="0"/>
              <w:snapToGrid w:val="0"/>
              <w:spacing w:line="300" w:lineRule="auto"/>
              <w:ind w:left="0" w:leftChars="0" w:firstLine="0" w:firstLineChars="0"/>
              <w:jc w:val="center"/>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rPr>
              <w:t>批</w:t>
            </w:r>
          </w:p>
        </w:tc>
      </w:tr>
      <w:tr w14:paraId="72066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1" w:hRule="atLeast"/>
        </w:trPr>
        <w:tc>
          <w:tcPr>
            <w:tcW w:w="1152" w:type="dxa"/>
            <w:noWrap w:val="0"/>
            <w:vAlign w:val="center"/>
          </w:tcPr>
          <w:p w14:paraId="7F083ED2">
            <w:pPr>
              <w:pageBreakBefore w:val="0"/>
              <w:widowControl/>
              <w:numPr>
                <w:ilvl w:val="0"/>
                <w:numId w:val="0"/>
              </w:numPr>
              <w:kinsoku/>
              <w:wordWrap/>
              <w:overflowPunct/>
              <w:topLinePunct w:val="0"/>
              <w:bidi w:val="0"/>
              <w:snapToGrid w:val="0"/>
              <w:spacing w:line="300" w:lineRule="auto"/>
              <w:ind w:left="0" w:firstLine="420" w:firstLineChars="200"/>
              <w:jc w:val="center"/>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t>4</w:t>
            </w:r>
          </w:p>
        </w:tc>
        <w:tc>
          <w:tcPr>
            <w:tcW w:w="3152" w:type="dxa"/>
            <w:noWrap w:val="0"/>
            <w:vAlign w:val="center"/>
          </w:tcPr>
          <w:p w14:paraId="6C95C676">
            <w:pPr>
              <w:pageBreakBefore w:val="0"/>
              <w:widowControl/>
              <w:kinsoku/>
              <w:wordWrap/>
              <w:overflowPunct/>
              <w:topLinePunct w:val="0"/>
              <w:bidi w:val="0"/>
              <w:snapToGrid w:val="0"/>
              <w:spacing w:line="300" w:lineRule="auto"/>
              <w:ind w:left="0" w:leftChars="0" w:firstLine="0" w:firstLineChars="0"/>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保洁服务</w:t>
            </w:r>
          </w:p>
        </w:tc>
        <w:tc>
          <w:tcPr>
            <w:tcW w:w="7489" w:type="dxa"/>
            <w:noWrap w:val="0"/>
            <w:vAlign w:val="center"/>
          </w:tcPr>
          <w:p w14:paraId="0E006A8F">
            <w:pPr>
              <w:pageBreakBefore w:val="0"/>
              <w:widowControl/>
              <w:kinsoku/>
              <w:wordWrap/>
              <w:overflowPunct/>
              <w:topLinePunct w:val="0"/>
              <w:bidi w:val="0"/>
              <w:snapToGrid w:val="0"/>
              <w:spacing w:line="300" w:lineRule="auto"/>
              <w:ind w:left="0" w:leftChars="0" w:firstLine="0" w:firstLineChars="0"/>
              <w:jc w:val="both"/>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bidi="ar-SA"/>
              </w:rPr>
              <w:t>保洁设备（地毯清洗机1台、尘推车1台、垃圾清运车1辆、多功能洗地机1台、吸尘吸水器1台、高压清洗机1台、保洁工具车1辆、榨水车4辆、吹地机1台）</w:t>
            </w:r>
          </w:p>
        </w:tc>
        <w:tc>
          <w:tcPr>
            <w:tcW w:w="1517" w:type="dxa"/>
            <w:noWrap w:val="0"/>
            <w:vAlign w:val="center"/>
          </w:tcPr>
          <w:p w14:paraId="44472EBF">
            <w:pPr>
              <w:pageBreakBefore w:val="0"/>
              <w:widowControl/>
              <w:kinsoku/>
              <w:wordWrap/>
              <w:overflowPunct/>
              <w:topLinePunct w:val="0"/>
              <w:bidi w:val="0"/>
              <w:snapToGrid w:val="0"/>
              <w:spacing w:line="300" w:lineRule="auto"/>
              <w:ind w:left="0" w:leftChars="0" w:firstLine="0" w:firstLineChars="0"/>
              <w:jc w:val="center"/>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bidi="ar-SA"/>
              </w:rPr>
              <w:t>1</w:t>
            </w:r>
          </w:p>
        </w:tc>
        <w:tc>
          <w:tcPr>
            <w:tcW w:w="1476" w:type="dxa"/>
            <w:noWrap w:val="0"/>
            <w:vAlign w:val="center"/>
          </w:tcPr>
          <w:p w14:paraId="564B2066">
            <w:pPr>
              <w:pageBreakBefore w:val="0"/>
              <w:widowControl/>
              <w:kinsoku/>
              <w:wordWrap/>
              <w:overflowPunct/>
              <w:topLinePunct w:val="0"/>
              <w:bidi w:val="0"/>
              <w:snapToGrid w:val="0"/>
              <w:spacing w:line="300" w:lineRule="auto"/>
              <w:ind w:left="0" w:leftChars="0" w:firstLine="0" w:firstLineChars="0"/>
              <w:jc w:val="center"/>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t>批</w:t>
            </w:r>
          </w:p>
        </w:tc>
      </w:tr>
      <w:tr w14:paraId="5B815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7" w:hRule="atLeast"/>
        </w:trPr>
        <w:tc>
          <w:tcPr>
            <w:tcW w:w="1152" w:type="dxa"/>
            <w:noWrap w:val="0"/>
            <w:vAlign w:val="center"/>
          </w:tcPr>
          <w:p w14:paraId="24B511B9">
            <w:pPr>
              <w:pageBreakBefore w:val="0"/>
              <w:widowControl/>
              <w:numPr>
                <w:ilvl w:val="0"/>
                <w:numId w:val="0"/>
              </w:numPr>
              <w:kinsoku/>
              <w:wordWrap/>
              <w:overflowPunct/>
              <w:topLinePunct w:val="0"/>
              <w:bidi w:val="0"/>
              <w:snapToGrid w:val="0"/>
              <w:spacing w:line="300" w:lineRule="auto"/>
              <w:ind w:left="0" w:firstLine="420" w:firstLineChars="200"/>
              <w:jc w:val="center"/>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t>5</w:t>
            </w:r>
          </w:p>
        </w:tc>
        <w:tc>
          <w:tcPr>
            <w:tcW w:w="3152" w:type="dxa"/>
            <w:noWrap w:val="0"/>
            <w:vAlign w:val="center"/>
          </w:tcPr>
          <w:p w14:paraId="4C5CD0CE">
            <w:pPr>
              <w:pageBreakBefore w:val="0"/>
              <w:widowControl/>
              <w:kinsoku/>
              <w:wordWrap/>
              <w:overflowPunct/>
              <w:topLinePunct w:val="0"/>
              <w:bidi w:val="0"/>
              <w:snapToGrid w:val="0"/>
              <w:spacing w:line="300" w:lineRule="auto"/>
              <w:ind w:left="0" w:leftChars="0" w:firstLine="0" w:firstLineChars="0"/>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绿化服务</w:t>
            </w:r>
          </w:p>
        </w:tc>
        <w:tc>
          <w:tcPr>
            <w:tcW w:w="7489" w:type="dxa"/>
            <w:noWrap w:val="0"/>
            <w:vAlign w:val="center"/>
          </w:tcPr>
          <w:p w14:paraId="6A179BFC">
            <w:pPr>
              <w:pageBreakBefore w:val="0"/>
              <w:widowControl/>
              <w:kinsoku/>
              <w:wordWrap/>
              <w:overflowPunct/>
              <w:topLinePunct w:val="0"/>
              <w:bidi w:val="0"/>
              <w:snapToGrid w:val="0"/>
              <w:spacing w:line="300" w:lineRule="auto"/>
              <w:ind w:left="0" w:leftChars="0" w:firstLine="0" w:firstLineChars="0"/>
              <w:jc w:val="both"/>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bidi="ar-SA"/>
              </w:rPr>
              <w:t>绿化设备（绿篱机1台、打草机1台、绿化长剪1把、割草机1台）</w:t>
            </w:r>
          </w:p>
        </w:tc>
        <w:tc>
          <w:tcPr>
            <w:tcW w:w="1517" w:type="dxa"/>
            <w:noWrap w:val="0"/>
            <w:vAlign w:val="center"/>
          </w:tcPr>
          <w:p w14:paraId="59120DFE">
            <w:pPr>
              <w:pageBreakBefore w:val="0"/>
              <w:widowControl/>
              <w:kinsoku/>
              <w:wordWrap/>
              <w:overflowPunct/>
              <w:topLinePunct w:val="0"/>
              <w:bidi w:val="0"/>
              <w:snapToGrid w:val="0"/>
              <w:spacing w:line="300" w:lineRule="auto"/>
              <w:ind w:left="0" w:leftChars="0" w:firstLine="0" w:firstLineChars="0"/>
              <w:jc w:val="center"/>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bidi="ar-SA"/>
              </w:rPr>
              <w:t>1</w:t>
            </w:r>
          </w:p>
        </w:tc>
        <w:tc>
          <w:tcPr>
            <w:tcW w:w="1476" w:type="dxa"/>
            <w:noWrap w:val="0"/>
            <w:vAlign w:val="center"/>
          </w:tcPr>
          <w:p w14:paraId="2B134854">
            <w:pPr>
              <w:pageBreakBefore w:val="0"/>
              <w:widowControl/>
              <w:kinsoku/>
              <w:wordWrap/>
              <w:overflowPunct/>
              <w:topLinePunct w:val="0"/>
              <w:bidi w:val="0"/>
              <w:snapToGrid w:val="0"/>
              <w:spacing w:line="300" w:lineRule="auto"/>
              <w:ind w:left="0" w:leftChars="0" w:firstLine="0" w:firstLineChars="0"/>
              <w:jc w:val="center"/>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t>批</w:t>
            </w:r>
          </w:p>
        </w:tc>
      </w:tr>
      <w:tr w14:paraId="13B85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1" w:hRule="atLeast"/>
        </w:trPr>
        <w:tc>
          <w:tcPr>
            <w:tcW w:w="1152" w:type="dxa"/>
            <w:noWrap w:val="0"/>
            <w:vAlign w:val="center"/>
          </w:tcPr>
          <w:p w14:paraId="699B5DB4">
            <w:pPr>
              <w:pageBreakBefore w:val="0"/>
              <w:widowControl/>
              <w:numPr>
                <w:ilvl w:val="0"/>
                <w:numId w:val="0"/>
              </w:numPr>
              <w:kinsoku/>
              <w:wordWrap/>
              <w:overflowPunct/>
              <w:topLinePunct w:val="0"/>
              <w:bidi w:val="0"/>
              <w:snapToGrid w:val="0"/>
              <w:spacing w:line="300" w:lineRule="auto"/>
              <w:ind w:left="0" w:firstLine="420" w:firstLineChars="200"/>
              <w:jc w:val="center"/>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t>6</w:t>
            </w:r>
          </w:p>
        </w:tc>
        <w:tc>
          <w:tcPr>
            <w:tcW w:w="3152" w:type="dxa"/>
            <w:noWrap w:val="0"/>
            <w:vAlign w:val="center"/>
          </w:tcPr>
          <w:p w14:paraId="210B70A7">
            <w:pPr>
              <w:pageBreakBefore w:val="0"/>
              <w:widowControl/>
              <w:kinsoku/>
              <w:wordWrap/>
              <w:overflowPunct/>
              <w:topLinePunct w:val="0"/>
              <w:bidi w:val="0"/>
              <w:snapToGrid w:val="0"/>
              <w:spacing w:line="300" w:lineRule="auto"/>
              <w:ind w:left="0" w:leftChars="0" w:firstLine="0" w:firstLineChars="0"/>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保安服务</w:t>
            </w:r>
          </w:p>
        </w:tc>
        <w:tc>
          <w:tcPr>
            <w:tcW w:w="7489" w:type="dxa"/>
            <w:noWrap w:val="0"/>
            <w:vAlign w:val="center"/>
          </w:tcPr>
          <w:p w14:paraId="3522630F">
            <w:pPr>
              <w:pageBreakBefore w:val="0"/>
              <w:widowControl/>
              <w:kinsoku/>
              <w:wordWrap/>
              <w:overflowPunct/>
              <w:topLinePunct w:val="0"/>
              <w:bidi w:val="0"/>
              <w:snapToGrid w:val="0"/>
              <w:spacing w:line="300" w:lineRule="auto"/>
              <w:ind w:left="0" w:leftChars="0" w:firstLine="0" w:firstLineChars="0"/>
              <w:jc w:val="both"/>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bidi="ar-SA"/>
              </w:rPr>
              <w:t>安保设备（防暴头盔、执法记录仪、强光灯、雨具、大功率手电、巡逻手电、对讲机）</w:t>
            </w:r>
          </w:p>
          <w:p w14:paraId="1B9F15DF">
            <w:pPr>
              <w:pageBreakBefore w:val="0"/>
              <w:widowControl/>
              <w:kinsoku/>
              <w:wordWrap/>
              <w:overflowPunct/>
              <w:topLinePunct w:val="0"/>
              <w:bidi w:val="0"/>
              <w:snapToGrid w:val="0"/>
              <w:spacing w:line="300" w:lineRule="auto"/>
              <w:ind w:left="0" w:leftChars="0" w:firstLine="0" w:firstLineChars="0"/>
              <w:jc w:val="both"/>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bidi="ar-SA"/>
              </w:rPr>
              <w:t>安保器械（橡胶棍棒、盾牌、防刺服、防刺手套）</w:t>
            </w:r>
          </w:p>
        </w:tc>
        <w:tc>
          <w:tcPr>
            <w:tcW w:w="1517" w:type="dxa"/>
            <w:noWrap w:val="0"/>
            <w:vAlign w:val="center"/>
          </w:tcPr>
          <w:p w14:paraId="05F016E8">
            <w:pPr>
              <w:pageBreakBefore w:val="0"/>
              <w:widowControl/>
              <w:kinsoku/>
              <w:wordWrap/>
              <w:overflowPunct/>
              <w:topLinePunct w:val="0"/>
              <w:bidi w:val="0"/>
              <w:snapToGrid w:val="0"/>
              <w:spacing w:line="300" w:lineRule="auto"/>
              <w:ind w:left="0" w:leftChars="0" w:firstLine="0" w:firstLineChars="0"/>
              <w:jc w:val="center"/>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bidi="ar-SA"/>
              </w:rPr>
              <w:t>1</w:t>
            </w:r>
          </w:p>
        </w:tc>
        <w:tc>
          <w:tcPr>
            <w:tcW w:w="1476" w:type="dxa"/>
            <w:noWrap w:val="0"/>
            <w:vAlign w:val="center"/>
          </w:tcPr>
          <w:p w14:paraId="687DB181">
            <w:pPr>
              <w:pageBreakBefore w:val="0"/>
              <w:widowControl/>
              <w:kinsoku/>
              <w:wordWrap/>
              <w:overflowPunct/>
              <w:topLinePunct w:val="0"/>
              <w:bidi w:val="0"/>
              <w:snapToGrid w:val="0"/>
              <w:spacing w:line="300" w:lineRule="auto"/>
              <w:ind w:left="0" w:leftChars="0" w:firstLine="0" w:firstLineChars="0"/>
              <w:jc w:val="center"/>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t>批</w:t>
            </w:r>
          </w:p>
        </w:tc>
      </w:tr>
      <w:tr w14:paraId="7B263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52" w:type="dxa"/>
            <w:noWrap w:val="0"/>
            <w:vAlign w:val="center"/>
          </w:tcPr>
          <w:p w14:paraId="06179BBD">
            <w:pPr>
              <w:pageBreakBefore w:val="0"/>
              <w:widowControl/>
              <w:numPr>
                <w:ilvl w:val="0"/>
                <w:numId w:val="0"/>
              </w:numPr>
              <w:kinsoku/>
              <w:wordWrap/>
              <w:overflowPunct/>
              <w:topLinePunct w:val="0"/>
              <w:bidi w:val="0"/>
              <w:snapToGrid w:val="0"/>
              <w:spacing w:line="300" w:lineRule="auto"/>
              <w:ind w:left="0" w:firstLine="420" w:firstLineChars="200"/>
              <w:jc w:val="center"/>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t>7</w:t>
            </w:r>
          </w:p>
        </w:tc>
        <w:tc>
          <w:tcPr>
            <w:tcW w:w="3152" w:type="dxa"/>
            <w:noWrap w:val="0"/>
            <w:vAlign w:val="center"/>
          </w:tcPr>
          <w:p w14:paraId="0C369F54">
            <w:pPr>
              <w:pageBreakBefore w:val="0"/>
              <w:widowControl/>
              <w:kinsoku/>
              <w:wordWrap/>
              <w:overflowPunct/>
              <w:topLinePunct w:val="0"/>
              <w:bidi w:val="0"/>
              <w:snapToGrid w:val="0"/>
              <w:spacing w:line="300" w:lineRule="auto"/>
              <w:ind w:left="0" w:leftChars="0" w:firstLine="0" w:firstLineChars="0"/>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会务服务</w:t>
            </w:r>
          </w:p>
        </w:tc>
        <w:tc>
          <w:tcPr>
            <w:tcW w:w="7489" w:type="dxa"/>
            <w:noWrap w:val="0"/>
            <w:vAlign w:val="center"/>
          </w:tcPr>
          <w:p w14:paraId="273407E5">
            <w:pPr>
              <w:pageBreakBefore w:val="0"/>
              <w:widowControl/>
              <w:kinsoku/>
              <w:wordWrap/>
              <w:overflowPunct/>
              <w:topLinePunct w:val="0"/>
              <w:bidi w:val="0"/>
              <w:snapToGrid w:val="0"/>
              <w:spacing w:line="300" w:lineRule="auto"/>
              <w:ind w:left="0" w:leftChars="0" w:firstLine="0" w:firstLineChars="0"/>
              <w:jc w:val="both"/>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bidi="ar-SA"/>
              </w:rPr>
              <w:t>热温壶9套、保温壶11套、会议桌前420套</w:t>
            </w:r>
          </w:p>
          <w:p w14:paraId="6DBBB3AA">
            <w:pPr>
              <w:keepNext/>
              <w:keepLines/>
              <w:widowControl w:val="0"/>
              <w:snapToGrid w:val="0"/>
              <w:spacing w:line="300" w:lineRule="auto"/>
              <w:ind w:left="0" w:leftChars="0" w:firstLine="0" w:firstLineChars="0"/>
              <w:jc w:val="both"/>
              <w:outlineLvl w:val="1"/>
              <w:rPr>
                <w:rFonts w:hint="eastAsia" w:ascii="仿宋" w:hAnsi="仿宋" w:eastAsia="仿宋" w:cs="仿宋"/>
                <w:b/>
                <w:bCs/>
                <w:kern w:val="2"/>
                <w:sz w:val="21"/>
                <w:szCs w:val="21"/>
                <w:lang w:val="en-US" w:eastAsia="zh-CN" w:bidi="ar-SA"/>
              </w:rPr>
            </w:pPr>
            <w:r>
              <w:rPr>
                <w:rFonts w:hint="eastAsia" w:ascii="仿宋" w:hAnsi="仿宋" w:eastAsia="仿宋" w:cs="仿宋"/>
                <w:b w:val="0"/>
                <w:bCs w:val="0"/>
                <w:color w:val="auto"/>
                <w:kern w:val="0"/>
                <w:sz w:val="21"/>
                <w:szCs w:val="21"/>
                <w:highlight w:val="none"/>
                <w:lang w:val="en-US" w:eastAsia="zh-CN" w:bidi="ar-SA"/>
              </w:rPr>
              <w:t>水杯、毛巾、茶叶、杯托</w:t>
            </w:r>
          </w:p>
        </w:tc>
        <w:tc>
          <w:tcPr>
            <w:tcW w:w="1517" w:type="dxa"/>
            <w:noWrap w:val="0"/>
            <w:vAlign w:val="center"/>
          </w:tcPr>
          <w:p w14:paraId="303A3586">
            <w:pPr>
              <w:pageBreakBefore w:val="0"/>
              <w:widowControl/>
              <w:kinsoku/>
              <w:wordWrap/>
              <w:overflowPunct/>
              <w:topLinePunct w:val="0"/>
              <w:bidi w:val="0"/>
              <w:snapToGrid w:val="0"/>
              <w:spacing w:line="300" w:lineRule="auto"/>
              <w:ind w:left="0" w:leftChars="0" w:firstLine="0" w:firstLineChars="0"/>
              <w:jc w:val="center"/>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bidi="ar-SA"/>
              </w:rPr>
              <w:t>1</w:t>
            </w:r>
          </w:p>
        </w:tc>
        <w:tc>
          <w:tcPr>
            <w:tcW w:w="1476" w:type="dxa"/>
            <w:noWrap w:val="0"/>
            <w:vAlign w:val="center"/>
          </w:tcPr>
          <w:p w14:paraId="58A04B32">
            <w:pPr>
              <w:pageBreakBefore w:val="0"/>
              <w:widowControl/>
              <w:kinsoku/>
              <w:wordWrap/>
              <w:overflowPunct/>
              <w:topLinePunct w:val="0"/>
              <w:bidi w:val="0"/>
              <w:snapToGrid w:val="0"/>
              <w:spacing w:line="300" w:lineRule="auto"/>
              <w:ind w:left="0" w:leftChars="0" w:firstLine="0" w:firstLineChars="0"/>
              <w:jc w:val="center"/>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t>批</w:t>
            </w:r>
          </w:p>
        </w:tc>
      </w:tr>
    </w:tbl>
    <w:p w14:paraId="07D994EC">
      <w:pPr>
        <w:widowControl w:val="0"/>
        <w:bidi w:val="0"/>
        <w:snapToGrid w:val="0"/>
        <w:spacing w:line="300" w:lineRule="auto"/>
        <w:ind w:firstLine="562" w:firstLineChars="200"/>
        <w:rPr>
          <w:rFonts w:hint="eastAsia" w:ascii="仿宋" w:hAnsi="仿宋" w:eastAsia="仿宋" w:cs="仿宋"/>
          <w:b/>
          <w:bCs/>
          <w:sz w:val="28"/>
          <w:szCs w:val="28"/>
        </w:rPr>
      </w:pPr>
      <w:r>
        <w:rPr>
          <w:rFonts w:hint="eastAsia" w:ascii="仿宋" w:hAnsi="仿宋" w:eastAsia="仿宋" w:cs="仿宋"/>
          <w:b/>
          <w:bCs/>
          <w:sz w:val="28"/>
          <w:szCs w:val="28"/>
          <w:lang w:val="en-US" w:eastAsia="zh-CN"/>
        </w:rPr>
        <w:t>5.</w:t>
      </w:r>
      <w:r>
        <w:rPr>
          <w:rFonts w:hint="eastAsia" w:ascii="仿宋" w:hAnsi="仿宋" w:eastAsia="仿宋" w:cs="仿宋"/>
          <w:b/>
          <w:bCs/>
          <w:sz w:val="28"/>
          <w:szCs w:val="28"/>
        </w:rPr>
        <w:t>物业管理服务人员需求</w:t>
      </w:r>
    </w:p>
    <w:tbl>
      <w:tblPr>
        <w:tblStyle w:val="4"/>
        <w:tblW w:w="498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1"/>
        <w:gridCol w:w="958"/>
        <w:gridCol w:w="2308"/>
        <w:gridCol w:w="676"/>
        <w:gridCol w:w="1176"/>
        <w:gridCol w:w="2483"/>
      </w:tblGrid>
      <w:tr w14:paraId="2C352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82" w:type="dxa"/>
            <w:noWrap w:val="0"/>
            <w:vAlign w:val="center"/>
          </w:tcPr>
          <w:p w14:paraId="4723BBDA">
            <w:pPr>
              <w:pageBreakBefore w:val="0"/>
              <w:widowControl/>
              <w:kinsoku/>
              <w:wordWrap/>
              <w:overflowPunct/>
              <w:topLinePunct w:val="0"/>
              <w:bidi w:val="0"/>
              <w:snapToGrid w:val="0"/>
              <w:spacing w:line="300" w:lineRule="auto"/>
              <w:ind w:left="0" w:leftChars="0" w:firstLine="0" w:firstLineChars="0"/>
              <w:jc w:val="center"/>
              <w:rPr>
                <w:rFonts w:hint="eastAsia" w:ascii="仿宋" w:hAnsi="仿宋" w:eastAsia="仿宋" w:cs="仿宋"/>
                <w:b/>
                <w:bCs w:val="0"/>
                <w:color w:val="auto"/>
                <w:sz w:val="21"/>
                <w:szCs w:val="21"/>
                <w:highlight w:val="none"/>
                <w:lang w:val="en-US" w:eastAsia="zh-CN"/>
              </w:rPr>
            </w:pPr>
            <w:r>
              <w:rPr>
                <w:rFonts w:hint="eastAsia" w:ascii="仿宋" w:hAnsi="仿宋" w:eastAsia="仿宋" w:cs="仿宋"/>
                <w:b/>
                <w:bCs w:val="0"/>
                <w:color w:val="auto"/>
                <w:sz w:val="21"/>
                <w:szCs w:val="21"/>
                <w:highlight w:val="none"/>
              </w:rPr>
              <w:t>部门</w:t>
            </w:r>
            <w:r>
              <w:rPr>
                <w:rFonts w:hint="eastAsia" w:ascii="仿宋" w:hAnsi="仿宋" w:eastAsia="仿宋" w:cs="仿宋"/>
                <w:b/>
                <w:bCs w:val="0"/>
                <w:color w:val="auto"/>
                <w:sz w:val="21"/>
                <w:szCs w:val="21"/>
                <w:highlight w:val="none"/>
                <w:lang w:eastAsia="zh-CN"/>
              </w:rPr>
              <w:t>职能</w:t>
            </w:r>
          </w:p>
        </w:tc>
        <w:tc>
          <w:tcPr>
            <w:tcW w:w="1044" w:type="dxa"/>
            <w:noWrap w:val="0"/>
            <w:vAlign w:val="center"/>
          </w:tcPr>
          <w:p w14:paraId="37A83281">
            <w:pPr>
              <w:pageBreakBefore w:val="0"/>
              <w:widowControl/>
              <w:kinsoku/>
              <w:wordWrap/>
              <w:overflowPunct/>
              <w:topLinePunct w:val="0"/>
              <w:bidi w:val="0"/>
              <w:snapToGrid w:val="0"/>
              <w:spacing w:line="300" w:lineRule="auto"/>
              <w:ind w:left="0" w:leftChars="0" w:firstLine="0" w:firstLineChars="0"/>
              <w:jc w:val="center"/>
              <w:rPr>
                <w:rFonts w:hint="eastAsia" w:ascii="仿宋" w:hAnsi="仿宋" w:eastAsia="仿宋" w:cs="仿宋"/>
                <w:b/>
                <w:bCs w:val="0"/>
                <w:color w:val="auto"/>
                <w:sz w:val="21"/>
                <w:szCs w:val="21"/>
                <w:highlight w:val="none"/>
              </w:rPr>
            </w:pPr>
            <w:r>
              <w:rPr>
                <w:rFonts w:hint="eastAsia" w:ascii="仿宋" w:hAnsi="仿宋" w:eastAsia="仿宋" w:cs="仿宋"/>
                <w:b/>
                <w:bCs w:val="0"/>
                <w:color w:val="auto"/>
                <w:sz w:val="21"/>
                <w:szCs w:val="21"/>
                <w:highlight w:val="none"/>
              </w:rPr>
              <w:t>岗位</w:t>
            </w:r>
          </w:p>
        </w:tc>
        <w:tc>
          <w:tcPr>
            <w:tcW w:w="2515" w:type="dxa"/>
            <w:noWrap w:val="0"/>
            <w:vAlign w:val="center"/>
          </w:tcPr>
          <w:p w14:paraId="4E67E562">
            <w:pPr>
              <w:pageBreakBefore w:val="0"/>
              <w:widowControl/>
              <w:kinsoku/>
              <w:wordWrap/>
              <w:overflowPunct/>
              <w:topLinePunct w:val="0"/>
              <w:bidi w:val="0"/>
              <w:snapToGrid w:val="0"/>
              <w:spacing w:line="300" w:lineRule="auto"/>
              <w:ind w:left="0" w:leftChars="0" w:firstLine="0" w:firstLineChars="0"/>
              <w:jc w:val="center"/>
              <w:rPr>
                <w:rFonts w:hint="eastAsia" w:ascii="仿宋" w:hAnsi="仿宋" w:eastAsia="仿宋" w:cs="仿宋"/>
                <w:b/>
                <w:bCs w:val="0"/>
                <w:color w:val="auto"/>
                <w:sz w:val="21"/>
                <w:szCs w:val="21"/>
                <w:highlight w:val="none"/>
                <w:lang w:val="en-US" w:eastAsia="zh-CN"/>
              </w:rPr>
            </w:pPr>
            <w:r>
              <w:rPr>
                <w:rFonts w:hint="eastAsia" w:ascii="仿宋" w:hAnsi="仿宋" w:eastAsia="仿宋" w:cs="仿宋"/>
                <w:b/>
                <w:bCs w:val="0"/>
                <w:color w:val="auto"/>
                <w:sz w:val="21"/>
                <w:szCs w:val="21"/>
                <w:highlight w:val="none"/>
                <w:lang w:val="en-US" w:eastAsia="zh-CN"/>
              </w:rPr>
              <w:t>岗位职责</w:t>
            </w:r>
          </w:p>
        </w:tc>
        <w:tc>
          <w:tcPr>
            <w:tcW w:w="737" w:type="dxa"/>
            <w:noWrap w:val="0"/>
            <w:vAlign w:val="center"/>
          </w:tcPr>
          <w:p w14:paraId="04286F57">
            <w:pPr>
              <w:pageBreakBefore w:val="0"/>
              <w:widowControl/>
              <w:kinsoku/>
              <w:wordWrap/>
              <w:overflowPunct/>
              <w:topLinePunct w:val="0"/>
              <w:bidi w:val="0"/>
              <w:snapToGrid w:val="0"/>
              <w:spacing w:line="300" w:lineRule="auto"/>
              <w:ind w:left="0" w:leftChars="0" w:firstLine="0" w:firstLineChars="0"/>
              <w:jc w:val="center"/>
              <w:rPr>
                <w:rFonts w:hint="eastAsia" w:ascii="仿宋" w:hAnsi="仿宋" w:eastAsia="仿宋" w:cs="仿宋"/>
                <w:b/>
                <w:bCs w:val="0"/>
                <w:color w:val="auto"/>
                <w:sz w:val="21"/>
                <w:szCs w:val="21"/>
                <w:highlight w:val="none"/>
              </w:rPr>
            </w:pPr>
            <w:r>
              <w:rPr>
                <w:rFonts w:hint="eastAsia" w:ascii="仿宋" w:hAnsi="仿宋" w:eastAsia="仿宋" w:cs="仿宋"/>
                <w:b/>
                <w:bCs w:val="0"/>
                <w:color w:val="auto"/>
                <w:sz w:val="21"/>
                <w:szCs w:val="21"/>
                <w:highlight w:val="none"/>
              </w:rPr>
              <w:t>同时在岗人数</w:t>
            </w:r>
          </w:p>
        </w:tc>
        <w:tc>
          <w:tcPr>
            <w:tcW w:w="1282" w:type="dxa"/>
            <w:noWrap w:val="0"/>
            <w:vAlign w:val="center"/>
          </w:tcPr>
          <w:p w14:paraId="5762B979">
            <w:pPr>
              <w:pageBreakBefore w:val="0"/>
              <w:widowControl/>
              <w:kinsoku/>
              <w:wordWrap/>
              <w:overflowPunct/>
              <w:topLinePunct w:val="0"/>
              <w:bidi w:val="0"/>
              <w:snapToGrid w:val="0"/>
              <w:spacing w:line="300" w:lineRule="auto"/>
              <w:ind w:left="0" w:leftChars="0" w:firstLine="0" w:firstLineChars="0"/>
              <w:jc w:val="center"/>
              <w:rPr>
                <w:rFonts w:hint="eastAsia" w:ascii="仿宋" w:hAnsi="仿宋" w:eastAsia="仿宋" w:cs="仿宋"/>
                <w:b/>
                <w:bCs w:val="0"/>
                <w:color w:val="auto"/>
                <w:sz w:val="21"/>
                <w:szCs w:val="21"/>
                <w:highlight w:val="none"/>
              </w:rPr>
            </w:pPr>
            <w:r>
              <w:rPr>
                <w:rFonts w:hint="eastAsia" w:ascii="仿宋" w:hAnsi="仿宋" w:eastAsia="仿宋" w:cs="仿宋"/>
                <w:b/>
                <w:bCs w:val="0"/>
                <w:color w:val="auto"/>
                <w:sz w:val="21"/>
                <w:szCs w:val="21"/>
                <w:highlight w:val="none"/>
              </w:rPr>
              <w:t>岗位所需总人数</w:t>
            </w:r>
          </w:p>
        </w:tc>
        <w:tc>
          <w:tcPr>
            <w:tcW w:w="2706" w:type="dxa"/>
            <w:noWrap w:val="0"/>
            <w:vAlign w:val="center"/>
          </w:tcPr>
          <w:p w14:paraId="2BE4E18B">
            <w:pPr>
              <w:pageBreakBefore w:val="0"/>
              <w:widowControl/>
              <w:kinsoku/>
              <w:wordWrap/>
              <w:overflowPunct/>
              <w:topLinePunct w:val="0"/>
              <w:bidi w:val="0"/>
              <w:snapToGrid w:val="0"/>
              <w:spacing w:line="300" w:lineRule="auto"/>
              <w:ind w:left="0" w:leftChars="0" w:firstLine="0" w:firstLineChars="0"/>
              <w:jc w:val="center"/>
              <w:rPr>
                <w:rFonts w:hint="eastAsia" w:ascii="仿宋" w:hAnsi="仿宋" w:eastAsia="仿宋" w:cs="仿宋"/>
                <w:b/>
                <w:bCs w:val="0"/>
                <w:color w:val="auto"/>
                <w:sz w:val="21"/>
                <w:szCs w:val="21"/>
                <w:highlight w:val="none"/>
              </w:rPr>
            </w:pPr>
            <w:r>
              <w:rPr>
                <w:rFonts w:hint="eastAsia" w:ascii="仿宋" w:hAnsi="仿宋" w:eastAsia="仿宋" w:cs="仿宋"/>
                <w:b/>
                <w:bCs w:val="0"/>
                <w:color w:val="auto"/>
                <w:sz w:val="21"/>
                <w:szCs w:val="21"/>
                <w:highlight w:val="none"/>
              </w:rPr>
              <w:t>备注（岗位所需服务时长或时段、需具备的上岗资格证</w:t>
            </w:r>
            <w:r>
              <w:rPr>
                <w:rFonts w:hint="eastAsia" w:ascii="仿宋" w:hAnsi="仿宋" w:eastAsia="仿宋" w:cs="仿宋"/>
                <w:b/>
                <w:bCs w:val="0"/>
                <w:color w:val="auto"/>
                <w:sz w:val="21"/>
                <w:szCs w:val="21"/>
                <w:highlight w:val="none"/>
                <w:lang w:eastAsia="zh-CN"/>
              </w:rPr>
              <w:t>、人员学历、工作经验</w:t>
            </w:r>
            <w:r>
              <w:rPr>
                <w:rFonts w:hint="eastAsia" w:ascii="仿宋" w:hAnsi="仿宋" w:eastAsia="仿宋" w:cs="仿宋"/>
                <w:b/>
                <w:bCs w:val="0"/>
                <w:color w:val="auto"/>
                <w:sz w:val="21"/>
                <w:szCs w:val="21"/>
                <w:highlight w:val="none"/>
              </w:rPr>
              <w:t>等</w:t>
            </w:r>
            <w:r>
              <w:rPr>
                <w:rFonts w:hint="eastAsia" w:ascii="仿宋" w:hAnsi="仿宋" w:eastAsia="仿宋" w:cs="仿宋"/>
                <w:b/>
                <w:bCs w:val="0"/>
                <w:color w:val="auto"/>
                <w:sz w:val="21"/>
                <w:szCs w:val="21"/>
                <w:highlight w:val="none"/>
                <w:lang w:eastAsia="zh-CN"/>
              </w:rPr>
              <w:t>要求</w:t>
            </w:r>
            <w:r>
              <w:rPr>
                <w:rFonts w:hint="eastAsia" w:ascii="仿宋" w:hAnsi="仿宋" w:eastAsia="仿宋" w:cs="仿宋"/>
                <w:b/>
                <w:bCs w:val="0"/>
                <w:color w:val="auto"/>
                <w:sz w:val="21"/>
                <w:szCs w:val="21"/>
                <w:highlight w:val="none"/>
              </w:rPr>
              <w:t>）</w:t>
            </w:r>
          </w:p>
        </w:tc>
      </w:tr>
      <w:tr w14:paraId="19DD1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82" w:type="dxa"/>
            <w:noWrap w:val="0"/>
            <w:vAlign w:val="center"/>
          </w:tcPr>
          <w:p w14:paraId="18F899FA">
            <w:pPr>
              <w:pageBreakBefore w:val="0"/>
              <w:widowControl/>
              <w:kinsoku/>
              <w:wordWrap/>
              <w:overflowPunct/>
              <w:topLinePunct w:val="0"/>
              <w:bidi w:val="0"/>
              <w:snapToGrid w:val="0"/>
              <w:spacing w:line="300" w:lineRule="auto"/>
              <w:ind w:left="0" w:leftChars="0" w:firstLine="0" w:firstLineChars="0"/>
              <w:jc w:val="center"/>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服务中心</w:t>
            </w:r>
          </w:p>
        </w:tc>
        <w:tc>
          <w:tcPr>
            <w:tcW w:w="1044" w:type="dxa"/>
            <w:noWrap w:val="0"/>
            <w:vAlign w:val="center"/>
          </w:tcPr>
          <w:p w14:paraId="117EAEC4">
            <w:pPr>
              <w:pageBreakBefore w:val="0"/>
              <w:widowControl/>
              <w:kinsoku/>
              <w:wordWrap/>
              <w:overflowPunct/>
              <w:topLinePunct w:val="0"/>
              <w:bidi w:val="0"/>
              <w:snapToGrid w:val="0"/>
              <w:spacing w:line="300" w:lineRule="auto"/>
              <w:ind w:left="0" w:leftChars="0" w:firstLine="0" w:firstLineChars="0"/>
              <w:jc w:val="center"/>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项目经理</w:t>
            </w:r>
          </w:p>
        </w:tc>
        <w:tc>
          <w:tcPr>
            <w:tcW w:w="2515" w:type="dxa"/>
            <w:noWrap w:val="0"/>
            <w:vAlign w:val="center"/>
          </w:tcPr>
          <w:p w14:paraId="4DEA6691">
            <w:pPr>
              <w:pageBreakBefore w:val="0"/>
              <w:widowControl/>
              <w:kinsoku/>
              <w:wordWrap/>
              <w:overflowPunct/>
              <w:topLinePunct w:val="0"/>
              <w:bidi w:val="0"/>
              <w:snapToGrid w:val="0"/>
              <w:spacing w:line="300" w:lineRule="auto"/>
              <w:ind w:left="0" w:leftChars="0" w:firstLine="0" w:firstLineChars="0"/>
              <w:jc w:val="center"/>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负责全校区物业人员管理、档案及分工等。</w:t>
            </w:r>
          </w:p>
        </w:tc>
        <w:tc>
          <w:tcPr>
            <w:tcW w:w="737" w:type="dxa"/>
            <w:noWrap w:val="0"/>
            <w:vAlign w:val="center"/>
          </w:tcPr>
          <w:p w14:paraId="6B3A1713">
            <w:pPr>
              <w:pageBreakBefore w:val="0"/>
              <w:widowControl/>
              <w:kinsoku/>
              <w:wordWrap/>
              <w:overflowPunct/>
              <w:topLinePunct w:val="0"/>
              <w:bidi w:val="0"/>
              <w:snapToGrid w:val="0"/>
              <w:spacing w:line="300" w:lineRule="auto"/>
              <w:ind w:left="0" w:leftChars="0" w:firstLine="0" w:firstLineChars="0"/>
              <w:jc w:val="center"/>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1</w:t>
            </w:r>
          </w:p>
        </w:tc>
        <w:tc>
          <w:tcPr>
            <w:tcW w:w="1282" w:type="dxa"/>
            <w:noWrap w:val="0"/>
            <w:vAlign w:val="center"/>
          </w:tcPr>
          <w:p w14:paraId="2D88AC89">
            <w:pPr>
              <w:pageBreakBefore w:val="0"/>
              <w:widowControl/>
              <w:kinsoku/>
              <w:wordWrap/>
              <w:overflowPunct/>
              <w:topLinePunct w:val="0"/>
              <w:bidi w:val="0"/>
              <w:snapToGrid w:val="0"/>
              <w:spacing w:line="300" w:lineRule="auto"/>
              <w:ind w:left="0" w:leftChars="0" w:firstLine="0" w:firstLineChars="0"/>
              <w:jc w:val="center"/>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1</w:t>
            </w:r>
          </w:p>
        </w:tc>
        <w:tc>
          <w:tcPr>
            <w:tcW w:w="2706" w:type="dxa"/>
            <w:noWrap w:val="0"/>
            <w:vAlign w:val="center"/>
          </w:tcPr>
          <w:p w14:paraId="785852DB">
            <w:pPr>
              <w:pageBreakBefore w:val="0"/>
              <w:widowControl/>
              <w:kinsoku/>
              <w:wordWrap/>
              <w:overflowPunct/>
              <w:topLinePunct w:val="0"/>
              <w:bidi w:val="0"/>
              <w:snapToGrid w:val="0"/>
              <w:spacing w:line="300" w:lineRule="auto"/>
              <w:ind w:left="0" w:leftChars="0" w:firstLine="0" w:firstLineChars="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岗位所需时长8</w:t>
            </w:r>
            <w:r>
              <w:rPr>
                <w:rFonts w:hint="eastAsia" w:ascii="仿宋" w:hAnsi="仿宋" w:eastAsia="仿宋" w:cs="仿宋"/>
                <w:bCs/>
                <w:color w:val="auto"/>
                <w:sz w:val="21"/>
                <w:szCs w:val="21"/>
                <w:highlight w:val="none"/>
              </w:rPr>
              <w:t>小时</w:t>
            </w:r>
            <w:r>
              <w:rPr>
                <w:rFonts w:hint="eastAsia" w:ascii="仿宋" w:hAnsi="仿宋" w:eastAsia="仿宋" w:cs="仿宋"/>
                <w:bCs/>
                <w:color w:val="auto"/>
                <w:sz w:val="21"/>
                <w:szCs w:val="21"/>
                <w:highlight w:val="none"/>
                <w:lang w:val="en-US" w:eastAsia="zh-CN"/>
              </w:rPr>
              <w:t>/天</w:t>
            </w:r>
            <w:r>
              <w:rPr>
                <w:rFonts w:hint="eastAsia" w:ascii="仿宋" w:hAnsi="仿宋" w:eastAsia="仿宋" w:cs="仿宋"/>
                <w:bCs/>
                <w:color w:val="auto"/>
                <w:sz w:val="21"/>
                <w:szCs w:val="21"/>
                <w:highlight w:val="none"/>
              </w:rPr>
              <w:t>，</w:t>
            </w:r>
            <w:r>
              <w:rPr>
                <w:rFonts w:hint="eastAsia" w:ascii="仿宋" w:hAnsi="仿宋" w:eastAsia="仿宋" w:cs="仿宋"/>
                <w:bCs/>
                <w:color w:val="auto"/>
                <w:sz w:val="21"/>
                <w:szCs w:val="21"/>
                <w:highlight w:val="none"/>
                <w:lang w:val="en-US" w:eastAsia="zh-CN"/>
              </w:rPr>
              <w:t>大专以上学历；</w:t>
            </w:r>
            <w:r>
              <w:rPr>
                <w:rFonts w:hint="eastAsia" w:ascii="仿宋" w:hAnsi="仿宋" w:eastAsia="仿宋" w:cs="仿宋"/>
                <w:bCs/>
                <w:color w:val="auto"/>
                <w:sz w:val="21"/>
                <w:szCs w:val="21"/>
                <w:highlight w:val="none"/>
              </w:rPr>
              <w:t>合同期内在岗率</w:t>
            </w:r>
            <w:r>
              <w:rPr>
                <w:rFonts w:hint="eastAsia" w:ascii="仿宋" w:hAnsi="仿宋" w:eastAsia="仿宋" w:cs="仿宋"/>
                <w:bCs/>
                <w:color w:val="FF0000"/>
                <w:sz w:val="21"/>
                <w:szCs w:val="21"/>
                <w:highlight w:val="none"/>
                <w:u w:val="single"/>
              </w:rPr>
              <w:t xml:space="preserve"> </w:t>
            </w:r>
            <w:r>
              <w:rPr>
                <w:rFonts w:hint="eastAsia" w:ascii="仿宋" w:hAnsi="仿宋" w:eastAsia="仿宋" w:cs="仿宋"/>
                <w:bCs/>
                <w:color w:val="FF0000"/>
                <w:sz w:val="21"/>
                <w:szCs w:val="21"/>
                <w:highlight w:val="none"/>
                <w:u w:val="single"/>
                <w:lang w:val="en-US" w:eastAsia="zh-CN"/>
              </w:rPr>
              <w:t>90%</w:t>
            </w:r>
            <w:r>
              <w:rPr>
                <w:rFonts w:hint="eastAsia" w:ascii="仿宋" w:hAnsi="仿宋" w:eastAsia="仿宋" w:cs="仿宋"/>
                <w:bCs/>
                <w:color w:val="FF0000"/>
                <w:sz w:val="21"/>
                <w:szCs w:val="21"/>
                <w:highlight w:val="none"/>
                <w:u w:val="single"/>
              </w:rPr>
              <w:t xml:space="preserve"> </w:t>
            </w:r>
            <w:r>
              <w:rPr>
                <w:rFonts w:hint="eastAsia" w:ascii="仿宋" w:hAnsi="仿宋" w:eastAsia="仿宋" w:cs="仿宋"/>
                <w:bCs/>
                <w:color w:val="auto"/>
                <w:sz w:val="21"/>
                <w:szCs w:val="21"/>
                <w:highlight w:val="none"/>
                <w:u w:val="none"/>
              </w:rPr>
              <w:t>。</w:t>
            </w:r>
          </w:p>
        </w:tc>
      </w:tr>
      <w:tr w14:paraId="5D508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82" w:type="dxa"/>
            <w:noWrap w:val="0"/>
            <w:vAlign w:val="center"/>
          </w:tcPr>
          <w:p w14:paraId="3B3068FB">
            <w:pPr>
              <w:pageBreakBefore w:val="0"/>
              <w:widowControl/>
              <w:kinsoku/>
              <w:wordWrap/>
              <w:overflowPunct/>
              <w:topLinePunct w:val="0"/>
              <w:bidi w:val="0"/>
              <w:snapToGrid w:val="0"/>
              <w:spacing w:line="300" w:lineRule="auto"/>
              <w:jc w:val="center"/>
              <w:rPr>
                <w:rFonts w:hint="eastAsia" w:ascii="仿宋" w:hAnsi="仿宋" w:eastAsia="仿宋" w:cs="仿宋"/>
                <w:bCs/>
                <w:color w:val="auto"/>
                <w:sz w:val="21"/>
                <w:szCs w:val="21"/>
                <w:highlight w:val="none"/>
              </w:rPr>
            </w:pPr>
            <w:r>
              <w:rPr>
                <w:rFonts w:hint="eastAsia" w:ascii="仿宋" w:hAnsi="仿宋" w:eastAsia="仿宋" w:cs="仿宋"/>
                <w:sz w:val="21"/>
                <w:szCs w:val="21"/>
                <w:highlight w:val="none"/>
                <w:lang w:val="en-US" w:eastAsia="zh-CN"/>
              </w:rPr>
              <w:t>公用设施设备维护服务</w:t>
            </w:r>
          </w:p>
        </w:tc>
        <w:tc>
          <w:tcPr>
            <w:tcW w:w="1044" w:type="dxa"/>
            <w:noWrap w:val="0"/>
            <w:vAlign w:val="center"/>
          </w:tcPr>
          <w:p w14:paraId="2F531607">
            <w:pPr>
              <w:pageBreakBefore w:val="0"/>
              <w:widowControl/>
              <w:kinsoku/>
              <w:wordWrap/>
              <w:overflowPunct/>
              <w:topLinePunct w:val="0"/>
              <w:bidi w:val="0"/>
              <w:snapToGrid w:val="0"/>
              <w:spacing w:line="300" w:lineRule="auto"/>
              <w:ind w:left="0" w:leftChars="0" w:firstLine="0" w:firstLineChars="0"/>
              <w:jc w:val="center"/>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水电工</w:t>
            </w:r>
          </w:p>
        </w:tc>
        <w:tc>
          <w:tcPr>
            <w:tcW w:w="2515" w:type="dxa"/>
            <w:noWrap w:val="0"/>
            <w:vAlign w:val="center"/>
          </w:tcPr>
          <w:p w14:paraId="0062DE0A">
            <w:pPr>
              <w:pageBreakBefore w:val="0"/>
              <w:widowControl/>
              <w:kinsoku/>
              <w:wordWrap/>
              <w:overflowPunct/>
              <w:topLinePunct w:val="0"/>
              <w:bidi w:val="0"/>
              <w:snapToGrid w:val="0"/>
              <w:spacing w:line="300" w:lineRule="auto"/>
              <w:ind w:left="0" w:leftChars="0" w:firstLine="0" w:firstLineChars="0"/>
              <w:jc w:val="center"/>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负责校区电力维修，水管等设备维修工作。</w:t>
            </w:r>
          </w:p>
        </w:tc>
        <w:tc>
          <w:tcPr>
            <w:tcW w:w="737" w:type="dxa"/>
            <w:noWrap w:val="0"/>
            <w:vAlign w:val="center"/>
          </w:tcPr>
          <w:p w14:paraId="037AE54A">
            <w:pPr>
              <w:pageBreakBefore w:val="0"/>
              <w:widowControl/>
              <w:kinsoku/>
              <w:wordWrap/>
              <w:overflowPunct/>
              <w:topLinePunct w:val="0"/>
              <w:bidi w:val="0"/>
              <w:snapToGrid w:val="0"/>
              <w:spacing w:line="300" w:lineRule="auto"/>
              <w:ind w:left="0" w:leftChars="0" w:firstLine="0" w:firstLineChars="0"/>
              <w:jc w:val="center"/>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1</w:t>
            </w:r>
          </w:p>
        </w:tc>
        <w:tc>
          <w:tcPr>
            <w:tcW w:w="1282" w:type="dxa"/>
            <w:noWrap w:val="0"/>
            <w:vAlign w:val="center"/>
          </w:tcPr>
          <w:p w14:paraId="057BEAB0">
            <w:pPr>
              <w:pageBreakBefore w:val="0"/>
              <w:widowControl/>
              <w:kinsoku/>
              <w:wordWrap/>
              <w:overflowPunct/>
              <w:topLinePunct w:val="0"/>
              <w:bidi w:val="0"/>
              <w:snapToGrid w:val="0"/>
              <w:spacing w:line="300" w:lineRule="auto"/>
              <w:ind w:left="0" w:leftChars="0" w:firstLine="0" w:firstLineChars="0"/>
              <w:jc w:val="center"/>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1</w:t>
            </w:r>
          </w:p>
        </w:tc>
        <w:tc>
          <w:tcPr>
            <w:tcW w:w="2706" w:type="dxa"/>
            <w:noWrap w:val="0"/>
            <w:vAlign w:val="center"/>
          </w:tcPr>
          <w:p w14:paraId="5DA7076D">
            <w:pPr>
              <w:pageBreakBefore w:val="0"/>
              <w:widowControl/>
              <w:kinsoku/>
              <w:wordWrap/>
              <w:overflowPunct/>
              <w:topLinePunct w:val="0"/>
              <w:bidi w:val="0"/>
              <w:snapToGrid w:val="0"/>
              <w:spacing w:line="300" w:lineRule="auto"/>
              <w:ind w:left="0" w:leftChars="0" w:firstLine="0" w:firstLineChars="0"/>
              <w:jc w:val="center"/>
              <w:rPr>
                <w:rFonts w:hint="eastAsia" w:ascii="仿宋" w:hAnsi="仿宋" w:eastAsia="仿宋" w:cs="仿宋"/>
                <w:bCs/>
                <w:color w:val="auto"/>
                <w:sz w:val="21"/>
                <w:szCs w:val="21"/>
                <w:highlight w:val="none"/>
                <w:lang w:val="en-US"/>
              </w:rPr>
            </w:pPr>
            <w:r>
              <w:rPr>
                <w:rFonts w:hint="eastAsia" w:ascii="仿宋" w:hAnsi="仿宋" w:eastAsia="仿宋" w:cs="仿宋"/>
                <w:bCs/>
                <w:color w:val="auto"/>
                <w:sz w:val="21"/>
                <w:szCs w:val="21"/>
                <w:highlight w:val="none"/>
              </w:rPr>
              <w:t>特种作业操作证</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rPr>
              <w:t>低压电工</w:t>
            </w:r>
            <w:r>
              <w:rPr>
                <w:rFonts w:hint="eastAsia" w:ascii="仿宋" w:hAnsi="仿宋" w:eastAsia="仿宋" w:cs="仿宋"/>
                <w:bCs/>
                <w:color w:val="auto"/>
                <w:sz w:val="21"/>
                <w:szCs w:val="21"/>
                <w:highlight w:val="none"/>
                <w:lang w:val="en-US" w:eastAsia="zh-CN"/>
              </w:rPr>
              <w:t>作业</w:t>
            </w:r>
            <w:r>
              <w:rPr>
                <w:rFonts w:hint="eastAsia" w:ascii="仿宋" w:hAnsi="仿宋" w:eastAsia="仿宋" w:cs="仿宋"/>
                <w:bCs/>
                <w:color w:val="auto"/>
                <w:sz w:val="21"/>
                <w:szCs w:val="21"/>
                <w:highlight w:val="none"/>
                <w:lang w:eastAsia="zh-CN"/>
              </w:rPr>
              <w:t>）</w:t>
            </w:r>
          </w:p>
        </w:tc>
      </w:tr>
      <w:tr w14:paraId="7443F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82" w:type="dxa"/>
            <w:vMerge w:val="restart"/>
            <w:noWrap w:val="0"/>
            <w:vAlign w:val="center"/>
          </w:tcPr>
          <w:p w14:paraId="7201AB56">
            <w:pPr>
              <w:pageBreakBefore w:val="0"/>
              <w:widowControl/>
              <w:kinsoku/>
              <w:wordWrap/>
              <w:overflowPunct/>
              <w:topLinePunct w:val="0"/>
              <w:bidi w:val="0"/>
              <w:snapToGrid w:val="0"/>
              <w:spacing w:line="300" w:lineRule="auto"/>
              <w:jc w:val="center"/>
              <w:rPr>
                <w:rFonts w:hint="default"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保洁服务</w:t>
            </w:r>
          </w:p>
        </w:tc>
        <w:tc>
          <w:tcPr>
            <w:tcW w:w="1044" w:type="dxa"/>
            <w:noWrap w:val="0"/>
            <w:vAlign w:val="center"/>
          </w:tcPr>
          <w:p w14:paraId="5A6374D9">
            <w:pPr>
              <w:pageBreakBefore w:val="0"/>
              <w:widowControl/>
              <w:kinsoku/>
              <w:wordWrap/>
              <w:overflowPunct/>
              <w:topLinePunct w:val="0"/>
              <w:bidi w:val="0"/>
              <w:snapToGrid w:val="0"/>
              <w:spacing w:line="300" w:lineRule="auto"/>
              <w:ind w:left="0" w:leftChars="0" w:firstLine="0" w:firstLineChars="0"/>
              <w:jc w:val="center"/>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保洁员</w:t>
            </w:r>
          </w:p>
        </w:tc>
        <w:tc>
          <w:tcPr>
            <w:tcW w:w="2515" w:type="dxa"/>
            <w:noWrap w:val="0"/>
            <w:vAlign w:val="center"/>
          </w:tcPr>
          <w:p w14:paraId="57953AE1">
            <w:pPr>
              <w:pageBreakBefore w:val="0"/>
              <w:widowControl/>
              <w:kinsoku/>
              <w:wordWrap/>
              <w:overflowPunct/>
              <w:topLinePunct w:val="0"/>
              <w:bidi w:val="0"/>
              <w:snapToGrid w:val="0"/>
              <w:spacing w:line="300" w:lineRule="auto"/>
              <w:ind w:left="0" w:leftChars="0" w:firstLine="0" w:firstLineChars="0"/>
              <w:jc w:val="center"/>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负责主教学楼公共卫生区卫生打扫</w:t>
            </w:r>
          </w:p>
        </w:tc>
        <w:tc>
          <w:tcPr>
            <w:tcW w:w="737" w:type="dxa"/>
            <w:noWrap w:val="0"/>
            <w:vAlign w:val="center"/>
          </w:tcPr>
          <w:p w14:paraId="0348467A">
            <w:pPr>
              <w:pageBreakBefore w:val="0"/>
              <w:widowControl/>
              <w:kinsoku/>
              <w:wordWrap/>
              <w:overflowPunct/>
              <w:topLinePunct w:val="0"/>
              <w:bidi w:val="0"/>
              <w:snapToGrid w:val="0"/>
              <w:spacing w:line="300" w:lineRule="auto"/>
              <w:ind w:left="0" w:leftChars="0" w:firstLine="0" w:firstLineChars="0"/>
              <w:jc w:val="center"/>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4</w:t>
            </w:r>
          </w:p>
        </w:tc>
        <w:tc>
          <w:tcPr>
            <w:tcW w:w="1282" w:type="dxa"/>
            <w:noWrap w:val="0"/>
            <w:vAlign w:val="center"/>
          </w:tcPr>
          <w:p w14:paraId="1436062A">
            <w:pPr>
              <w:pageBreakBefore w:val="0"/>
              <w:widowControl/>
              <w:kinsoku/>
              <w:wordWrap/>
              <w:overflowPunct/>
              <w:topLinePunct w:val="0"/>
              <w:bidi w:val="0"/>
              <w:snapToGrid w:val="0"/>
              <w:spacing w:line="300" w:lineRule="auto"/>
              <w:ind w:left="0" w:leftChars="0" w:firstLine="0" w:firstLineChars="0"/>
              <w:jc w:val="center"/>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4</w:t>
            </w:r>
          </w:p>
        </w:tc>
        <w:tc>
          <w:tcPr>
            <w:tcW w:w="2706" w:type="dxa"/>
            <w:noWrap w:val="0"/>
            <w:vAlign w:val="center"/>
          </w:tcPr>
          <w:p w14:paraId="4F3C3639">
            <w:pPr>
              <w:pageBreakBefore w:val="0"/>
              <w:widowControl/>
              <w:kinsoku/>
              <w:wordWrap/>
              <w:overflowPunct/>
              <w:topLinePunct w:val="0"/>
              <w:bidi w:val="0"/>
              <w:snapToGrid w:val="0"/>
              <w:spacing w:line="300" w:lineRule="auto"/>
              <w:ind w:left="0" w:firstLine="420" w:firstLineChars="200"/>
              <w:jc w:val="center"/>
              <w:rPr>
                <w:rFonts w:hint="eastAsia" w:ascii="仿宋" w:hAnsi="仿宋" w:eastAsia="仿宋" w:cs="仿宋"/>
                <w:bCs/>
                <w:color w:val="auto"/>
                <w:sz w:val="21"/>
                <w:szCs w:val="21"/>
                <w:highlight w:val="none"/>
                <w:lang w:val="en-US" w:eastAsia="zh-CN"/>
              </w:rPr>
            </w:pPr>
          </w:p>
        </w:tc>
      </w:tr>
      <w:tr w14:paraId="73E42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82" w:type="dxa"/>
            <w:vMerge w:val="continue"/>
            <w:noWrap w:val="0"/>
            <w:vAlign w:val="center"/>
          </w:tcPr>
          <w:p w14:paraId="642DD025">
            <w:pPr>
              <w:pageBreakBefore w:val="0"/>
              <w:widowControl/>
              <w:kinsoku/>
              <w:wordWrap/>
              <w:overflowPunct/>
              <w:topLinePunct w:val="0"/>
              <w:bidi w:val="0"/>
              <w:snapToGrid w:val="0"/>
              <w:spacing w:line="300" w:lineRule="auto"/>
              <w:ind w:left="0" w:firstLine="420" w:firstLineChars="200"/>
              <w:jc w:val="center"/>
              <w:rPr>
                <w:rFonts w:hint="eastAsia" w:ascii="仿宋" w:hAnsi="仿宋" w:eastAsia="仿宋" w:cs="仿宋"/>
                <w:bCs/>
                <w:color w:val="auto"/>
                <w:sz w:val="21"/>
                <w:szCs w:val="21"/>
                <w:highlight w:val="none"/>
              </w:rPr>
            </w:pPr>
          </w:p>
        </w:tc>
        <w:tc>
          <w:tcPr>
            <w:tcW w:w="1044" w:type="dxa"/>
            <w:noWrap w:val="0"/>
            <w:vAlign w:val="center"/>
          </w:tcPr>
          <w:p w14:paraId="5D0777F3">
            <w:pPr>
              <w:pageBreakBefore w:val="0"/>
              <w:widowControl/>
              <w:kinsoku/>
              <w:wordWrap/>
              <w:overflowPunct/>
              <w:topLinePunct w:val="0"/>
              <w:bidi w:val="0"/>
              <w:snapToGrid w:val="0"/>
              <w:spacing w:line="300" w:lineRule="auto"/>
              <w:ind w:left="0" w:leftChars="0" w:firstLine="0" w:firstLineChars="0"/>
              <w:jc w:val="center"/>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垃圾清运工</w:t>
            </w:r>
          </w:p>
        </w:tc>
        <w:tc>
          <w:tcPr>
            <w:tcW w:w="2515" w:type="dxa"/>
            <w:noWrap w:val="0"/>
            <w:vAlign w:val="center"/>
          </w:tcPr>
          <w:p w14:paraId="39B3A8D8">
            <w:pPr>
              <w:pageBreakBefore w:val="0"/>
              <w:widowControl/>
              <w:kinsoku/>
              <w:wordWrap/>
              <w:overflowPunct/>
              <w:topLinePunct w:val="0"/>
              <w:bidi w:val="0"/>
              <w:snapToGrid w:val="0"/>
              <w:spacing w:line="300" w:lineRule="auto"/>
              <w:ind w:left="0" w:leftChars="0" w:firstLine="0" w:firstLineChars="0"/>
              <w:jc w:val="center"/>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负责校园院落垃圾清理及校区产生的垃圾倾倒</w:t>
            </w:r>
          </w:p>
        </w:tc>
        <w:tc>
          <w:tcPr>
            <w:tcW w:w="737" w:type="dxa"/>
            <w:noWrap w:val="0"/>
            <w:vAlign w:val="center"/>
          </w:tcPr>
          <w:p w14:paraId="43985D80">
            <w:pPr>
              <w:pageBreakBefore w:val="0"/>
              <w:widowControl/>
              <w:kinsoku/>
              <w:wordWrap/>
              <w:overflowPunct/>
              <w:topLinePunct w:val="0"/>
              <w:bidi w:val="0"/>
              <w:snapToGrid w:val="0"/>
              <w:spacing w:line="300" w:lineRule="auto"/>
              <w:ind w:left="0" w:leftChars="0" w:firstLine="0" w:firstLineChars="0"/>
              <w:jc w:val="center"/>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1</w:t>
            </w:r>
          </w:p>
        </w:tc>
        <w:tc>
          <w:tcPr>
            <w:tcW w:w="1282" w:type="dxa"/>
            <w:noWrap w:val="0"/>
            <w:vAlign w:val="center"/>
          </w:tcPr>
          <w:p w14:paraId="73391CD6">
            <w:pPr>
              <w:pageBreakBefore w:val="0"/>
              <w:widowControl/>
              <w:kinsoku/>
              <w:wordWrap/>
              <w:overflowPunct/>
              <w:topLinePunct w:val="0"/>
              <w:bidi w:val="0"/>
              <w:snapToGrid w:val="0"/>
              <w:spacing w:line="300" w:lineRule="auto"/>
              <w:ind w:left="0" w:leftChars="0" w:firstLine="0" w:firstLineChars="0"/>
              <w:jc w:val="center"/>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1</w:t>
            </w:r>
          </w:p>
        </w:tc>
        <w:tc>
          <w:tcPr>
            <w:tcW w:w="2706" w:type="dxa"/>
            <w:noWrap w:val="0"/>
            <w:vAlign w:val="center"/>
          </w:tcPr>
          <w:p w14:paraId="3E17D102">
            <w:pPr>
              <w:pageBreakBefore w:val="0"/>
              <w:widowControl/>
              <w:kinsoku/>
              <w:wordWrap/>
              <w:overflowPunct/>
              <w:topLinePunct w:val="0"/>
              <w:bidi w:val="0"/>
              <w:snapToGrid w:val="0"/>
              <w:spacing w:line="300" w:lineRule="auto"/>
              <w:ind w:left="0" w:firstLine="420" w:firstLineChars="200"/>
              <w:jc w:val="center"/>
              <w:rPr>
                <w:rFonts w:hint="eastAsia" w:ascii="仿宋" w:hAnsi="仿宋" w:eastAsia="仿宋" w:cs="仿宋"/>
                <w:bCs/>
                <w:color w:val="auto"/>
                <w:sz w:val="21"/>
                <w:szCs w:val="21"/>
                <w:highlight w:val="none"/>
              </w:rPr>
            </w:pPr>
          </w:p>
        </w:tc>
      </w:tr>
      <w:tr w14:paraId="1FBCF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82" w:type="dxa"/>
            <w:noWrap w:val="0"/>
            <w:vAlign w:val="center"/>
          </w:tcPr>
          <w:p w14:paraId="10A5556C">
            <w:pPr>
              <w:pageBreakBefore w:val="0"/>
              <w:widowControl/>
              <w:kinsoku/>
              <w:wordWrap/>
              <w:overflowPunct/>
              <w:topLinePunct w:val="0"/>
              <w:bidi w:val="0"/>
              <w:snapToGrid w:val="0"/>
              <w:spacing w:line="300" w:lineRule="auto"/>
              <w:ind w:left="0" w:leftChars="0" w:firstLine="0" w:firstLineChars="0"/>
              <w:jc w:val="center"/>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绿化服务</w:t>
            </w:r>
          </w:p>
        </w:tc>
        <w:tc>
          <w:tcPr>
            <w:tcW w:w="1044" w:type="dxa"/>
            <w:noWrap w:val="0"/>
            <w:vAlign w:val="center"/>
          </w:tcPr>
          <w:p w14:paraId="70E8735F">
            <w:pPr>
              <w:pageBreakBefore w:val="0"/>
              <w:widowControl/>
              <w:kinsoku/>
              <w:wordWrap/>
              <w:overflowPunct/>
              <w:topLinePunct w:val="0"/>
              <w:bidi w:val="0"/>
              <w:snapToGrid w:val="0"/>
              <w:spacing w:line="300" w:lineRule="auto"/>
              <w:ind w:left="0" w:leftChars="0" w:firstLine="0" w:firstLineChars="0"/>
              <w:jc w:val="center"/>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绿化工</w:t>
            </w:r>
          </w:p>
        </w:tc>
        <w:tc>
          <w:tcPr>
            <w:tcW w:w="2515" w:type="dxa"/>
            <w:noWrap w:val="0"/>
            <w:vAlign w:val="center"/>
          </w:tcPr>
          <w:p w14:paraId="50A1D700">
            <w:pPr>
              <w:pageBreakBefore w:val="0"/>
              <w:widowControl/>
              <w:kinsoku/>
              <w:wordWrap/>
              <w:overflowPunct/>
              <w:topLinePunct w:val="0"/>
              <w:bidi w:val="0"/>
              <w:snapToGrid w:val="0"/>
              <w:spacing w:line="300" w:lineRule="auto"/>
              <w:ind w:left="0" w:leftChars="0" w:firstLine="0" w:firstLineChars="0"/>
              <w:jc w:val="center"/>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负责校区绿植绿化养护。</w:t>
            </w:r>
          </w:p>
        </w:tc>
        <w:tc>
          <w:tcPr>
            <w:tcW w:w="737" w:type="dxa"/>
            <w:noWrap w:val="0"/>
            <w:vAlign w:val="center"/>
          </w:tcPr>
          <w:p w14:paraId="3C807695">
            <w:pPr>
              <w:pageBreakBefore w:val="0"/>
              <w:widowControl/>
              <w:kinsoku/>
              <w:wordWrap/>
              <w:overflowPunct/>
              <w:topLinePunct w:val="0"/>
              <w:bidi w:val="0"/>
              <w:snapToGrid w:val="0"/>
              <w:spacing w:line="300" w:lineRule="auto"/>
              <w:ind w:left="0" w:leftChars="0" w:firstLine="0" w:firstLineChars="0"/>
              <w:jc w:val="center"/>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1</w:t>
            </w:r>
          </w:p>
        </w:tc>
        <w:tc>
          <w:tcPr>
            <w:tcW w:w="1282" w:type="dxa"/>
            <w:noWrap w:val="0"/>
            <w:vAlign w:val="center"/>
          </w:tcPr>
          <w:p w14:paraId="20B06A83">
            <w:pPr>
              <w:pageBreakBefore w:val="0"/>
              <w:widowControl/>
              <w:kinsoku/>
              <w:wordWrap/>
              <w:overflowPunct/>
              <w:topLinePunct w:val="0"/>
              <w:bidi w:val="0"/>
              <w:snapToGrid w:val="0"/>
              <w:spacing w:line="300" w:lineRule="auto"/>
              <w:ind w:left="0" w:leftChars="0" w:firstLine="0" w:firstLineChars="0"/>
              <w:jc w:val="center"/>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1</w:t>
            </w:r>
          </w:p>
        </w:tc>
        <w:tc>
          <w:tcPr>
            <w:tcW w:w="2706" w:type="dxa"/>
            <w:noWrap w:val="0"/>
            <w:vAlign w:val="center"/>
          </w:tcPr>
          <w:p w14:paraId="38ABF8EC">
            <w:pPr>
              <w:pageBreakBefore w:val="0"/>
              <w:widowControl/>
              <w:kinsoku/>
              <w:wordWrap/>
              <w:overflowPunct/>
              <w:topLinePunct w:val="0"/>
              <w:bidi w:val="0"/>
              <w:snapToGrid w:val="0"/>
              <w:spacing w:line="300" w:lineRule="auto"/>
              <w:ind w:left="0" w:firstLine="420" w:firstLineChars="200"/>
              <w:jc w:val="center"/>
              <w:rPr>
                <w:rFonts w:hint="eastAsia" w:ascii="仿宋" w:hAnsi="仿宋" w:eastAsia="仿宋" w:cs="仿宋"/>
                <w:bCs/>
                <w:color w:val="auto"/>
                <w:sz w:val="21"/>
                <w:szCs w:val="21"/>
                <w:highlight w:val="none"/>
              </w:rPr>
            </w:pPr>
          </w:p>
        </w:tc>
      </w:tr>
      <w:tr w14:paraId="7CBBC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82" w:type="dxa"/>
            <w:vMerge w:val="restart"/>
            <w:noWrap w:val="0"/>
            <w:vAlign w:val="center"/>
          </w:tcPr>
          <w:p w14:paraId="2DE27CFC">
            <w:pPr>
              <w:pageBreakBefore w:val="0"/>
              <w:widowControl/>
              <w:kinsoku/>
              <w:wordWrap/>
              <w:overflowPunct/>
              <w:topLinePunct w:val="0"/>
              <w:bidi w:val="0"/>
              <w:snapToGrid w:val="0"/>
              <w:spacing w:line="300" w:lineRule="auto"/>
              <w:jc w:val="center"/>
              <w:rPr>
                <w:rFonts w:hint="default"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保安服务</w:t>
            </w:r>
          </w:p>
        </w:tc>
        <w:tc>
          <w:tcPr>
            <w:tcW w:w="1044" w:type="dxa"/>
            <w:noWrap w:val="0"/>
            <w:vAlign w:val="center"/>
          </w:tcPr>
          <w:p w14:paraId="3C68E707">
            <w:pPr>
              <w:pageBreakBefore w:val="0"/>
              <w:widowControl/>
              <w:kinsoku/>
              <w:wordWrap/>
              <w:overflowPunct/>
              <w:topLinePunct w:val="0"/>
              <w:bidi w:val="0"/>
              <w:snapToGrid w:val="0"/>
              <w:spacing w:line="300" w:lineRule="auto"/>
              <w:ind w:left="0" w:leftChars="0" w:firstLine="0" w:firstLineChars="0"/>
              <w:jc w:val="center"/>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门岗</w:t>
            </w:r>
          </w:p>
        </w:tc>
        <w:tc>
          <w:tcPr>
            <w:tcW w:w="2515" w:type="dxa"/>
            <w:noWrap w:val="0"/>
            <w:vAlign w:val="center"/>
          </w:tcPr>
          <w:p w14:paraId="59BF1A47">
            <w:pPr>
              <w:pageBreakBefore w:val="0"/>
              <w:widowControl/>
              <w:kinsoku/>
              <w:wordWrap/>
              <w:overflowPunct/>
              <w:topLinePunct w:val="0"/>
              <w:bidi w:val="0"/>
              <w:snapToGrid w:val="0"/>
              <w:spacing w:line="300" w:lineRule="auto"/>
              <w:ind w:left="0" w:leftChars="0" w:firstLine="0" w:firstLineChars="0"/>
              <w:jc w:val="center"/>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负责管理大门车辆进出及人员进出</w:t>
            </w:r>
          </w:p>
        </w:tc>
        <w:tc>
          <w:tcPr>
            <w:tcW w:w="737" w:type="dxa"/>
            <w:noWrap w:val="0"/>
            <w:vAlign w:val="center"/>
          </w:tcPr>
          <w:p w14:paraId="1554ADBF">
            <w:pPr>
              <w:pageBreakBefore w:val="0"/>
              <w:widowControl/>
              <w:kinsoku/>
              <w:wordWrap/>
              <w:overflowPunct/>
              <w:topLinePunct w:val="0"/>
              <w:bidi w:val="0"/>
              <w:snapToGrid w:val="0"/>
              <w:spacing w:line="300" w:lineRule="auto"/>
              <w:ind w:left="0" w:leftChars="0" w:firstLine="0" w:firstLineChars="0"/>
              <w:jc w:val="center"/>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1</w:t>
            </w:r>
          </w:p>
        </w:tc>
        <w:tc>
          <w:tcPr>
            <w:tcW w:w="1282" w:type="dxa"/>
            <w:noWrap w:val="0"/>
            <w:vAlign w:val="center"/>
          </w:tcPr>
          <w:p w14:paraId="749FDCC3">
            <w:pPr>
              <w:pageBreakBefore w:val="0"/>
              <w:widowControl/>
              <w:kinsoku/>
              <w:wordWrap/>
              <w:overflowPunct/>
              <w:topLinePunct w:val="0"/>
              <w:bidi w:val="0"/>
              <w:snapToGrid w:val="0"/>
              <w:spacing w:line="300" w:lineRule="auto"/>
              <w:ind w:left="0" w:leftChars="0" w:firstLine="0" w:firstLineChars="0"/>
              <w:jc w:val="center"/>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4</w:t>
            </w:r>
          </w:p>
        </w:tc>
        <w:tc>
          <w:tcPr>
            <w:tcW w:w="2706" w:type="dxa"/>
            <w:noWrap w:val="0"/>
            <w:vAlign w:val="center"/>
          </w:tcPr>
          <w:p w14:paraId="466D5794">
            <w:pPr>
              <w:pageBreakBefore w:val="0"/>
              <w:widowControl/>
              <w:kinsoku/>
              <w:wordWrap/>
              <w:overflowPunct/>
              <w:topLinePunct w:val="0"/>
              <w:bidi w:val="0"/>
              <w:snapToGrid w:val="0"/>
              <w:spacing w:line="300" w:lineRule="auto"/>
              <w:ind w:left="0" w:leftChars="0" w:firstLine="0" w:firstLineChars="0"/>
              <w:jc w:val="center"/>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持有保安证</w:t>
            </w:r>
          </w:p>
        </w:tc>
      </w:tr>
      <w:tr w14:paraId="4B593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82" w:type="dxa"/>
            <w:vMerge w:val="continue"/>
            <w:noWrap w:val="0"/>
            <w:vAlign w:val="center"/>
          </w:tcPr>
          <w:p w14:paraId="40FBDC00">
            <w:pPr>
              <w:pageBreakBefore w:val="0"/>
              <w:widowControl/>
              <w:kinsoku/>
              <w:wordWrap/>
              <w:overflowPunct/>
              <w:topLinePunct w:val="0"/>
              <w:bidi w:val="0"/>
              <w:snapToGrid w:val="0"/>
              <w:spacing w:line="300" w:lineRule="auto"/>
              <w:jc w:val="center"/>
              <w:rPr>
                <w:rFonts w:hint="eastAsia" w:ascii="仿宋" w:hAnsi="仿宋" w:eastAsia="仿宋" w:cs="仿宋"/>
                <w:bCs/>
                <w:color w:val="auto"/>
                <w:sz w:val="21"/>
                <w:szCs w:val="21"/>
                <w:highlight w:val="none"/>
                <w:lang w:val="en-US" w:eastAsia="zh-CN"/>
              </w:rPr>
            </w:pPr>
          </w:p>
        </w:tc>
        <w:tc>
          <w:tcPr>
            <w:tcW w:w="1044" w:type="dxa"/>
            <w:noWrap w:val="0"/>
            <w:vAlign w:val="center"/>
          </w:tcPr>
          <w:p w14:paraId="3B47ECF7">
            <w:pPr>
              <w:pageBreakBefore w:val="0"/>
              <w:widowControl/>
              <w:kinsoku/>
              <w:wordWrap/>
              <w:overflowPunct/>
              <w:topLinePunct w:val="0"/>
              <w:bidi w:val="0"/>
              <w:snapToGrid w:val="0"/>
              <w:spacing w:line="300" w:lineRule="auto"/>
              <w:ind w:left="0" w:leftChars="0" w:firstLine="0" w:firstLineChars="0"/>
              <w:jc w:val="center"/>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消控岗</w:t>
            </w:r>
          </w:p>
        </w:tc>
        <w:tc>
          <w:tcPr>
            <w:tcW w:w="2515" w:type="dxa"/>
            <w:noWrap w:val="0"/>
            <w:vAlign w:val="center"/>
          </w:tcPr>
          <w:p w14:paraId="49957BAF">
            <w:pPr>
              <w:pageBreakBefore w:val="0"/>
              <w:widowControl/>
              <w:kinsoku/>
              <w:wordWrap/>
              <w:overflowPunct/>
              <w:topLinePunct w:val="0"/>
              <w:bidi w:val="0"/>
              <w:snapToGrid w:val="0"/>
              <w:spacing w:line="300" w:lineRule="auto"/>
              <w:ind w:left="0" w:leftChars="0" w:firstLine="0" w:firstLineChars="0"/>
              <w:jc w:val="center"/>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负责校区消防控制室24小时值班。</w:t>
            </w:r>
          </w:p>
        </w:tc>
        <w:tc>
          <w:tcPr>
            <w:tcW w:w="737" w:type="dxa"/>
            <w:noWrap w:val="0"/>
            <w:vAlign w:val="center"/>
          </w:tcPr>
          <w:p w14:paraId="660EC467">
            <w:pPr>
              <w:pageBreakBefore w:val="0"/>
              <w:widowControl/>
              <w:kinsoku/>
              <w:wordWrap/>
              <w:overflowPunct/>
              <w:topLinePunct w:val="0"/>
              <w:bidi w:val="0"/>
              <w:snapToGrid w:val="0"/>
              <w:spacing w:line="300" w:lineRule="auto"/>
              <w:ind w:left="0" w:leftChars="0" w:firstLine="0" w:firstLineChars="0"/>
              <w:jc w:val="center"/>
              <w:rPr>
                <w:rFonts w:hint="default"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1</w:t>
            </w:r>
          </w:p>
        </w:tc>
        <w:tc>
          <w:tcPr>
            <w:tcW w:w="1282" w:type="dxa"/>
            <w:noWrap w:val="0"/>
            <w:vAlign w:val="center"/>
          </w:tcPr>
          <w:p w14:paraId="655F8BCC">
            <w:pPr>
              <w:pageBreakBefore w:val="0"/>
              <w:widowControl/>
              <w:kinsoku/>
              <w:wordWrap/>
              <w:overflowPunct/>
              <w:topLinePunct w:val="0"/>
              <w:bidi w:val="0"/>
              <w:snapToGrid w:val="0"/>
              <w:spacing w:line="300" w:lineRule="auto"/>
              <w:ind w:left="0" w:leftChars="0" w:firstLine="0" w:firstLineChars="0"/>
              <w:jc w:val="center"/>
              <w:rPr>
                <w:rFonts w:hint="default"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2</w:t>
            </w:r>
          </w:p>
        </w:tc>
        <w:tc>
          <w:tcPr>
            <w:tcW w:w="2706" w:type="dxa"/>
            <w:noWrap w:val="0"/>
            <w:vAlign w:val="center"/>
          </w:tcPr>
          <w:p w14:paraId="462AFEA7">
            <w:pPr>
              <w:pageBreakBefore w:val="0"/>
              <w:widowControl/>
              <w:kinsoku/>
              <w:wordWrap/>
              <w:overflowPunct/>
              <w:topLinePunct w:val="0"/>
              <w:bidi w:val="0"/>
              <w:snapToGrid w:val="0"/>
              <w:spacing w:line="300" w:lineRule="auto"/>
              <w:ind w:left="0" w:leftChars="0" w:firstLine="0" w:firstLineChars="0"/>
              <w:jc w:val="center"/>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消防设施操作员证（中级或以上）</w:t>
            </w:r>
          </w:p>
        </w:tc>
      </w:tr>
      <w:tr w14:paraId="18A58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82" w:type="dxa"/>
            <w:noWrap w:val="0"/>
            <w:vAlign w:val="center"/>
          </w:tcPr>
          <w:p w14:paraId="24E7713A">
            <w:pPr>
              <w:pageBreakBefore w:val="0"/>
              <w:widowControl/>
              <w:kinsoku/>
              <w:wordWrap/>
              <w:overflowPunct/>
              <w:topLinePunct w:val="0"/>
              <w:bidi w:val="0"/>
              <w:snapToGrid w:val="0"/>
              <w:spacing w:line="300" w:lineRule="auto"/>
              <w:ind w:left="0" w:leftChars="0" w:firstLine="0" w:firstLineChars="0"/>
              <w:jc w:val="center"/>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会议服务</w:t>
            </w:r>
          </w:p>
        </w:tc>
        <w:tc>
          <w:tcPr>
            <w:tcW w:w="1044" w:type="dxa"/>
            <w:noWrap w:val="0"/>
            <w:vAlign w:val="center"/>
          </w:tcPr>
          <w:p w14:paraId="61842BAC">
            <w:pPr>
              <w:pageBreakBefore w:val="0"/>
              <w:widowControl/>
              <w:kinsoku/>
              <w:wordWrap/>
              <w:overflowPunct/>
              <w:topLinePunct w:val="0"/>
              <w:bidi w:val="0"/>
              <w:snapToGrid w:val="0"/>
              <w:spacing w:line="300" w:lineRule="auto"/>
              <w:ind w:left="0" w:leftChars="0" w:firstLine="0" w:firstLineChars="0"/>
              <w:jc w:val="center"/>
              <w:rPr>
                <w:rFonts w:hint="eastAsia" w:ascii="仿宋" w:hAnsi="仿宋" w:eastAsia="仿宋" w:cs="仿宋"/>
                <w:bCs/>
                <w:color w:val="auto"/>
                <w:kern w:val="2"/>
                <w:sz w:val="21"/>
                <w:szCs w:val="21"/>
                <w:highlight w:val="none"/>
                <w:lang w:val="en-US" w:eastAsia="zh-CN" w:bidi="ar-SA"/>
              </w:rPr>
            </w:pPr>
            <w:r>
              <w:rPr>
                <w:rFonts w:hint="eastAsia" w:ascii="仿宋" w:hAnsi="仿宋" w:eastAsia="仿宋" w:cs="仿宋"/>
                <w:bCs/>
                <w:color w:val="auto"/>
                <w:sz w:val="21"/>
                <w:szCs w:val="21"/>
                <w:highlight w:val="none"/>
              </w:rPr>
              <w:t>会务</w:t>
            </w:r>
          </w:p>
        </w:tc>
        <w:tc>
          <w:tcPr>
            <w:tcW w:w="2515" w:type="dxa"/>
            <w:noWrap w:val="0"/>
            <w:vAlign w:val="center"/>
          </w:tcPr>
          <w:p w14:paraId="6E19870D">
            <w:pPr>
              <w:pageBreakBefore w:val="0"/>
              <w:widowControl/>
              <w:kinsoku/>
              <w:wordWrap/>
              <w:overflowPunct/>
              <w:topLinePunct w:val="0"/>
              <w:bidi w:val="0"/>
              <w:snapToGrid w:val="0"/>
              <w:spacing w:line="300" w:lineRule="auto"/>
              <w:ind w:left="0" w:leftChars="0" w:firstLine="0" w:firstLineChars="0"/>
              <w:jc w:val="center"/>
              <w:rPr>
                <w:rFonts w:hint="eastAsia" w:ascii="仿宋" w:hAnsi="仿宋" w:eastAsia="仿宋" w:cs="仿宋"/>
                <w:bCs/>
                <w:color w:val="auto"/>
                <w:kern w:val="2"/>
                <w:sz w:val="21"/>
                <w:szCs w:val="21"/>
                <w:highlight w:val="none"/>
                <w:lang w:val="en-US" w:eastAsia="zh-CN" w:bidi="ar-SA"/>
              </w:rPr>
            </w:pPr>
            <w:r>
              <w:rPr>
                <w:rFonts w:hint="eastAsia" w:ascii="仿宋" w:hAnsi="仿宋" w:eastAsia="仿宋" w:cs="仿宋"/>
                <w:bCs/>
                <w:color w:val="auto"/>
                <w:kern w:val="2"/>
                <w:sz w:val="21"/>
                <w:szCs w:val="21"/>
                <w:highlight w:val="none"/>
                <w:lang w:val="en-US" w:eastAsia="zh-CN" w:bidi="ar-SA"/>
              </w:rPr>
              <w:t>负责培训期间茶水及开会期间的会务工作</w:t>
            </w:r>
          </w:p>
        </w:tc>
        <w:tc>
          <w:tcPr>
            <w:tcW w:w="737" w:type="dxa"/>
            <w:noWrap w:val="0"/>
            <w:vAlign w:val="center"/>
          </w:tcPr>
          <w:p w14:paraId="4B6258A8">
            <w:pPr>
              <w:pageBreakBefore w:val="0"/>
              <w:widowControl/>
              <w:kinsoku/>
              <w:wordWrap/>
              <w:overflowPunct/>
              <w:topLinePunct w:val="0"/>
              <w:bidi w:val="0"/>
              <w:snapToGrid w:val="0"/>
              <w:spacing w:line="300" w:lineRule="auto"/>
              <w:ind w:left="0" w:leftChars="0" w:firstLine="0" w:firstLineChars="0"/>
              <w:jc w:val="center"/>
              <w:rPr>
                <w:rFonts w:hint="eastAsia" w:ascii="仿宋" w:hAnsi="仿宋" w:eastAsia="仿宋" w:cs="仿宋"/>
                <w:bCs/>
                <w:color w:val="auto"/>
                <w:kern w:val="2"/>
                <w:sz w:val="21"/>
                <w:szCs w:val="21"/>
                <w:highlight w:val="none"/>
                <w:lang w:val="en-US" w:eastAsia="zh-CN" w:bidi="ar-SA"/>
              </w:rPr>
            </w:pPr>
            <w:r>
              <w:rPr>
                <w:rFonts w:hint="eastAsia" w:ascii="仿宋" w:hAnsi="仿宋" w:eastAsia="仿宋" w:cs="仿宋"/>
                <w:bCs/>
                <w:color w:val="auto"/>
                <w:kern w:val="2"/>
                <w:sz w:val="21"/>
                <w:szCs w:val="21"/>
                <w:highlight w:val="none"/>
                <w:lang w:val="en-US" w:eastAsia="zh-CN" w:bidi="ar-SA"/>
              </w:rPr>
              <w:t>1</w:t>
            </w:r>
          </w:p>
        </w:tc>
        <w:tc>
          <w:tcPr>
            <w:tcW w:w="1282" w:type="dxa"/>
            <w:noWrap w:val="0"/>
            <w:vAlign w:val="center"/>
          </w:tcPr>
          <w:p w14:paraId="0EC52B71">
            <w:pPr>
              <w:pageBreakBefore w:val="0"/>
              <w:widowControl/>
              <w:kinsoku/>
              <w:wordWrap/>
              <w:overflowPunct/>
              <w:topLinePunct w:val="0"/>
              <w:bidi w:val="0"/>
              <w:snapToGrid w:val="0"/>
              <w:spacing w:line="300" w:lineRule="auto"/>
              <w:ind w:left="0" w:leftChars="0" w:firstLine="0" w:firstLineChars="0"/>
              <w:jc w:val="center"/>
              <w:rPr>
                <w:rFonts w:hint="eastAsia" w:ascii="仿宋" w:hAnsi="仿宋" w:eastAsia="仿宋" w:cs="仿宋"/>
                <w:bCs/>
                <w:color w:val="auto"/>
                <w:kern w:val="2"/>
                <w:sz w:val="21"/>
                <w:szCs w:val="21"/>
                <w:highlight w:val="none"/>
                <w:lang w:val="en-US" w:eastAsia="zh-CN" w:bidi="ar-SA"/>
              </w:rPr>
            </w:pPr>
            <w:r>
              <w:rPr>
                <w:rFonts w:hint="eastAsia" w:ascii="仿宋" w:hAnsi="仿宋" w:eastAsia="仿宋" w:cs="仿宋"/>
                <w:bCs/>
                <w:color w:val="auto"/>
                <w:kern w:val="2"/>
                <w:sz w:val="21"/>
                <w:szCs w:val="21"/>
                <w:highlight w:val="none"/>
                <w:lang w:val="en-US" w:eastAsia="zh-CN" w:bidi="ar-SA"/>
              </w:rPr>
              <w:t>1</w:t>
            </w:r>
          </w:p>
        </w:tc>
        <w:tc>
          <w:tcPr>
            <w:tcW w:w="2706" w:type="dxa"/>
            <w:noWrap w:val="0"/>
            <w:vAlign w:val="center"/>
          </w:tcPr>
          <w:p w14:paraId="59ED5473">
            <w:pPr>
              <w:pageBreakBefore w:val="0"/>
              <w:widowControl/>
              <w:kinsoku/>
              <w:wordWrap/>
              <w:overflowPunct/>
              <w:topLinePunct w:val="0"/>
              <w:bidi w:val="0"/>
              <w:snapToGrid w:val="0"/>
              <w:spacing w:line="300" w:lineRule="auto"/>
              <w:ind w:left="0" w:leftChars="0" w:firstLine="0" w:firstLineChars="0"/>
              <w:jc w:val="center"/>
              <w:rPr>
                <w:rFonts w:hint="eastAsia" w:ascii="仿宋" w:hAnsi="仿宋" w:eastAsia="仿宋" w:cs="仿宋"/>
                <w:bCs/>
                <w:color w:val="auto"/>
                <w:kern w:val="2"/>
                <w:sz w:val="21"/>
                <w:szCs w:val="21"/>
                <w:highlight w:val="none"/>
                <w:lang w:val="en-US" w:eastAsia="zh-CN" w:bidi="ar-SA"/>
              </w:rPr>
            </w:pPr>
            <w:r>
              <w:rPr>
                <w:rFonts w:hint="eastAsia" w:ascii="仿宋" w:hAnsi="仿宋" w:eastAsia="仿宋" w:cs="仿宋"/>
                <w:bCs/>
                <w:color w:val="auto"/>
                <w:sz w:val="21"/>
                <w:szCs w:val="21"/>
                <w:highlight w:val="none"/>
                <w:lang w:val="en-US" w:eastAsia="zh-CN"/>
              </w:rPr>
              <w:t>在岗时段</w:t>
            </w:r>
            <w:r>
              <w:rPr>
                <w:rFonts w:hint="eastAsia" w:ascii="仿宋" w:hAnsi="仿宋" w:eastAsia="仿宋" w:cs="仿宋"/>
                <w:bCs/>
                <w:color w:val="auto"/>
                <w:sz w:val="21"/>
                <w:szCs w:val="21"/>
                <w:highlight w:val="none"/>
              </w:rPr>
              <w:t>0</w:t>
            </w:r>
            <w:r>
              <w:rPr>
                <w:rFonts w:hint="eastAsia" w:ascii="仿宋" w:hAnsi="仿宋" w:eastAsia="仿宋" w:cs="仿宋"/>
                <w:bCs/>
                <w:color w:val="auto"/>
                <w:sz w:val="21"/>
                <w:szCs w:val="21"/>
                <w:highlight w:val="none"/>
                <w:lang w:val="en-US" w:eastAsia="zh-CN"/>
              </w:rPr>
              <w:t>8</w:t>
            </w:r>
            <w:r>
              <w:rPr>
                <w:rFonts w:hint="eastAsia" w:ascii="仿宋" w:hAnsi="仿宋" w:eastAsia="仿宋" w:cs="仿宋"/>
                <w:bCs/>
                <w:color w:val="auto"/>
                <w:sz w:val="21"/>
                <w:szCs w:val="21"/>
                <w:highlight w:val="none"/>
              </w:rPr>
              <w:t>：00-1</w:t>
            </w:r>
            <w:r>
              <w:rPr>
                <w:rFonts w:hint="eastAsia" w:ascii="仿宋" w:hAnsi="仿宋" w:eastAsia="仿宋" w:cs="仿宋"/>
                <w:bCs/>
                <w:color w:val="auto"/>
                <w:sz w:val="21"/>
                <w:szCs w:val="21"/>
                <w:highlight w:val="none"/>
                <w:lang w:val="en-US" w:eastAsia="zh-CN"/>
              </w:rPr>
              <w:t>2</w:t>
            </w:r>
            <w:r>
              <w:rPr>
                <w:rFonts w:hint="eastAsia" w:ascii="仿宋" w:hAnsi="仿宋" w:eastAsia="仿宋" w:cs="仿宋"/>
                <w:bCs/>
                <w:color w:val="auto"/>
                <w:sz w:val="21"/>
                <w:szCs w:val="21"/>
                <w:highlight w:val="none"/>
              </w:rPr>
              <w:t>：00</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lang w:val="en-US" w:eastAsia="zh-CN"/>
              </w:rPr>
              <w:t>14:00-18:00，大专学历</w:t>
            </w:r>
          </w:p>
        </w:tc>
      </w:tr>
      <w:tr w14:paraId="51BD0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41" w:type="dxa"/>
            <w:gridSpan w:val="3"/>
            <w:noWrap w:val="0"/>
            <w:vAlign w:val="center"/>
          </w:tcPr>
          <w:p w14:paraId="1A9BB908">
            <w:pPr>
              <w:pageBreakBefore w:val="0"/>
              <w:widowControl/>
              <w:kinsoku/>
              <w:wordWrap/>
              <w:overflowPunct/>
              <w:topLinePunct w:val="0"/>
              <w:bidi w:val="0"/>
              <w:snapToGrid w:val="0"/>
              <w:spacing w:line="300" w:lineRule="auto"/>
              <w:ind w:left="0" w:leftChars="0" w:firstLine="0" w:firstLineChars="0"/>
              <w:jc w:val="center"/>
              <w:rPr>
                <w:rFonts w:hint="default" w:ascii="仿宋" w:hAnsi="仿宋" w:eastAsia="仿宋" w:cs="仿宋"/>
                <w:bCs/>
                <w:color w:val="auto"/>
                <w:kern w:val="2"/>
                <w:sz w:val="21"/>
                <w:szCs w:val="21"/>
                <w:highlight w:val="none"/>
                <w:lang w:val="en-US" w:eastAsia="zh-CN" w:bidi="ar-SA"/>
              </w:rPr>
            </w:pPr>
            <w:r>
              <w:rPr>
                <w:rFonts w:hint="eastAsia" w:ascii="仿宋" w:hAnsi="仿宋" w:eastAsia="仿宋" w:cs="仿宋"/>
                <w:bCs/>
                <w:color w:val="auto"/>
                <w:kern w:val="2"/>
                <w:sz w:val="21"/>
                <w:szCs w:val="21"/>
                <w:highlight w:val="none"/>
                <w:lang w:val="en-US" w:eastAsia="zh-CN" w:bidi="ar-SA"/>
              </w:rPr>
              <w:t>合计</w:t>
            </w:r>
          </w:p>
        </w:tc>
        <w:tc>
          <w:tcPr>
            <w:tcW w:w="737" w:type="dxa"/>
            <w:noWrap w:val="0"/>
            <w:vAlign w:val="center"/>
          </w:tcPr>
          <w:p w14:paraId="5A2DF815">
            <w:pPr>
              <w:pageBreakBefore w:val="0"/>
              <w:widowControl/>
              <w:kinsoku/>
              <w:wordWrap/>
              <w:overflowPunct/>
              <w:topLinePunct w:val="0"/>
              <w:bidi w:val="0"/>
              <w:snapToGrid w:val="0"/>
              <w:spacing w:line="300" w:lineRule="auto"/>
              <w:ind w:left="0" w:leftChars="0" w:firstLine="0" w:firstLineChars="0"/>
              <w:jc w:val="center"/>
              <w:rPr>
                <w:rFonts w:hint="eastAsia" w:ascii="仿宋" w:hAnsi="仿宋" w:eastAsia="仿宋" w:cs="仿宋"/>
                <w:bCs/>
                <w:color w:val="auto"/>
                <w:kern w:val="2"/>
                <w:sz w:val="21"/>
                <w:szCs w:val="21"/>
                <w:highlight w:val="none"/>
                <w:lang w:val="en-US" w:eastAsia="zh-CN" w:bidi="ar-SA"/>
              </w:rPr>
            </w:pPr>
          </w:p>
        </w:tc>
        <w:tc>
          <w:tcPr>
            <w:tcW w:w="1282" w:type="dxa"/>
            <w:noWrap w:val="0"/>
            <w:vAlign w:val="center"/>
          </w:tcPr>
          <w:p w14:paraId="2FCD6F92">
            <w:pPr>
              <w:pageBreakBefore w:val="0"/>
              <w:widowControl/>
              <w:kinsoku/>
              <w:wordWrap/>
              <w:overflowPunct/>
              <w:topLinePunct w:val="0"/>
              <w:bidi w:val="0"/>
              <w:snapToGrid w:val="0"/>
              <w:spacing w:line="300" w:lineRule="auto"/>
              <w:ind w:left="0" w:leftChars="0" w:firstLine="0" w:firstLineChars="0"/>
              <w:jc w:val="center"/>
              <w:rPr>
                <w:rFonts w:hint="default" w:ascii="仿宋" w:hAnsi="仿宋" w:eastAsia="仿宋" w:cs="仿宋"/>
                <w:bCs/>
                <w:color w:val="auto"/>
                <w:kern w:val="2"/>
                <w:sz w:val="21"/>
                <w:szCs w:val="21"/>
                <w:highlight w:val="none"/>
                <w:lang w:val="en-US" w:eastAsia="zh-CN" w:bidi="ar-SA"/>
              </w:rPr>
            </w:pPr>
            <w:r>
              <w:rPr>
                <w:rFonts w:hint="eastAsia" w:ascii="仿宋" w:hAnsi="仿宋" w:eastAsia="仿宋" w:cs="仿宋"/>
                <w:bCs/>
                <w:color w:val="auto"/>
                <w:kern w:val="2"/>
                <w:sz w:val="21"/>
                <w:szCs w:val="21"/>
                <w:highlight w:val="none"/>
                <w:lang w:val="en-US" w:eastAsia="zh-CN" w:bidi="ar-SA"/>
              </w:rPr>
              <w:t>15人</w:t>
            </w:r>
          </w:p>
        </w:tc>
        <w:tc>
          <w:tcPr>
            <w:tcW w:w="2706" w:type="dxa"/>
            <w:noWrap w:val="0"/>
            <w:vAlign w:val="center"/>
          </w:tcPr>
          <w:p w14:paraId="065B63F5">
            <w:pPr>
              <w:pageBreakBefore w:val="0"/>
              <w:widowControl/>
              <w:kinsoku/>
              <w:wordWrap/>
              <w:overflowPunct/>
              <w:topLinePunct w:val="0"/>
              <w:bidi w:val="0"/>
              <w:snapToGrid w:val="0"/>
              <w:spacing w:line="300" w:lineRule="auto"/>
              <w:ind w:left="0" w:leftChars="0" w:firstLine="0" w:firstLineChars="0"/>
              <w:jc w:val="center"/>
              <w:rPr>
                <w:rFonts w:hint="eastAsia" w:ascii="仿宋" w:hAnsi="仿宋" w:eastAsia="仿宋" w:cs="仿宋"/>
                <w:bCs/>
                <w:color w:val="auto"/>
                <w:sz w:val="21"/>
                <w:szCs w:val="21"/>
                <w:highlight w:val="none"/>
                <w:lang w:val="en-US" w:eastAsia="zh-CN"/>
              </w:rPr>
            </w:pPr>
          </w:p>
        </w:tc>
      </w:tr>
    </w:tbl>
    <w:p w14:paraId="35852970">
      <w:pPr>
        <w:widowControl w:val="0"/>
        <w:bidi w:val="0"/>
        <w:snapToGrid w:val="0"/>
        <w:spacing w:line="300" w:lineRule="auto"/>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注：供应商</w:t>
      </w:r>
      <w:r>
        <w:rPr>
          <w:rFonts w:hint="eastAsia" w:ascii="仿宋" w:hAnsi="仿宋" w:eastAsia="仿宋" w:cs="仿宋"/>
          <w:sz w:val="28"/>
          <w:szCs w:val="28"/>
        </w:rPr>
        <w:t>应</w:t>
      </w:r>
      <w:r>
        <w:rPr>
          <w:rFonts w:hint="eastAsia" w:ascii="仿宋" w:hAnsi="仿宋" w:eastAsia="仿宋" w:cs="仿宋"/>
          <w:sz w:val="28"/>
          <w:szCs w:val="28"/>
          <w:lang w:eastAsia="zh-CN"/>
        </w:rPr>
        <w:t>当按国家相关法律法规，合理确定服务人员工资标准、</w:t>
      </w:r>
      <w:r>
        <w:rPr>
          <w:rFonts w:hint="eastAsia" w:ascii="仿宋" w:hAnsi="仿宋" w:eastAsia="仿宋" w:cs="仿宋"/>
          <w:sz w:val="28"/>
          <w:szCs w:val="28"/>
        </w:rPr>
        <w:t>工作时间</w:t>
      </w:r>
      <w:r>
        <w:rPr>
          <w:rFonts w:hint="eastAsia" w:ascii="仿宋" w:hAnsi="仿宋" w:eastAsia="仿宋" w:cs="仿宋"/>
          <w:sz w:val="28"/>
          <w:szCs w:val="28"/>
          <w:lang w:eastAsia="zh-CN"/>
        </w:rPr>
        <w:t>等</w:t>
      </w:r>
      <w:r>
        <w:rPr>
          <w:rFonts w:hint="eastAsia" w:ascii="仿宋" w:hAnsi="仿宋" w:eastAsia="仿宋" w:cs="仿宋"/>
          <w:sz w:val="28"/>
          <w:szCs w:val="28"/>
        </w:rPr>
        <w:t>。</w:t>
      </w:r>
    </w:p>
    <w:p w14:paraId="1B2D40D3">
      <w:pPr>
        <w:widowControl w:val="0"/>
        <w:bidi w:val="0"/>
        <w:snapToGrid w:val="0"/>
        <w:spacing w:line="300" w:lineRule="auto"/>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供应商应当自行为服务人员办理必需的保险</w:t>
      </w:r>
      <w:r>
        <w:rPr>
          <w:rFonts w:hint="eastAsia" w:ascii="仿宋" w:hAnsi="仿宋" w:eastAsia="仿宋" w:cs="仿宋"/>
          <w:sz w:val="28"/>
          <w:szCs w:val="28"/>
        </w:rPr>
        <w:t>，有关人员伤亡及第三者责任险均</w:t>
      </w:r>
      <w:r>
        <w:rPr>
          <w:rFonts w:hint="eastAsia" w:ascii="仿宋" w:hAnsi="仿宋" w:eastAsia="仿宋" w:cs="仿宋"/>
          <w:sz w:val="28"/>
          <w:szCs w:val="28"/>
          <w:lang w:val="en-US" w:eastAsia="zh-CN"/>
        </w:rPr>
        <w:t>应当</w:t>
      </w:r>
      <w:r>
        <w:rPr>
          <w:rFonts w:hint="eastAsia" w:ascii="仿宋" w:hAnsi="仿宋" w:eastAsia="仿宋" w:cs="仿宋"/>
          <w:sz w:val="28"/>
          <w:szCs w:val="28"/>
        </w:rPr>
        <w:t>考虑在报价因素中。</w:t>
      </w:r>
      <w:bookmarkEnd w:id="10"/>
      <w:bookmarkEnd w:id="11"/>
      <w:bookmarkEnd w:id="12"/>
      <w:bookmarkStart w:id="13" w:name="_Toc1962"/>
      <w:bookmarkStart w:id="14" w:name="_Toc21574"/>
      <w:bookmarkStart w:id="15" w:name="_Toc20385"/>
    </w:p>
    <w:p w14:paraId="7CEA0860">
      <w:pPr>
        <w:keepNext w:val="0"/>
        <w:keepLines w:val="0"/>
        <w:pageBreakBefore w:val="0"/>
        <w:widowControl w:val="0"/>
        <w:kinsoku/>
        <w:wordWrap/>
        <w:overflowPunct/>
        <w:topLinePunct w:val="0"/>
        <w:autoSpaceDE/>
        <w:autoSpaceDN/>
        <w:bidi w:val="0"/>
        <w:adjustRightInd/>
        <w:snapToGrid w:val="0"/>
        <w:spacing w:line="440" w:lineRule="exact"/>
        <w:ind w:firstLine="562" w:firstLineChars="200"/>
        <w:textAlignment w:val="auto"/>
        <w:rPr>
          <w:rFonts w:hint="eastAsia" w:ascii="仿宋" w:hAnsi="仿宋" w:eastAsia="仿宋" w:cs="仿宋"/>
          <w:b/>
          <w:bCs/>
          <w:sz w:val="28"/>
          <w:szCs w:val="28"/>
          <w:lang w:val="en-US" w:eastAsia="zh-CN"/>
        </w:rPr>
      </w:pPr>
      <w:r>
        <w:rPr>
          <w:rFonts w:hint="eastAsia" w:ascii="仿宋" w:hAnsi="仿宋" w:eastAsia="仿宋" w:cs="仿宋"/>
          <w:b/>
          <w:bCs/>
          <w:sz w:val="28"/>
          <w:szCs w:val="28"/>
          <w:lang w:eastAsia="zh-CN"/>
        </w:rPr>
        <w:t>6</w:t>
      </w:r>
      <w:r>
        <w:rPr>
          <w:rFonts w:hint="eastAsia" w:ascii="仿宋" w:hAnsi="仿宋" w:eastAsia="仿宋" w:cs="仿宋"/>
          <w:b/>
          <w:bCs/>
          <w:sz w:val="28"/>
          <w:szCs w:val="28"/>
          <w:lang w:val="en-US" w:eastAsia="zh-CN"/>
        </w:rPr>
        <w:t>.</w:t>
      </w:r>
      <w:r>
        <w:rPr>
          <w:rFonts w:hint="eastAsia" w:ascii="仿宋" w:hAnsi="仿宋" w:eastAsia="仿宋" w:cs="仿宋"/>
          <w:b/>
          <w:bCs/>
          <w:sz w:val="28"/>
          <w:szCs w:val="28"/>
        </w:rPr>
        <w:t>商务要求</w:t>
      </w:r>
    </w:p>
    <w:p w14:paraId="4FFD2E03">
      <w:pPr>
        <w:keepNext w:val="0"/>
        <w:keepLines w:val="0"/>
        <w:pageBreakBefore w:val="0"/>
        <w:widowControl w:val="0"/>
        <w:kinsoku/>
        <w:wordWrap/>
        <w:overflowPunct/>
        <w:topLinePunct w:val="0"/>
        <w:autoSpaceDE/>
        <w:autoSpaceDN/>
        <w:bidi w:val="0"/>
        <w:adjustRightInd/>
        <w:snapToGrid w:val="0"/>
        <w:spacing w:line="440" w:lineRule="exact"/>
        <w:ind w:firstLine="562" w:firstLineChars="200"/>
        <w:textAlignment w:val="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6.1实施期限</w:t>
      </w:r>
    </w:p>
    <w:p w14:paraId="2465FD61">
      <w:pPr>
        <w:keepNext w:val="0"/>
        <w:keepLines w:val="0"/>
        <w:pageBreakBefore w:val="0"/>
        <w:widowControl w:val="0"/>
        <w:kinsoku/>
        <w:wordWrap/>
        <w:overflowPunct/>
        <w:topLinePunct w:val="0"/>
        <w:autoSpaceDE/>
        <w:autoSpaceDN/>
        <w:bidi w:val="0"/>
        <w:adjustRightInd/>
        <w:snapToGrid w:val="0"/>
        <w:spacing w:line="440" w:lineRule="exact"/>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本项目服务期为一年（从合同签订之日起算）。服务期满后根据上年度服务期间完成采购人所要求服务标准情况，在财政资金保障前提下，保证服务要求、服务质量不变、价格变化幅度小的情况下可以续签，续签时间不超过两年。如政策规定发生变化，服务企业需相应执行或解除合同。 </w:t>
      </w:r>
    </w:p>
    <w:p w14:paraId="202038FF">
      <w:pPr>
        <w:keepNext w:val="0"/>
        <w:keepLines w:val="0"/>
        <w:pageBreakBefore w:val="0"/>
        <w:widowControl w:val="0"/>
        <w:kinsoku/>
        <w:wordWrap/>
        <w:overflowPunct/>
        <w:topLinePunct w:val="0"/>
        <w:autoSpaceDE/>
        <w:autoSpaceDN/>
        <w:bidi w:val="0"/>
        <w:adjustRightInd/>
        <w:snapToGrid w:val="0"/>
        <w:spacing w:line="440" w:lineRule="exact"/>
        <w:ind w:firstLine="562" w:firstLineChars="200"/>
        <w:textAlignment w:val="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6.2付款方式</w:t>
      </w:r>
    </w:p>
    <w:p w14:paraId="3A29014B">
      <w:pPr>
        <w:keepNext w:val="0"/>
        <w:keepLines w:val="0"/>
        <w:pageBreakBefore w:val="0"/>
        <w:widowControl w:val="0"/>
        <w:kinsoku/>
        <w:wordWrap/>
        <w:overflowPunct/>
        <w:topLinePunct w:val="0"/>
        <w:autoSpaceDE/>
        <w:autoSpaceDN/>
        <w:bidi w:val="0"/>
        <w:adjustRightInd/>
        <w:snapToGrid w:val="0"/>
        <w:spacing w:line="440" w:lineRule="exact"/>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按季度结算。采购人在次月10日内对中标供应商进行考核，采购人收到中标供应商出具的正规税票（增值税专用发票）后7日内支付服务费用（具体支付要求由采购人与中标供应商具体商定）。</w:t>
      </w:r>
    </w:p>
    <w:p w14:paraId="342241DD">
      <w:pPr>
        <w:keepNext w:val="0"/>
        <w:keepLines w:val="0"/>
        <w:pageBreakBefore w:val="0"/>
        <w:widowControl w:val="0"/>
        <w:kinsoku/>
        <w:wordWrap/>
        <w:overflowPunct/>
        <w:topLinePunct w:val="0"/>
        <w:autoSpaceDE/>
        <w:autoSpaceDN/>
        <w:bidi w:val="0"/>
        <w:adjustRightInd/>
        <w:snapToGrid w:val="0"/>
        <w:spacing w:line="440" w:lineRule="exact"/>
        <w:ind w:firstLine="562" w:firstLineChars="200"/>
        <w:textAlignment w:val="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6.3验收标准与要求</w:t>
      </w:r>
    </w:p>
    <w:p w14:paraId="2352944C">
      <w:pPr>
        <w:keepNext w:val="0"/>
        <w:keepLines w:val="0"/>
        <w:pageBreakBefore w:val="0"/>
        <w:widowControl w:val="0"/>
        <w:kinsoku/>
        <w:wordWrap/>
        <w:overflowPunct/>
        <w:topLinePunct w:val="0"/>
        <w:autoSpaceDE/>
        <w:autoSpaceDN/>
        <w:bidi w:val="0"/>
        <w:adjustRightInd/>
        <w:snapToGrid w:val="0"/>
        <w:spacing w:line="440" w:lineRule="exact"/>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保洁服务：各借阅室、书库、办公室、卫生间、茶水间等区域地面、墙面、玻璃、扶手等无垃圾、无积灰、无污渍、无手印。卫生间无异味、无积水、洁具光洁、物品摆放有序。室外公共区域（广场、道路、停车场、"门前三包"）干净无杂物、无淤泥。垃圾日产日清，分类规范，垃圾箱内外清洁无残留。定期开展消毒灭害，对窨井、明沟、垃圾房等喷洒药水。</w:t>
      </w:r>
    </w:p>
    <w:p w14:paraId="1888D9BC">
      <w:pPr>
        <w:keepNext w:val="0"/>
        <w:keepLines w:val="0"/>
        <w:pageBreakBefore w:val="0"/>
        <w:widowControl w:val="0"/>
        <w:kinsoku/>
        <w:wordWrap/>
        <w:overflowPunct/>
        <w:topLinePunct w:val="0"/>
        <w:autoSpaceDE/>
        <w:autoSpaceDN/>
        <w:bidi w:val="0"/>
        <w:adjustRightInd/>
        <w:snapToGrid w:val="0"/>
        <w:spacing w:line="440" w:lineRule="exact"/>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保安服务：严格执行门卫登记制度，禁止危险物品入馆。按规定路线和频次进行巡逻检查，重点区域有记录。车辆管理有序，非机动车定点停放，无易燃易爆物品堆放。制定并演练突发事件应急预案，每年至少组织1次应急演习。技防设施（监控、报警等）操作正常、定期检查。</w:t>
      </w:r>
    </w:p>
    <w:p w14:paraId="0F73C725">
      <w:pPr>
        <w:keepNext w:val="0"/>
        <w:keepLines w:val="0"/>
        <w:pageBreakBefore w:val="0"/>
        <w:widowControl w:val="0"/>
        <w:kinsoku/>
        <w:wordWrap/>
        <w:overflowPunct/>
        <w:topLinePunct w:val="0"/>
        <w:autoSpaceDE/>
        <w:autoSpaceDN/>
        <w:bidi w:val="0"/>
        <w:adjustRightInd/>
        <w:snapToGrid w:val="0"/>
        <w:spacing w:line="440" w:lineRule="exact"/>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综合维修服务：定期巡查给排水、供电系统，无跑冒滴漏现象。水电故障及时上报并处理，做好维修记录。空调系统定期清洁（每年至少两次）。电梯等特种设备运行正常，发生困人等事件能及时响应并通知专业维保单位。其他辅助服务配合馆内活动的协调与安保工作。</w:t>
      </w:r>
    </w:p>
    <w:p w14:paraId="6EF85662">
      <w:pPr>
        <w:keepNext w:val="0"/>
        <w:keepLines w:val="0"/>
        <w:pageBreakBefore w:val="0"/>
        <w:widowControl w:val="0"/>
        <w:kinsoku/>
        <w:wordWrap/>
        <w:overflowPunct/>
        <w:topLinePunct w:val="0"/>
        <w:autoSpaceDE/>
        <w:autoSpaceDN/>
        <w:bidi w:val="0"/>
        <w:adjustRightInd/>
        <w:snapToGrid w:val="0"/>
        <w:spacing w:line="440" w:lineRule="exact"/>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成交供应商必须按服务标准中所规定的工作内容和具体要求来完成采购人所交给的工作，并提交相应的报告。</w:t>
      </w:r>
    </w:p>
    <w:p w14:paraId="7B1AC73C">
      <w:pPr>
        <w:keepNext w:val="0"/>
        <w:keepLines w:val="0"/>
        <w:pageBreakBefore w:val="0"/>
        <w:widowControl w:val="0"/>
        <w:kinsoku/>
        <w:wordWrap/>
        <w:overflowPunct/>
        <w:topLinePunct w:val="0"/>
        <w:autoSpaceDE/>
        <w:autoSpaceDN/>
        <w:bidi w:val="0"/>
        <w:adjustRightInd/>
        <w:snapToGrid w:val="0"/>
        <w:spacing w:line="440" w:lineRule="exact"/>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成交供应商每次完成工作后，采购人将立即进行验收，若发现成交供应商完成工作的情况不符合合同所规定的要求，采购人有权拒绝进行完工确认，并书面通知成交供应商进行整改，成交供应商应予以接受。</w:t>
      </w:r>
    </w:p>
    <w:p w14:paraId="69500A11">
      <w:pPr>
        <w:keepNext w:val="0"/>
        <w:keepLines w:val="0"/>
        <w:pageBreakBefore w:val="0"/>
        <w:widowControl w:val="0"/>
        <w:kinsoku/>
        <w:wordWrap/>
        <w:overflowPunct/>
        <w:topLinePunct w:val="0"/>
        <w:autoSpaceDE/>
        <w:autoSpaceDN/>
        <w:bidi w:val="0"/>
        <w:adjustRightInd/>
        <w:snapToGrid w:val="0"/>
        <w:spacing w:line="440" w:lineRule="exact"/>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成交供应商必须保证服务质量能够完全符合采购人之合理要求, 否则采购人有权向成交供应商发送如下告知单1）通知；2）警告；3）最后警告及扣除相关费用。</w:t>
      </w:r>
    </w:p>
    <w:p w14:paraId="518936A1">
      <w:pPr>
        <w:keepNext w:val="0"/>
        <w:keepLines w:val="0"/>
        <w:pageBreakBefore w:val="0"/>
        <w:widowControl w:val="0"/>
        <w:kinsoku/>
        <w:wordWrap/>
        <w:overflowPunct/>
        <w:topLinePunct w:val="0"/>
        <w:autoSpaceDE/>
        <w:autoSpaceDN/>
        <w:bidi w:val="0"/>
        <w:adjustRightInd/>
        <w:snapToGrid w:val="0"/>
        <w:spacing w:line="440" w:lineRule="exact"/>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采购人按照服务标准制定考评表，每季度对成交供应商的整体服务水平进行打分考评。如考核得分≥90 分，为优秀；考核得分为 80 -89 分的，为良好；考核得分为 70 -79 分的，为合格，采购人有权按约定进行警告并予以扣款；如考核得分低于70 分，为不合格，采购人有权单方面解除合约，成交供应商应积极配合。</w:t>
      </w:r>
    </w:p>
    <w:p w14:paraId="7916C1A7">
      <w:pPr>
        <w:keepNext w:val="0"/>
        <w:keepLines w:val="0"/>
        <w:pageBreakBefore w:val="0"/>
        <w:widowControl w:val="0"/>
        <w:kinsoku/>
        <w:wordWrap/>
        <w:overflowPunct/>
        <w:topLinePunct w:val="0"/>
        <w:autoSpaceDE/>
        <w:autoSpaceDN/>
        <w:bidi w:val="0"/>
        <w:adjustRightInd/>
        <w:snapToGrid w:val="0"/>
        <w:spacing w:line="440" w:lineRule="exact"/>
        <w:ind w:firstLine="562" w:firstLineChars="200"/>
        <w:textAlignment w:val="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7.需要说明的其他事项</w:t>
      </w:r>
    </w:p>
    <w:p w14:paraId="627A40B2">
      <w:pPr>
        <w:keepNext w:val="0"/>
        <w:keepLines w:val="0"/>
        <w:pageBreakBefore w:val="0"/>
        <w:widowControl w:val="0"/>
        <w:kinsoku/>
        <w:wordWrap/>
        <w:overflowPunct/>
        <w:topLinePunct w:val="0"/>
        <w:autoSpaceDE/>
        <w:autoSpaceDN/>
        <w:bidi w:val="0"/>
        <w:adjustRightInd/>
        <w:snapToGrid w:val="0"/>
        <w:spacing w:line="440" w:lineRule="exact"/>
        <w:ind w:firstLine="562" w:firstLineChars="200"/>
        <w:textAlignment w:val="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7.1零星维修材料费用</w:t>
      </w:r>
    </w:p>
    <w:p w14:paraId="49654A4E">
      <w:pPr>
        <w:keepNext w:val="0"/>
        <w:keepLines w:val="0"/>
        <w:pageBreakBefore w:val="0"/>
        <w:widowControl w:val="0"/>
        <w:kinsoku/>
        <w:wordWrap/>
        <w:overflowPunct/>
        <w:topLinePunct w:val="0"/>
        <w:autoSpaceDE/>
        <w:autoSpaceDN/>
        <w:bidi w:val="0"/>
        <w:adjustRightInd/>
        <w:snapToGrid w:val="0"/>
        <w:spacing w:line="440" w:lineRule="exact"/>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sym w:font="Wingdings 2" w:char="00A3"/>
      </w:r>
      <w:r>
        <w:rPr>
          <w:rFonts w:hint="eastAsia" w:ascii="仿宋" w:hAnsi="仿宋" w:eastAsia="仿宋" w:cs="仿宋"/>
          <w:sz w:val="28"/>
          <w:szCs w:val="28"/>
          <w:lang w:val="en-US" w:eastAsia="zh-CN"/>
        </w:rPr>
        <w:t xml:space="preserve"> 涉及以下情形的，相关费用包含在物业管理服务采购合同金额之内，由供应商承担：换气扇、LED筒灯、LED平板灯、开关、插座、水龙头、小空开、锁芯、三角阀、压力表、门锁、门把手、水管、电线、PUC线管、PPR水管、排气阀、感应冲水器、接触器、止回阀、电池、红地毯、等维修所需材料单价在200元以内的费用</w:t>
      </w:r>
    </w:p>
    <w:p w14:paraId="3A195825">
      <w:pPr>
        <w:keepNext w:val="0"/>
        <w:keepLines w:val="0"/>
        <w:pageBreakBefore w:val="0"/>
        <w:widowControl w:val="0"/>
        <w:kinsoku/>
        <w:wordWrap/>
        <w:overflowPunct/>
        <w:topLinePunct w:val="0"/>
        <w:autoSpaceDE/>
        <w:autoSpaceDN/>
        <w:bidi w:val="0"/>
        <w:adjustRightInd/>
        <w:snapToGrid w:val="0"/>
        <w:spacing w:line="440" w:lineRule="exact"/>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sym w:font="Wingdings 2" w:char="00A3"/>
      </w:r>
      <w:r>
        <w:rPr>
          <w:rFonts w:hint="eastAsia" w:ascii="仿宋" w:hAnsi="仿宋" w:eastAsia="仿宋" w:cs="仿宋"/>
          <w:sz w:val="28"/>
          <w:szCs w:val="28"/>
          <w:lang w:val="en-US" w:eastAsia="zh-CN"/>
        </w:rPr>
        <w:t xml:space="preserve"> 涉及以下情形的</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由采购人承担：电动门、饮水机滤芯、热水器、车库卷帘门、电子显示屏、排污泵、话筒、音响、功放、大空开、道闸系统、监控探头、监控录像机、监控云台、监控显示器、钢化玻璃门、风机电机、主管道水表等维修所需材料单件单价在200元（含200元）以上费用。</w:t>
      </w:r>
    </w:p>
    <w:p w14:paraId="17958FDF">
      <w:pPr>
        <w:keepNext w:val="0"/>
        <w:keepLines w:val="0"/>
        <w:pageBreakBefore w:val="0"/>
        <w:widowControl w:val="0"/>
        <w:kinsoku/>
        <w:wordWrap/>
        <w:overflowPunct/>
        <w:topLinePunct w:val="0"/>
        <w:autoSpaceDE/>
        <w:autoSpaceDN/>
        <w:bidi w:val="0"/>
        <w:adjustRightInd/>
        <w:snapToGrid w:val="0"/>
        <w:spacing w:line="440" w:lineRule="exact"/>
        <w:ind w:firstLine="562" w:firstLineChars="200"/>
        <w:textAlignment w:val="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7.2低值易耗品费用</w:t>
      </w:r>
    </w:p>
    <w:p w14:paraId="111BFECE">
      <w:pPr>
        <w:keepNext w:val="0"/>
        <w:keepLines w:val="0"/>
        <w:pageBreakBefore w:val="0"/>
        <w:widowControl w:val="0"/>
        <w:kinsoku/>
        <w:wordWrap/>
        <w:overflowPunct/>
        <w:topLinePunct w:val="0"/>
        <w:autoSpaceDE/>
        <w:autoSpaceDN/>
        <w:bidi w:val="0"/>
        <w:adjustRightInd/>
        <w:snapToGrid w:val="0"/>
        <w:spacing w:line="440" w:lineRule="exact"/>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sym w:font="Wingdings 2" w:char="00A3"/>
      </w:r>
      <w:r>
        <w:rPr>
          <w:rFonts w:hint="eastAsia" w:ascii="仿宋" w:hAnsi="仿宋" w:eastAsia="仿宋" w:cs="仿宋"/>
          <w:sz w:val="28"/>
          <w:szCs w:val="28"/>
          <w:lang w:val="en-US" w:eastAsia="zh-CN"/>
        </w:rPr>
        <w:t xml:space="preserve"> 涉及以下情形的，相关费用包含在物业管理服务采购合同金额之内，由供应商承担垃圾袋、洗手液、拖把、扫把盘、尘推、口罩、灯泡、大盘纸、垃圾桶、线手套、胶皮手套、卫生香、除臭丸、洁厕剂、洗洁剂、84消毒液、多功能清洁剂、水垢清洗剂、粘胶去除剂、拖地桶、洗衣粉、擦玻璃器、保洁车、榨水车、保安服、保洁服、玻璃刮、毛巾、鹿皮布、马桶刷、垃圾夹、空气清新剂、手电、室外大扫把、高粱扫把、电线、中性笔、订书机、A4纸、记号笔、墨粉、打印机、硒鼓、印泥、胶水、保安登记册等易耗品.</w:t>
      </w:r>
    </w:p>
    <w:p w14:paraId="73081424">
      <w:pPr>
        <w:keepNext w:val="0"/>
        <w:keepLines w:val="0"/>
        <w:pageBreakBefore w:val="0"/>
        <w:widowControl w:val="0"/>
        <w:kinsoku/>
        <w:wordWrap/>
        <w:overflowPunct/>
        <w:topLinePunct w:val="0"/>
        <w:autoSpaceDE/>
        <w:autoSpaceDN/>
        <w:bidi w:val="0"/>
        <w:adjustRightInd/>
        <w:snapToGrid w:val="0"/>
        <w:spacing w:line="440" w:lineRule="exact"/>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sym w:font="Wingdings 2" w:char="00A3"/>
      </w:r>
      <w:r>
        <w:rPr>
          <w:rFonts w:hint="eastAsia" w:ascii="仿宋" w:hAnsi="仿宋" w:eastAsia="仿宋" w:cs="仿宋"/>
          <w:sz w:val="28"/>
          <w:szCs w:val="28"/>
          <w:lang w:val="en-US" w:eastAsia="zh-CN"/>
        </w:rPr>
        <w:t xml:space="preserve"> 涉及以下情形的</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由采购人承担：茶叶、瓷茶杯、一次性水杯、饮水机、平板车、话筒、U盘。</w:t>
      </w:r>
    </w:p>
    <w:p w14:paraId="6B6036AB">
      <w:pPr>
        <w:keepNext w:val="0"/>
        <w:keepLines w:val="0"/>
        <w:pageBreakBefore w:val="0"/>
        <w:widowControl w:val="0"/>
        <w:kinsoku/>
        <w:wordWrap/>
        <w:overflowPunct/>
        <w:topLinePunct w:val="0"/>
        <w:autoSpaceDE/>
        <w:autoSpaceDN/>
        <w:bidi w:val="0"/>
        <w:adjustRightInd/>
        <w:snapToGrid w:val="0"/>
        <w:spacing w:line="440" w:lineRule="exact"/>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注：本款涉及的零星维修材料、低值易耗品、苗木、客耗品等费用，不论是由供应商，还是采购人承担，涉及的相关服务由供应商承担，服务费用包含在物业服务项目合同金额之内。</w:t>
      </w:r>
    </w:p>
    <w:bookmarkEnd w:id="13"/>
    <w:bookmarkEnd w:id="14"/>
    <w:bookmarkEnd w:id="15"/>
    <w:p w14:paraId="57D4CDC1">
      <w:bookmarkStart w:id="16" w:name="_GoBack"/>
      <w:bookmarkEnd w:id="16"/>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libri Light">
    <w:panose1 w:val="020F0302020204030204"/>
    <w:charset w:val="00"/>
    <w:family w:val="swiss"/>
    <w:pitch w:val="default"/>
    <w:sig w:usb0="E4002EFF" w:usb1="C000247B" w:usb2="00000009" w:usb3="00000000" w:csb0="200001FF"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 w:name="Wingdings 2">
    <w:panose1 w:val="05020102010507070707"/>
    <w:charset w:val="02"/>
    <w:family w:val="auto"/>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381E"/>
    <w:rsid w:val="00E5381E"/>
    <w:rsid w:val="0D3C48F5"/>
    <w:rsid w:val="34C44C99"/>
    <w:rsid w:val="666F77CE"/>
    <w:rsid w:val="686708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00" w:lineRule="exact"/>
      <w:jc w:val="both"/>
    </w:pPr>
    <w:rPr>
      <w:rFonts w:ascii="Calibri Light" w:hAnsi="Calibri Light" w:eastAsia="华文仿宋" w:cs="Calibri Light"/>
      <w:kern w:val="2"/>
      <w:sz w:val="28"/>
      <w:szCs w:val="28"/>
      <w:lang w:val="en-US" w:eastAsia="zh-CN" w:bidi="ar-SA"/>
    </w:rPr>
  </w:style>
  <w:style w:type="paragraph" w:styleId="2">
    <w:name w:val="heading 1"/>
    <w:basedOn w:val="1"/>
    <w:next w:val="1"/>
    <w:qFormat/>
    <w:uiPriority w:val="9"/>
    <w:pPr>
      <w:keepNext/>
      <w:keepLines/>
      <w:spacing w:line="500" w:lineRule="exact"/>
      <w:jc w:val="center"/>
      <w:outlineLvl w:val="0"/>
    </w:pPr>
    <w:rPr>
      <w:rFonts w:eastAsia="仿宋"/>
      <w:b/>
      <w:color w:val="000000"/>
      <w:kern w:val="44"/>
      <w:sz w:val="32"/>
      <w:szCs w:val="44"/>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table" w:styleId="4">
    <w:name w:val="Table Grid"/>
    <w:basedOn w:val="3"/>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22</Pages>
  <Words>0</Words>
  <Characters>0</Characters>
  <Lines>0</Lines>
  <Paragraphs>0</Paragraphs>
  <TotalTime>0</TotalTime>
  <ScaleCrop>false</ScaleCrop>
  <LinksUpToDate>false</LinksUpToDate>
  <CharactersWithSpaces>0</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2026-07-16T01:37:00Z</dcterms:created>
  <dc:creator>东腻</dc:creator>
  <cp:lastModifiedBy>东腻</cp:lastModifiedBy>
  <cp:lastPrinted>2026-07-16T01:37:00Z</cp:lastPrinted>
  <dcterms:modified xsi:type="dcterms:W3CDTF">2026-07-16T07:22:48Z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6F05A055A7AA46D4BE2B18FDC8A3FBC7_11</vt:lpwstr>
  </property>
</Properties>
</file>