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版本号：SYCG-CS-2602420260712001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三原县精神病医院后勤服务保安劳务外包项目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SYCG-CS-26024</w:t>
      </w:r>
      <w:r>
        <w:br/>
      </w:r>
      <w:r>
        <w:br/>
      </w:r>
      <w:r>
        <w:br/>
      </w:r>
    </w:p>
    <w:p>
      <w:pPr>
        <w:pStyle w:val="null3"/>
        <w:jc w:val="center"/>
        <w:outlineLvl w:val="2"/>
      </w:pPr>
      <w:r>
        <w:rPr>
          <w:rFonts w:ascii="仿宋_GB2312" w:hAnsi="仿宋_GB2312" w:cs="仿宋_GB2312" w:eastAsia="仿宋_GB2312"/>
          <w:sz w:val="28"/>
          <w:b/>
        </w:rPr>
        <w:t>三原县卫生健康局</w:t>
      </w:r>
    </w:p>
    <w:p>
      <w:pPr>
        <w:pStyle w:val="null3"/>
        <w:jc w:val="center"/>
        <w:outlineLvl w:val="2"/>
      </w:pPr>
      <w:r>
        <w:rPr>
          <w:rFonts w:ascii="仿宋_GB2312" w:hAnsi="仿宋_GB2312" w:cs="仿宋_GB2312" w:eastAsia="仿宋_GB2312"/>
          <w:sz w:val="28"/>
          <w:b/>
        </w:rPr>
        <w:t>三原县政府采购中心</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2026年07月12日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三原县政府采购中心</w:t>
      </w:r>
      <w:r>
        <w:rPr>
          <w:rFonts w:ascii="仿宋_GB2312" w:hAnsi="仿宋_GB2312" w:cs="仿宋_GB2312" w:eastAsia="仿宋_GB2312"/>
        </w:rPr>
        <w:t>（以下简称“代理机构”）受</w:t>
      </w:r>
      <w:r>
        <w:rPr>
          <w:rFonts w:ascii="仿宋_GB2312" w:hAnsi="仿宋_GB2312" w:cs="仿宋_GB2312" w:eastAsia="仿宋_GB2312"/>
        </w:rPr>
        <w:t>三原县卫生健康局</w:t>
      </w:r>
      <w:r>
        <w:rPr>
          <w:rFonts w:ascii="仿宋_GB2312" w:hAnsi="仿宋_GB2312" w:cs="仿宋_GB2312" w:eastAsia="仿宋_GB2312"/>
        </w:rPr>
        <w:t>委托，拟对</w:t>
      </w:r>
      <w:r>
        <w:rPr>
          <w:rFonts w:ascii="仿宋_GB2312" w:hAnsi="仿宋_GB2312" w:cs="仿宋_GB2312" w:eastAsia="仿宋_GB2312"/>
        </w:rPr>
        <w:t>三原县精神病医院后勤服务保安劳务外包项目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SYCG-CS-26024</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三原县精神病医院后勤服务保安劳务外包项目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我院现有自有安保队伍专业能力、应急处置能力不足，无法满足病区安全管理需求。现采购后勤保安劳务外包服务，实行 24 小时值守，负责出入管控、院区巡逻、秩序维护、风险隐患处置，配合医护做好精神患者安全防护及各类突发事件应急工作。</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采购包1（三原县精神病医院后勤服务保安劳务外包项目）：属于专门面向中小企业采购。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1、响应主体：独⽴承担⺠事责任的法⼈或其他组织有效的营业执照（或统⼀社会信⽤代码的营业 执照）等相应证明⽂件，⾃然⼈的提供⾝份证明⽂件；</w:t>
      </w:r>
    </w:p>
    <w:p>
      <w:pPr>
        <w:pStyle w:val="null3"/>
      </w:pPr>
      <w:r>
        <w:rPr>
          <w:rFonts w:ascii="仿宋_GB2312" w:hAnsi="仿宋_GB2312" w:cs="仿宋_GB2312" w:eastAsia="仿宋_GB2312"/>
        </w:rPr>
        <w:t>2、财务状况报告：供应商提供2024或2025年经审计的财务报告，或⾃公告发布之⽇起⾄响应⽂件截 ⽌时间前其基本存款账⼾开⼾银⾏出具的资信证明，并附基本存款账⼾开⼾许可证 或提供基本存款账号编号；其他组织和⾃然⼈提供银⾏出具的资信证明；</w:t>
      </w:r>
    </w:p>
    <w:p>
      <w:pPr>
        <w:pStyle w:val="null3"/>
      </w:pPr>
      <w:r>
        <w:rPr>
          <w:rFonts w:ascii="仿宋_GB2312" w:hAnsi="仿宋_GB2312" w:cs="仿宋_GB2312" w:eastAsia="仿宋_GB2312"/>
        </w:rPr>
        <w:t>3、税收缴纳证明：提供开标截⽌时间前半年内任意⼀个⽉的纳税证明或完税证明；依法免税的单位应 提供相关证明材料；</w:t>
      </w:r>
    </w:p>
    <w:p>
      <w:pPr>
        <w:pStyle w:val="null3"/>
      </w:pPr>
      <w:r>
        <w:rPr>
          <w:rFonts w:ascii="仿宋_GB2312" w:hAnsi="仿宋_GB2312" w:cs="仿宋_GB2312" w:eastAsia="仿宋_GB2312"/>
        </w:rPr>
        <w:t>4、社会保障资⾦缴纳证明：提供开标截⽌时间前半年内任意⼀个⽉的社保机构开具的社会保险参保缴费情况证 明；依法不需要缴纳社会保障资⾦的单位应提供相关证明材料；</w:t>
      </w:r>
    </w:p>
    <w:p>
      <w:pPr>
        <w:pStyle w:val="null3"/>
      </w:pPr>
      <w:r>
        <w:rPr>
          <w:rFonts w:ascii="仿宋_GB2312" w:hAnsi="仿宋_GB2312" w:cs="仿宋_GB2312" w:eastAsia="仿宋_GB2312"/>
        </w:rPr>
        <w:t>5、法定代表⼈授权委托书：法定代表⼈或负责⼈参加投标时，提供本⼈⾝份证，并与营业执照中法定代表⼈或 负责⼈信息相符；授权代表参加投标时，提供授权书和被授权⼈⾝份证；</w:t>
      </w:r>
    </w:p>
    <w:p>
      <w:pPr>
        <w:pStyle w:val="null3"/>
      </w:pPr>
      <w:r>
        <w:rPr>
          <w:rFonts w:ascii="仿宋_GB2312" w:hAnsi="仿宋_GB2312" w:cs="仿宋_GB2312" w:eastAsia="仿宋_GB2312"/>
        </w:rPr>
        <w:t>6、信⽤中国：供应商不得为“信⽤中国”⽹站（www.creditchina.gov.cn）中被列⼊“重⼤税收 违法失信主体”的供应商,不得为“中国执⾏信息公开⽹”⽹站（zxgk.court.gov.cn/ ）中被列⼊“失信被执⾏⼈”的供应商；不得为中国政府采购⽹（www.ccgp.go v.cn）政府采购“严重违法失信⾏为记录名单”中被财政部⻔禁⽌参加政府采购活动 的供应商；</w:t>
      </w:r>
    </w:p>
    <w:p>
      <w:pPr>
        <w:pStyle w:val="null3"/>
      </w:pPr>
      <w:r>
        <w:rPr>
          <w:rFonts w:ascii="仿宋_GB2312" w:hAnsi="仿宋_GB2312" w:cs="仿宋_GB2312" w:eastAsia="仿宋_GB2312"/>
        </w:rPr>
        <w:t>7、重⼤违法声明：供应商参加采购活动近3年内经营活动中没有重⼤违法记录声明，以及未被列⼊失 信被执⾏⼈、重⼤税收违法失信主体、政府采购严重违法失信⾏为记录名单的书⾯声明</w:t>
      </w:r>
    </w:p>
    <w:p>
      <w:pPr>
        <w:pStyle w:val="null3"/>
      </w:pPr>
      <w:r>
        <w:rPr>
          <w:rFonts w:ascii="仿宋_GB2312" w:hAnsi="仿宋_GB2312" w:cs="仿宋_GB2312" w:eastAsia="仿宋_GB2312"/>
        </w:rPr>
        <w:t>8、⾮联合体：供应商负责⼈不得为同⼀⼈或者存在控股、管理关系</w:t>
      </w:r>
    </w:p>
    <w:p>
      <w:pPr>
        <w:pStyle w:val="null3"/>
      </w:pPr>
      <w:r>
        <w:rPr>
          <w:rFonts w:ascii="仿宋_GB2312" w:hAnsi="仿宋_GB2312" w:cs="仿宋_GB2312" w:eastAsia="仿宋_GB2312"/>
        </w:rPr>
        <w:t>9、专业技术能力声明：提供具有履行本合同所必需的设备和专业技术能力的声明；</w:t>
      </w:r>
    </w:p>
    <w:p>
      <w:pPr>
        <w:pStyle w:val="null3"/>
      </w:pPr>
      <w:r>
        <w:rPr>
          <w:rFonts w:ascii="仿宋_GB2312" w:hAnsi="仿宋_GB2312" w:cs="仿宋_GB2312" w:eastAsia="仿宋_GB2312"/>
        </w:rPr>
        <w:t>10、特定资质：供应商需具有公安机关核发的《保安服务许可证》（有效期内），陕西省外投标人还须出具承诺书（ 承诺书形式不限），承诺自承接本项目之日起30日内向采购人所在地设区的市级人民政府公安机关备案。</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三原县卫生健康局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三原县政府院内</w:t>
      </w:r>
    </w:p>
    <w:p>
      <w:pPr>
        <w:pStyle w:val="null3"/>
      </w:pPr>
      <w:r>
        <w:rPr>
          <w:rFonts w:ascii="仿宋_GB2312" w:hAnsi="仿宋_GB2312" w:cs="仿宋_GB2312" w:eastAsia="仿宋_GB2312"/>
        </w:rPr>
        <w:t xml:space="preserve"> 邮编： </w:t>
      </w:r>
      <w:r>
        <w:rPr>
          <w:rFonts w:ascii="仿宋_GB2312" w:hAnsi="仿宋_GB2312" w:cs="仿宋_GB2312" w:eastAsia="仿宋_GB2312"/>
        </w:rPr>
        <w:t>713800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黄志宏</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029-38910820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三原县政府采购中心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三原县政府街7号三原县财政局</w:t>
      </w:r>
    </w:p>
    <w:p>
      <w:pPr>
        <w:pStyle w:val="null3"/>
      </w:pPr>
      <w:r>
        <w:rPr>
          <w:rFonts w:ascii="仿宋_GB2312" w:hAnsi="仿宋_GB2312" w:cs="仿宋_GB2312" w:eastAsia="仿宋_GB2312"/>
        </w:rPr>
        <w:t xml:space="preserve"> 邮编： </w:t>
      </w:r>
      <w:r>
        <w:rPr>
          <w:rFonts w:ascii="仿宋_GB2312" w:hAnsi="仿宋_GB2312" w:cs="仿宋_GB2312" w:eastAsia="仿宋_GB2312"/>
        </w:rPr>
        <w:t>713800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王先生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029-32269233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三原县政府采购管理股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席先生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029-32268653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采购包1：494,604.00元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本项目不收取代理服务费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三原县卫生健康局</w:t>
      </w:r>
      <w:r>
        <w:rPr>
          <w:rFonts w:ascii="仿宋_GB2312" w:hAnsi="仿宋_GB2312" w:cs="仿宋_GB2312" w:eastAsia="仿宋_GB2312"/>
        </w:rPr>
        <w:t>和</w:t>
      </w:r>
      <w:r>
        <w:rPr>
          <w:rFonts w:ascii="仿宋_GB2312" w:hAnsi="仿宋_GB2312" w:cs="仿宋_GB2312" w:eastAsia="仿宋_GB2312"/>
        </w:rPr>
        <w:t>三原县政府采购中心</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三原县卫生健康局</w:t>
      </w:r>
      <w:r>
        <w:rPr>
          <w:rFonts w:ascii="仿宋_GB2312" w:hAnsi="仿宋_GB2312" w:cs="仿宋_GB2312" w:eastAsia="仿宋_GB2312"/>
        </w:rPr>
        <w:t>负责解释。除上述磋商文件内容，其他内容由</w:t>
      </w:r>
      <w:r>
        <w:rPr>
          <w:rFonts w:ascii="仿宋_GB2312" w:hAnsi="仿宋_GB2312" w:cs="仿宋_GB2312" w:eastAsia="仿宋_GB2312"/>
        </w:rPr>
        <w:t>三原县政府采购中心</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三原县卫生健康局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三原县政府采购中心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归甲方所有</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乙方须按合同及行业规范提供安保服务，人员配置齐全、持证在岗、薪资合规，严格落实病区巡查、出入管控、应急处置等工作，服务规范到位、无安全责任事故，资料台账完整，全面满足医院安保工作要求。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三原县政府采购中心</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三原县政府采购中心</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三原县政府采购中心</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联系人：王先生</w:t>
      </w:r>
    </w:p>
    <w:p>
      <w:pPr>
        <w:pStyle w:val="null3"/>
      </w:pPr>
      <w:r>
        <w:rPr>
          <w:rFonts w:ascii="仿宋_GB2312" w:hAnsi="仿宋_GB2312" w:cs="仿宋_GB2312" w:eastAsia="仿宋_GB2312"/>
        </w:rPr>
        <w:t>联系电话：029-32269233</w:t>
      </w:r>
    </w:p>
    <w:p>
      <w:pPr>
        <w:pStyle w:val="null3"/>
      </w:pPr>
      <w:r>
        <w:rPr>
          <w:rFonts w:ascii="仿宋_GB2312" w:hAnsi="仿宋_GB2312" w:cs="仿宋_GB2312" w:eastAsia="仿宋_GB2312"/>
        </w:rPr>
        <w:t>地址：三原县政府街7号三原县财政局</w:t>
      </w:r>
    </w:p>
    <w:p>
      <w:pPr>
        <w:pStyle w:val="null3"/>
      </w:pPr>
      <w:r>
        <w:rPr>
          <w:rFonts w:ascii="仿宋_GB2312" w:hAnsi="仿宋_GB2312" w:cs="仿宋_GB2312" w:eastAsia="仿宋_GB2312"/>
        </w:rPr>
        <w:t>邮编：713800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我院现有自有安保队伍专业能力、应急处置能力不足，无法满足病区安全管理需求。现采购后勤保安劳务外包服务，实行 24 小时值守，负责出入管控、院区巡逻、秩序维护、风险隐患处置，配合医护做好精神患者安全防护及各类突发事件应急工作。</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494,604.00</w:t>
      </w:r>
    </w:p>
    <w:p>
      <w:pPr>
        <w:pStyle w:val="null3"/>
      </w:pPr>
      <w:r>
        <w:rPr>
          <w:rFonts w:ascii="仿宋_GB2312" w:hAnsi="仿宋_GB2312" w:cs="仿宋_GB2312" w:eastAsia="仿宋_GB2312"/>
        </w:rPr>
        <w:t>采购包最高限价（元）: 494,604.00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三原县精神病医院后勤服务保安劳务外包项目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494,604.00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租赁和商务服务业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标的名称：三原县精神病医院后勤服务保安劳务外包项目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rPr>
              <w:t>一、</w:t>
            </w:r>
            <w:r>
              <w:rPr>
                <w:rFonts w:ascii="仿宋_GB2312" w:hAnsi="仿宋_GB2312" w:cs="仿宋_GB2312" w:eastAsia="仿宋_GB2312"/>
                <w:sz w:val="21"/>
                <w:b/>
              </w:rPr>
              <w:t>服务内容及技术要求：</w:t>
            </w:r>
          </w:p>
          <w:p>
            <w:pPr>
              <w:pStyle w:val="null3"/>
              <w:ind w:firstLine="602"/>
              <w:jc w:val="both"/>
            </w:pPr>
            <w:r>
              <w:rPr>
                <w:rFonts w:ascii="仿宋_GB2312" w:hAnsi="仿宋_GB2312" w:cs="仿宋_GB2312" w:eastAsia="仿宋_GB2312"/>
                <w:sz w:val="21"/>
                <w:b/>
              </w:rPr>
              <w:t>（一）服务内容</w:t>
            </w:r>
          </w:p>
          <w:p>
            <w:pPr>
              <w:pStyle w:val="null3"/>
              <w:ind w:firstLine="600"/>
              <w:jc w:val="both"/>
            </w:pPr>
            <w:r>
              <w:rPr>
                <w:rFonts w:ascii="仿宋_GB2312" w:hAnsi="仿宋_GB2312" w:cs="仿宋_GB2312" w:eastAsia="仿宋_GB2312"/>
                <w:sz w:val="21"/>
              </w:rPr>
              <w:t>保安服务：维护三原县精神病医院病区内所有患者和医务人员的人身和财产安全。</w:t>
            </w:r>
          </w:p>
          <w:p>
            <w:pPr>
              <w:pStyle w:val="null3"/>
              <w:ind w:firstLine="602"/>
              <w:jc w:val="both"/>
            </w:pPr>
            <w:r>
              <w:rPr>
                <w:rFonts w:ascii="仿宋_GB2312" w:hAnsi="仿宋_GB2312" w:cs="仿宋_GB2312" w:eastAsia="仿宋_GB2312"/>
                <w:sz w:val="21"/>
                <w:b/>
              </w:rPr>
              <w:t>（二）保安</w:t>
            </w:r>
            <w:r>
              <w:rPr>
                <w:rFonts w:ascii="仿宋_GB2312" w:hAnsi="仿宋_GB2312" w:cs="仿宋_GB2312" w:eastAsia="仿宋_GB2312"/>
                <w:sz w:val="21"/>
                <w:b/>
              </w:rPr>
              <w:t>人员要求：</w:t>
            </w:r>
          </w:p>
          <w:p>
            <w:pPr>
              <w:pStyle w:val="null3"/>
              <w:ind w:firstLine="600"/>
              <w:jc w:val="both"/>
            </w:pPr>
            <w:r>
              <w:rPr>
                <w:rFonts w:ascii="仿宋_GB2312" w:hAnsi="仿宋_GB2312" w:cs="仿宋_GB2312" w:eastAsia="仿宋_GB2312"/>
                <w:sz w:val="21"/>
              </w:rPr>
              <w:t>保安人员计划11人，要求爱岗敬业，责任心强，身体健康，品行良好。</w:t>
            </w:r>
          </w:p>
          <w:p>
            <w:pPr>
              <w:pStyle w:val="null3"/>
              <w:ind w:firstLine="590"/>
            </w:pPr>
            <w:r>
              <w:rPr>
                <w:rFonts w:ascii="仿宋_GB2312" w:hAnsi="仿宋_GB2312" w:cs="仿宋_GB2312" w:eastAsia="仿宋_GB2312"/>
                <w:sz w:val="21"/>
                <w:b/>
              </w:rPr>
              <w:t>（三）管理标准</w:t>
            </w:r>
          </w:p>
          <w:p>
            <w:pPr>
              <w:pStyle w:val="null3"/>
              <w:ind w:firstLine="600"/>
              <w:jc w:val="both"/>
            </w:pPr>
            <w:r>
              <w:rPr>
                <w:rFonts w:ascii="仿宋_GB2312" w:hAnsi="仿宋_GB2312" w:cs="仿宋_GB2312" w:eastAsia="仿宋_GB2312"/>
                <w:sz w:val="21"/>
              </w:rPr>
              <w:t>1、保安人员要配合医务人员日常巡查病房，保护患者和医生的人身安全，发现异常情况及时制止，必要时可采取相关措施确保病房内安全。</w:t>
            </w:r>
          </w:p>
          <w:p>
            <w:pPr>
              <w:pStyle w:val="null3"/>
              <w:ind w:firstLine="600"/>
              <w:jc w:val="both"/>
            </w:pPr>
            <w:r>
              <w:rPr>
                <w:rFonts w:ascii="仿宋_GB2312" w:hAnsi="仿宋_GB2312" w:cs="仿宋_GB2312" w:eastAsia="仿宋_GB2312"/>
                <w:sz w:val="21"/>
              </w:rPr>
              <w:t>2、保安人员需定时巡查医院走廊、卫生间、治疗室、病区内等公共区域的安全问题，避免无关人员进入病区，防止患者骚扰医务人员，同时保护医疗设备、药品等财产的安全。</w:t>
            </w:r>
          </w:p>
          <w:p>
            <w:pPr>
              <w:pStyle w:val="null3"/>
              <w:ind w:firstLine="600"/>
              <w:jc w:val="both"/>
            </w:pPr>
            <w:r>
              <w:rPr>
                <w:rFonts w:ascii="仿宋_GB2312" w:hAnsi="仿宋_GB2312" w:cs="仿宋_GB2312" w:eastAsia="仿宋_GB2312"/>
                <w:sz w:val="21"/>
              </w:rPr>
              <w:t>3、保安人员要掌握基本的急救知识，以应对出现的突发情况，保护患者的生命安全。</w:t>
            </w:r>
          </w:p>
          <w:p>
            <w:pPr>
              <w:pStyle w:val="null3"/>
              <w:ind w:firstLine="600"/>
              <w:jc w:val="both"/>
            </w:pPr>
            <w:r>
              <w:rPr>
                <w:rFonts w:ascii="仿宋_GB2312" w:hAnsi="仿宋_GB2312" w:cs="仿宋_GB2312" w:eastAsia="仿宋_GB2312"/>
                <w:sz w:val="21"/>
              </w:rPr>
              <w:t>4、保安人员要基本了解精神病人的患病情况，对于情绪波动较大或存在暴力倾向的人，要配合医务人员及时采取措施，安抚患者情绪。</w:t>
            </w:r>
          </w:p>
          <w:p>
            <w:pPr>
              <w:pStyle w:val="null3"/>
              <w:ind w:firstLine="600"/>
              <w:jc w:val="both"/>
            </w:pPr>
            <w:r>
              <w:rPr>
                <w:rFonts w:ascii="仿宋_GB2312" w:hAnsi="仿宋_GB2312" w:cs="仿宋_GB2312" w:eastAsia="仿宋_GB2312"/>
                <w:sz w:val="21"/>
              </w:rPr>
              <w:t>5、保安人员需严格执行医院的出、入院流程，对来院人员需进行身份核查，检查随身携带物品，确保未经授权人员不得进入医院。</w:t>
            </w:r>
          </w:p>
          <w:p>
            <w:pPr>
              <w:pStyle w:val="null3"/>
              <w:ind w:firstLine="600"/>
              <w:jc w:val="both"/>
            </w:pPr>
            <w:r>
              <w:rPr>
                <w:rFonts w:ascii="仿宋_GB2312" w:hAnsi="仿宋_GB2312" w:cs="仿宋_GB2312" w:eastAsia="仿宋_GB2312"/>
                <w:sz w:val="21"/>
              </w:rPr>
              <w:t>6、保安人员要严格遵守院内相关规定，积极履行保安人员岗位职责。</w:t>
            </w:r>
          </w:p>
          <w:p>
            <w:pPr>
              <w:pStyle w:val="null3"/>
              <w:ind w:firstLine="600"/>
              <w:jc w:val="both"/>
            </w:pPr>
            <w:r>
              <w:rPr>
                <w:rFonts w:ascii="仿宋_GB2312" w:hAnsi="仿宋_GB2312" w:cs="仿宋_GB2312" w:eastAsia="仿宋_GB2312"/>
                <w:sz w:val="21"/>
              </w:rPr>
              <w:t>7、及时完成院方交办的临时性工作。</w:t>
            </w:r>
          </w:p>
          <w:p>
            <w:pPr>
              <w:pStyle w:val="null3"/>
            </w:pPr>
            <w:r>
              <w:rPr>
                <w:rFonts w:ascii="仿宋_GB2312" w:hAnsi="仿宋_GB2312" w:cs="仿宋_GB2312" w:eastAsia="仿宋_GB2312"/>
                <w:sz w:val="21"/>
                <w:b/>
              </w:rPr>
              <w:t xml:space="preserve">    （四）档案资料管理</w:t>
            </w:r>
          </w:p>
          <w:p>
            <w:pPr>
              <w:pStyle w:val="null3"/>
              <w:ind w:firstLine="600"/>
            </w:pPr>
            <w:r>
              <w:rPr>
                <w:rFonts w:ascii="仿宋_GB2312" w:hAnsi="仿宋_GB2312" w:cs="仿宋_GB2312" w:eastAsia="仿宋_GB2312"/>
                <w:sz w:val="21"/>
              </w:rPr>
              <w:t>1、档案资料齐全完整。</w:t>
            </w:r>
          </w:p>
          <w:p>
            <w:pPr>
              <w:pStyle w:val="null3"/>
              <w:ind w:firstLine="600"/>
            </w:pPr>
            <w:r>
              <w:rPr>
                <w:rFonts w:ascii="仿宋_GB2312" w:hAnsi="仿宋_GB2312" w:cs="仿宋_GB2312" w:eastAsia="仿宋_GB2312"/>
                <w:sz w:val="21"/>
              </w:rPr>
              <w:t>2、分类成册，管理完善，合理分类，查阅方便。</w:t>
            </w:r>
          </w:p>
          <w:p>
            <w:pPr>
              <w:pStyle w:val="null3"/>
              <w:ind w:firstLine="600"/>
            </w:pPr>
            <w:r>
              <w:rPr>
                <w:rFonts w:ascii="仿宋_GB2312" w:hAnsi="仿宋_GB2312" w:cs="仿宋_GB2312" w:eastAsia="仿宋_GB2312"/>
                <w:sz w:val="21"/>
              </w:rPr>
              <w:t>3、及时变更登记，账物相符。</w:t>
            </w:r>
          </w:p>
          <w:p>
            <w:pPr>
              <w:pStyle w:val="null3"/>
              <w:ind w:left="615"/>
            </w:pPr>
            <w:r>
              <w:rPr>
                <w:rFonts w:ascii="仿宋_GB2312" w:hAnsi="仿宋_GB2312" w:cs="仿宋_GB2312" w:eastAsia="仿宋_GB2312"/>
                <w:sz w:val="21"/>
                <w:b/>
              </w:rPr>
              <w:t>二、其他要求</w:t>
            </w:r>
          </w:p>
          <w:p>
            <w:pPr>
              <w:pStyle w:val="null3"/>
              <w:ind w:firstLine="600"/>
              <w:jc w:val="both"/>
            </w:pPr>
            <w:r>
              <w:rPr>
                <w:rFonts w:ascii="仿宋_GB2312" w:hAnsi="仿宋_GB2312" w:cs="仿宋_GB2312" w:eastAsia="仿宋_GB2312"/>
                <w:sz w:val="21"/>
              </w:rPr>
              <w:t>1、项目人员应确保稳定，本项目要求保安人员工资不得低于当地的最低工资标准；</w:t>
            </w:r>
          </w:p>
          <w:p>
            <w:pPr>
              <w:pStyle w:val="null3"/>
              <w:ind w:firstLine="600"/>
              <w:jc w:val="both"/>
            </w:pPr>
            <w:r>
              <w:rPr>
                <w:rFonts w:ascii="仿宋_GB2312" w:hAnsi="仿宋_GB2312" w:cs="仿宋_GB2312" w:eastAsia="仿宋_GB2312"/>
                <w:sz w:val="21"/>
              </w:rPr>
              <w:t>2、服务费用按月支付，支付节点为每月末；</w:t>
            </w:r>
          </w:p>
          <w:p>
            <w:pPr>
              <w:pStyle w:val="null3"/>
              <w:ind w:firstLine="600"/>
              <w:jc w:val="left"/>
            </w:pPr>
            <w:r>
              <w:rPr>
                <w:rFonts w:ascii="仿宋_GB2312" w:hAnsi="仿宋_GB2312" w:cs="仿宋_GB2312" w:eastAsia="仿宋_GB2312"/>
                <w:sz w:val="21"/>
              </w:rPr>
              <w:t>3、服务期内出现的任何意外及问题由中标方自行承担；</w:t>
            </w:r>
          </w:p>
          <w:p>
            <w:pPr>
              <w:pStyle w:val="null3"/>
              <w:ind w:left="615"/>
            </w:pPr>
            <w:r>
              <w:rPr>
                <w:rFonts w:ascii="仿宋_GB2312" w:hAnsi="仿宋_GB2312" w:cs="仿宋_GB2312" w:eastAsia="仿宋_GB2312"/>
                <w:sz w:val="21"/>
                <w:b/>
              </w:rPr>
              <w:t>三、服务期限：</w:t>
            </w:r>
            <w:r>
              <w:rPr>
                <w:rFonts w:ascii="仿宋_GB2312" w:hAnsi="仿宋_GB2312" w:cs="仿宋_GB2312" w:eastAsia="仿宋_GB2312"/>
                <w:sz w:val="21"/>
              </w:rPr>
              <w:t>本项目一招三年，合同一年一签。每年合同期满前，在采购人考核合格的情况下,采购人有权决定是否续签合同，但是累计合同履行期限不超过三年，本次成交价格（含总价和单价）即为第二年和第三年的采购合同价。</w:t>
            </w:r>
          </w:p>
          <w:p>
            <w:pPr>
              <w:pStyle w:val="null3"/>
              <w:jc w:val="both"/>
            </w:pPr>
            <w:r>
              <w:rPr>
                <w:rFonts w:ascii="仿宋_GB2312" w:hAnsi="仿宋_GB2312" w:cs="仿宋_GB2312" w:eastAsia="仿宋_GB2312"/>
                <w:sz w:val="21"/>
                <w:b/>
              </w:rPr>
              <w:t>四、合同实施：</w:t>
            </w:r>
            <w:r>
              <w:rPr>
                <w:rFonts w:ascii="仿宋_GB2312" w:hAnsi="仿宋_GB2312" w:cs="仿宋_GB2312" w:eastAsia="仿宋_GB2312"/>
                <w:sz w:val="21"/>
              </w:rPr>
              <w:t>未能在实施期限内完成合同规定的义务，由此对采购人造成的延误和一切损失，由中标人承担和赔偿。</w:t>
            </w:r>
          </w:p>
          <w:p>
            <w:pPr>
              <w:pStyle w:val="null3"/>
              <w:jc w:val="both"/>
            </w:pPr>
            <w:r>
              <w:rPr>
                <w:rFonts w:ascii="仿宋_GB2312" w:hAnsi="仿宋_GB2312" w:cs="仿宋_GB2312" w:eastAsia="仿宋_GB2312"/>
                <w:sz w:val="21"/>
                <w:b/>
              </w:rPr>
              <w:t>五、违约责任：</w:t>
            </w:r>
          </w:p>
          <w:p>
            <w:pPr>
              <w:pStyle w:val="null3"/>
              <w:ind w:firstLine="600"/>
              <w:jc w:val="both"/>
            </w:pPr>
            <w:r>
              <w:rPr>
                <w:rFonts w:ascii="仿宋_GB2312" w:hAnsi="仿宋_GB2312" w:cs="仿宋_GB2312" w:eastAsia="仿宋_GB2312"/>
                <w:sz w:val="21"/>
              </w:rPr>
              <w:t>1、按《中华人民共和国民法典》中的相关条款执行。</w:t>
            </w:r>
          </w:p>
          <w:p>
            <w:pPr>
              <w:pStyle w:val="null3"/>
              <w:ind w:firstLine="600"/>
              <w:jc w:val="both"/>
            </w:pPr>
            <w:r>
              <w:rPr>
                <w:rFonts w:ascii="仿宋_GB2312" w:hAnsi="仿宋_GB2312" w:cs="仿宋_GB2312" w:eastAsia="仿宋_GB2312"/>
                <w:sz w:val="21"/>
              </w:rPr>
              <w:t>2、未按合同要求提供服务或服务质量不能满足技术要求，采购人有权终止合同，并对供方违约行为进行追究，同时按《招标投标法》的有关规定进行处罚。</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供应商根据项目要求配备</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供应商根据项目要求配备</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项目一招三年，合同一年一签。每年合同期满前，在采购人考核合格的情况下,采购人有权决定是否续签合同，但是累计合同履行期限不超过三年，本次成交价格（含总价和单价）即为第二年和第三年的采购合同价。</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三原县精神病医院</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执行国家法律、法规和标准等情况进行检查，由采购人组织验收 。</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其他，合同签订后，乙方根据合同完成第一季度服务，经验收符合标准，，达到付款条件起30个工作日内，支付合同总金额的25.0%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进度款，合同签订后，乙方根据合同完成第二季度服务，经验收符合标准，，达到付款条件起30个工作日内，支付合同总金额的25.0%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进度款，合同签订后，乙方根据合同完成第三季度服务，经验收符合标准，，达到付款条件起30个工作日内，支付合同总金额的25.0%</w:t>
      </w:r>
    </w:p>
    <w:p>
      <w:pPr>
        <w:pStyle w:val="null3"/>
        <w:ind w:firstLine="1200"/>
      </w:pPr>
      <w:r>
        <w:rPr>
          <w:rFonts w:ascii="仿宋_GB2312" w:hAnsi="仿宋_GB2312" w:cs="仿宋_GB2312" w:eastAsia="仿宋_GB2312"/>
        </w:rPr>
        <w:t>4、</w:t>
      </w:r>
      <w:r>
        <w:rPr>
          <w:rFonts w:ascii="仿宋_GB2312" w:hAnsi="仿宋_GB2312" w:cs="仿宋_GB2312" w:eastAsia="仿宋_GB2312"/>
        </w:rPr>
        <w:t>进度款，合同签订后，乙方根据合同完成第四季度服务，经验收符合标准，，达到付款条件起30个工作日内，支付合同总金额的25.0%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(1)、按《中华人民共和国民法典》中的相关条款执行。(2)、未按合同要求提供服务或服务质量不能满足技术要求，采购人有权终止合同，并对供方违约行为进行追究，同时按《招标投标法》的有关规定进行处罚。</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响应文件封面 人员配置清单.docx 商务应答表 服务方案 供应商应提交的相关资格证明材料 服务内容及服务要求应答表 标的清单 报价表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响应主体</w:t>
            </w:r>
          </w:p>
        </w:tc>
        <w:tc>
          <w:tcPr>
            <w:tcW w:type="dxa" w:w="3322"/>
          </w:tcPr>
          <w:p>
            <w:pPr>
              <w:pStyle w:val="null3"/>
            </w:pPr>
            <w:r>
              <w:rPr>
                <w:rFonts w:ascii="仿宋_GB2312" w:hAnsi="仿宋_GB2312" w:cs="仿宋_GB2312" w:eastAsia="仿宋_GB2312"/>
              </w:rPr>
              <w:t>独⽴承担⺠事责任的法⼈或其他组织有效的营业执照（或统⼀社会信⽤代码的营业 执照）等相应证明⽂件，⾃然⼈的提供⾝份证明⽂件；</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供应商提供2024或2025年经审计的财务报告，或⾃公告发布之⽇起⾄响应⽂件截 ⽌时间前其基本存款账⼾开⼾银⾏出具的资信证明，并附基本存款账⼾开⼾许可证 或提供基本存款账号编号；其他组织和⾃然⼈提供银⾏出具的资信证明；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提供开标截⽌时间前半年内任意⼀个⽉的纳税证明或完税证明；依法免税的单位应 提供相关证明材料；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社会保障资⾦缴纳证明</w:t>
            </w:r>
          </w:p>
        </w:tc>
        <w:tc>
          <w:tcPr>
            <w:tcW w:type="dxa" w:w="3322"/>
          </w:tcPr>
          <w:p>
            <w:pPr>
              <w:pStyle w:val="null3"/>
            </w:pPr>
            <w:r>
              <w:rPr>
                <w:rFonts w:ascii="仿宋_GB2312" w:hAnsi="仿宋_GB2312" w:cs="仿宋_GB2312" w:eastAsia="仿宋_GB2312"/>
              </w:rPr>
              <w:t>提供开标截⽌时间前半年内任意⼀个⽉的社保机构开具的社会保险参保缴费情况证 明；依法不需要缴纳社会保障资⾦的单位应提供相关证明材料；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法定代表⼈授权委托书</w:t>
            </w:r>
          </w:p>
        </w:tc>
        <w:tc>
          <w:tcPr>
            <w:tcW w:type="dxa" w:w="3322"/>
          </w:tcPr>
          <w:p>
            <w:pPr>
              <w:pStyle w:val="null3"/>
            </w:pPr>
            <w:r>
              <w:rPr>
                <w:rFonts w:ascii="仿宋_GB2312" w:hAnsi="仿宋_GB2312" w:cs="仿宋_GB2312" w:eastAsia="仿宋_GB2312"/>
              </w:rPr>
              <w:t>法定代表⼈或负责⼈参加投标时，提供本⼈⾝份证，并与营业执照中法定代表⼈或 负责⼈信息相符；授权代表参加投标时，提供授权书和被授权⼈⾝份证；</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信⽤中国</w:t>
            </w:r>
          </w:p>
        </w:tc>
        <w:tc>
          <w:tcPr>
            <w:tcW w:type="dxa" w:w="3322"/>
          </w:tcPr>
          <w:p>
            <w:pPr>
              <w:pStyle w:val="null3"/>
            </w:pPr>
            <w:r>
              <w:rPr>
                <w:rFonts w:ascii="仿宋_GB2312" w:hAnsi="仿宋_GB2312" w:cs="仿宋_GB2312" w:eastAsia="仿宋_GB2312"/>
              </w:rPr>
              <w:t>供应商不得为“信⽤中国”⽹站（www.creditchina.gov.cn）中被列⼊“重⼤税收 违法失信主体”的供应商,不得为“中国执⾏信息公开⽹”⽹站（zxgk.court.gov.cn/ ）中被列⼊“失信被执⾏⼈”的供应商；不得为中国政府采购⽹（www.ccgp.go v.cn）政府采购“严重违法失信⾏为记录名单”中被财政部⻔禁⽌参加政府采购活动 的供应商；</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重⼤违法声明</w:t>
            </w:r>
          </w:p>
        </w:tc>
        <w:tc>
          <w:tcPr>
            <w:tcW w:type="dxa" w:w="3322"/>
          </w:tcPr>
          <w:p>
            <w:pPr>
              <w:pStyle w:val="null3"/>
            </w:pPr>
            <w:r>
              <w:rPr>
                <w:rFonts w:ascii="仿宋_GB2312" w:hAnsi="仿宋_GB2312" w:cs="仿宋_GB2312" w:eastAsia="仿宋_GB2312"/>
              </w:rPr>
              <w:t>供应商参加采购活动近3年内经营活动中没有重⼤违法记录声明，以及未被列⼊失 信被执⾏⼈、重⼤税收违法失信主体、政府采购严重违法失信⾏为记录名单的书⾯声明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⾮联合体</w:t>
            </w:r>
          </w:p>
        </w:tc>
        <w:tc>
          <w:tcPr>
            <w:tcW w:type="dxa" w:w="3322"/>
          </w:tcPr>
          <w:p>
            <w:pPr>
              <w:pStyle w:val="null3"/>
            </w:pPr>
            <w:r>
              <w:rPr>
                <w:rFonts w:ascii="仿宋_GB2312" w:hAnsi="仿宋_GB2312" w:cs="仿宋_GB2312" w:eastAsia="仿宋_GB2312"/>
              </w:rPr>
              <w:t>供应商负责⼈不得为同⼀⼈或者存在控股、管理关系</w:t>
            </w:r>
          </w:p>
        </w:tc>
        <w:tc>
          <w:tcPr>
            <w:tcW w:type="dxa" w:w="1661"/>
          </w:tcPr>
          <w:p>
            <w:pPr>
              <w:pStyle w:val="null3"/>
            </w:pPr>
            <w:r>
              <w:rPr>
                <w:rFonts w:ascii="仿宋_GB2312" w:hAnsi="仿宋_GB2312" w:cs="仿宋_GB2312" w:eastAsia="仿宋_GB2312"/>
              </w:rPr>
              <w:t>服务内容及服务要求应答表</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专业技术能力声明</w:t>
            </w:r>
          </w:p>
        </w:tc>
        <w:tc>
          <w:tcPr>
            <w:tcW w:type="dxa" w:w="3322"/>
          </w:tcPr>
          <w:p>
            <w:pPr>
              <w:pStyle w:val="null3"/>
            </w:pPr>
            <w:r>
              <w:rPr>
                <w:rFonts w:ascii="仿宋_GB2312" w:hAnsi="仿宋_GB2312" w:cs="仿宋_GB2312" w:eastAsia="仿宋_GB2312"/>
              </w:rPr>
              <w:t>提供具有履行本合同所必需的设备和专业技术能力的声明；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特定资质</w:t>
            </w:r>
          </w:p>
        </w:tc>
        <w:tc>
          <w:tcPr>
            <w:tcW w:type="dxa" w:w="3322"/>
          </w:tcPr>
          <w:p>
            <w:pPr>
              <w:pStyle w:val="null3"/>
            </w:pPr>
            <w:r>
              <w:rPr>
                <w:rFonts w:ascii="仿宋_GB2312" w:hAnsi="仿宋_GB2312" w:cs="仿宋_GB2312" w:eastAsia="仿宋_GB2312"/>
              </w:rPr>
              <w:t>供应商需具有公安机关核发的《保安服务许可证》（有效期内），陕西省外投标人还须出具承诺书（ 承诺书形式不限），承诺自承接本项目之日起30日内向采购人所在地设区的市级人民政府公安机关备案。</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响应文件完整性</w:t>
            </w:r>
          </w:p>
        </w:tc>
        <w:tc>
          <w:tcPr>
            <w:tcW w:type="dxa" w:w="3322"/>
          </w:tcPr>
          <w:p>
            <w:pPr>
              <w:pStyle w:val="null3"/>
            </w:pPr>
            <w:r>
              <w:rPr>
                <w:rFonts w:ascii="仿宋_GB2312" w:hAnsi="仿宋_GB2312" w:cs="仿宋_GB2312" w:eastAsia="仿宋_GB2312"/>
              </w:rPr>
              <w:t>响应文件构成无重大缺项（详细评审除外）， 按照文件要求的格式编写响应文件</w:t>
            </w:r>
          </w:p>
        </w:tc>
        <w:tc>
          <w:tcPr>
            <w:tcW w:type="dxa" w:w="1661"/>
          </w:tcPr>
          <w:p>
            <w:pPr>
              <w:pStyle w:val="null3"/>
            </w:pPr>
            <w:r>
              <w:rPr>
                <w:rFonts w:ascii="仿宋_GB2312" w:hAnsi="仿宋_GB2312" w:cs="仿宋_GB2312" w:eastAsia="仿宋_GB2312"/>
              </w:rPr>
              <w:t>响应文件封面 人员配置清单.docx 中小企业声明函 残疾人福利性单位声明函 商务应答表 服务方案 供应商应提交的相关资格证明材料 服务内容及服务要求应答表 标的清单 报价表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响应文件报价</w:t>
            </w:r>
          </w:p>
        </w:tc>
        <w:tc>
          <w:tcPr>
            <w:tcW w:type="dxa" w:w="3322"/>
          </w:tcPr>
          <w:p>
            <w:pPr>
              <w:pStyle w:val="null3"/>
            </w:pPr>
            <w:r>
              <w:rPr>
                <w:rFonts w:ascii="仿宋_GB2312" w:hAnsi="仿宋_GB2312" w:cs="仿宋_GB2312" w:eastAsia="仿宋_GB2312"/>
              </w:rPr>
              <w:t>报价唯一，且没有低于成本价或高于采购预算的</w:t>
            </w:r>
          </w:p>
        </w:tc>
        <w:tc>
          <w:tcPr>
            <w:tcW w:type="dxa" w:w="1661"/>
          </w:tcPr>
          <w:p>
            <w:pPr>
              <w:pStyle w:val="null3"/>
            </w:pPr>
            <w:r>
              <w:rPr>
                <w:rFonts w:ascii="仿宋_GB2312" w:hAnsi="仿宋_GB2312" w:cs="仿宋_GB2312" w:eastAsia="仿宋_GB2312"/>
              </w:rPr>
              <w:t>响应文件封面 人员配置清单.docx 商务应答表 服务方案 供应商应提交的相关资格证明材料 服务内容及服务要求应答表 标的清单 报价表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响应文件有效性</w:t>
            </w:r>
          </w:p>
        </w:tc>
        <w:tc>
          <w:tcPr>
            <w:tcW w:type="dxa" w:w="3322"/>
          </w:tcPr>
          <w:p>
            <w:pPr>
              <w:pStyle w:val="null3"/>
            </w:pPr>
            <w:r>
              <w:rPr>
                <w:rFonts w:ascii="仿宋_GB2312" w:hAnsi="仿宋_GB2312" w:cs="仿宋_GB2312" w:eastAsia="仿宋_GB2312"/>
              </w:rPr>
              <w:t>响应文件的签署、盖章符合文件要求，供应商 递交的响应文件与本项目名称一致</w:t>
            </w:r>
          </w:p>
        </w:tc>
        <w:tc>
          <w:tcPr>
            <w:tcW w:type="dxa" w:w="1661"/>
          </w:tcPr>
          <w:p>
            <w:pPr>
              <w:pStyle w:val="null3"/>
            </w:pPr>
            <w:r>
              <w:rPr>
                <w:rFonts w:ascii="仿宋_GB2312" w:hAnsi="仿宋_GB2312" w:cs="仿宋_GB2312" w:eastAsia="仿宋_GB2312"/>
              </w:rPr>
              <w:t>响应文件封面 人员配置清单.docx 商务应答表 服务方案 供应商应提交的相关资格证明材料 服务内容及服务要求应答表 标的清单 报价表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有效期、授权有效期</w:t>
            </w:r>
          </w:p>
        </w:tc>
        <w:tc>
          <w:tcPr>
            <w:tcW w:type="dxa" w:w="3322"/>
          </w:tcPr>
          <w:p>
            <w:pPr>
              <w:pStyle w:val="null3"/>
            </w:pPr>
            <w:r>
              <w:rPr>
                <w:rFonts w:ascii="仿宋_GB2312" w:hAnsi="仿宋_GB2312" w:cs="仿宋_GB2312" w:eastAsia="仿宋_GB2312"/>
              </w:rPr>
              <w:t>文件递交截止之日起90日历日</w:t>
            </w:r>
          </w:p>
        </w:tc>
        <w:tc>
          <w:tcPr>
            <w:tcW w:type="dxa" w:w="1661"/>
          </w:tcPr>
          <w:p>
            <w:pPr>
              <w:pStyle w:val="null3"/>
            </w:pPr>
            <w:r>
              <w:rPr>
                <w:rFonts w:ascii="仿宋_GB2312" w:hAnsi="仿宋_GB2312" w:cs="仿宋_GB2312" w:eastAsia="仿宋_GB2312"/>
              </w:rPr>
              <w:t>响应文件封面 人员配置清单.docx 商务应答表 服务方案 供应商应提交的相关资格证明材料 服务内容及服务要求应答表 标的清单 报价表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服务期响应性</w:t>
            </w:r>
          </w:p>
        </w:tc>
        <w:tc>
          <w:tcPr>
            <w:tcW w:type="dxa" w:w="3322"/>
          </w:tcPr>
          <w:p>
            <w:pPr>
              <w:pStyle w:val="null3"/>
            </w:pPr>
            <w:r>
              <w:rPr>
                <w:rFonts w:ascii="仿宋_GB2312" w:hAnsi="仿宋_GB2312" w:cs="仿宋_GB2312" w:eastAsia="仿宋_GB2312"/>
              </w:rPr>
              <w:t>服务期限响应文件要求</w:t>
            </w:r>
          </w:p>
        </w:tc>
        <w:tc>
          <w:tcPr>
            <w:tcW w:type="dxa" w:w="1661"/>
          </w:tcPr>
          <w:p>
            <w:pPr>
              <w:pStyle w:val="null3"/>
            </w:pPr>
            <w:r>
              <w:rPr>
                <w:rFonts w:ascii="仿宋_GB2312" w:hAnsi="仿宋_GB2312" w:cs="仿宋_GB2312" w:eastAsia="仿宋_GB2312"/>
              </w:rPr>
              <w:t>响应文件封面 人员配置清单.docx 商务应答表 服务方案 供应商应提交的相关资格证明材料 服务内容及服务要求应答表 标的清单 报价表 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法律、法规和招标文件规定的其他 无效投标情形</w:t>
            </w:r>
          </w:p>
        </w:tc>
        <w:tc>
          <w:tcPr>
            <w:tcW w:type="dxa" w:w="3322"/>
          </w:tcPr>
          <w:p>
            <w:pPr>
              <w:pStyle w:val="null3"/>
            </w:pPr>
            <w:r>
              <w:rPr>
                <w:rFonts w:ascii="仿宋_GB2312" w:hAnsi="仿宋_GB2312" w:cs="仿宋_GB2312" w:eastAsia="仿宋_GB2312"/>
              </w:rPr>
              <w:t>无法律、法规和招标文件规定的其他无效投标 情形</w:t>
            </w:r>
          </w:p>
        </w:tc>
        <w:tc>
          <w:tcPr>
            <w:tcW w:type="dxa" w:w="1661"/>
          </w:tcPr>
          <w:p>
            <w:pPr>
              <w:pStyle w:val="null3"/>
            </w:pPr>
            <w:r>
              <w:rPr>
                <w:rFonts w:ascii="仿宋_GB2312" w:hAnsi="仿宋_GB2312" w:cs="仿宋_GB2312" w:eastAsia="仿宋_GB2312"/>
              </w:rPr>
              <w:t>响应文件封面 人员配置清单.docx 商务应答表 服务方案 供应商应提交的相关资格证明材料 服务内容及服务要求应答表 标的清单 报价表 响应函</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巡查服务方案</w:t>
            </w:r>
          </w:p>
        </w:tc>
        <w:tc>
          <w:tcPr>
            <w:tcW w:type="dxa" w:w="2492"/>
          </w:tcPr>
          <w:p>
            <w:pPr>
              <w:pStyle w:val="null3"/>
            </w:pPr>
            <w:r>
              <w:rPr>
                <w:rFonts w:ascii="仿宋_GB2312" w:hAnsi="仿宋_GB2312" w:cs="仿宋_GB2312" w:eastAsia="仿宋_GB2312"/>
              </w:rPr>
              <w:t>供应商针对本项目提出巡查服务方案，包含但不限于①重点区域专项巡查方案、②全流程隐患闭环巡查方案等，内容完整、详细、合理、可操作性强，符合项目要求。每项满分2分，缺项不得分 , 每项内容存在缺陷，扣1分。缺陷是指内容不合理、虽有内容但 不完善、内容表述前后不一致、套 用其他项目方案或与项目需求不匹 配及其他不利于项目实施的任意一种情形。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人员配置清单.docx</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培训考核方案</w:t>
            </w:r>
          </w:p>
        </w:tc>
        <w:tc>
          <w:tcPr>
            <w:tcW w:type="dxa" w:w="2492"/>
          </w:tcPr>
          <w:p>
            <w:pPr>
              <w:pStyle w:val="null3"/>
            </w:pPr>
            <w:r>
              <w:rPr>
                <w:rFonts w:ascii="仿宋_GB2312" w:hAnsi="仿宋_GB2312" w:cs="仿宋_GB2312" w:eastAsia="仿宋_GB2312"/>
              </w:rPr>
              <w:t>供应商针对本项目培训考核方案，包含但不限于①岗前专项培训考核方案、②在岗技能提升培训考核方案、③应急处置实战培训考核方案等，内容完整、详细、合理、可操作性强，符合项目要求。每项满分2分，缺项不得分 , 每项内容存在缺陷，扣1分。缺陷是指内容不合理、虽有内容但 不完善、内容表述前后不一致、套 用其他项目方案或与项目需求不匹 配及其他不利于项目实施的任意一种情形。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供应商针对本项目应急预案内容，包含但不限于①突发病情应急、②安全意外应急、③应急资源统筹④演练计划安排⑤过往应急处理经验等，内容完整、详细、合理、可操作性强，符合项目要求。每项满分1分，缺项不得分 , 每项内容存在缺陷，扣0.5分。缺陷是指内容不合理、虽有内容但 不完善、内容表述前后不一致、套 用其他项目方案或与项目需求不匹 配及其他不利于项目实施的任意一种情形。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接受监督</w:t>
            </w:r>
          </w:p>
        </w:tc>
        <w:tc>
          <w:tcPr>
            <w:tcW w:type="dxa" w:w="2492"/>
          </w:tcPr>
          <w:p>
            <w:pPr>
              <w:pStyle w:val="null3"/>
            </w:pPr>
            <w:r>
              <w:rPr>
                <w:rFonts w:ascii="仿宋_GB2312" w:hAnsi="仿宋_GB2312" w:cs="仿宋_GB2312" w:eastAsia="仿宋_GB2312"/>
              </w:rPr>
              <w:t>供应商针对本项目接受监督，包括但不限于①全维度监督体系搭建方案、②监督反馈闭环处置方案等内容，内容完整、详细、合理、可操作性强，符合项目要求。每项满分1分，缺项不得分 , 每项内容存在缺陷，扣0.5分。缺陷是指内容不合理、虽有内容但 不完善、内容表述前后不一致、套 用其他项目方案或与项目需求不匹 配及其他不利于项目实施的任意一种情形。</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供应商针对本项目服务方案，内容包括但不限于①对项目的背景和工作目的理解②人员调配、人员分工③实施计划、行程安排、实施细则等。内容完整、详细、合理、可操作性强，符合项目要求。每项满分2分，缺项不得分 , 每项内容存在缺陷，扣1分。缺陷是指内容不合理、虽有内容但 不完善、内容表述前后不一致、套 用其他项目方案或与项目需求不匹 配及其他不利于项目实施的任意一种情形。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门岗出入管理服务方案</w:t>
            </w:r>
          </w:p>
        </w:tc>
        <w:tc>
          <w:tcPr>
            <w:tcW w:type="dxa" w:w="2492"/>
          </w:tcPr>
          <w:p>
            <w:pPr>
              <w:pStyle w:val="null3"/>
            </w:pPr>
            <w:r>
              <w:rPr>
                <w:rFonts w:ascii="仿宋_GB2312" w:hAnsi="仿宋_GB2312" w:cs="仿宋_GB2312" w:eastAsia="仿宋_GB2312"/>
              </w:rPr>
              <w:t>供应商针对本项目门岗出入管理服务方案，内容包括但不限于①人员出入精细化管理方案②车辆出入智能化管控方案③物资出入规范化管控方案④出入应急处置方案等。内容完整、详细、合理、可操作性强，符合项目要求。每项满分1分，缺项不得分 , 每项内容存在缺陷，扣0.5分。缺陷是指内容不合理、虽有内容但 不完善、内容表述前后不一致、套 用其他项目方案或与项目需求不匹 配及其他不利于项目实施的任意一种情形。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秩序维护服务方案</w:t>
            </w:r>
          </w:p>
        </w:tc>
        <w:tc>
          <w:tcPr>
            <w:tcW w:type="dxa" w:w="2492"/>
          </w:tcPr>
          <w:p>
            <w:pPr>
              <w:pStyle w:val="null3"/>
            </w:pPr>
            <w:r>
              <w:rPr>
                <w:rFonts w:ascii="仿宋_GB2312" w:hAnsi="仿宋_GB2312" w:cs="仿宋_GB2312" w:eastAsia="仿宋_GB2312"/>
              </w:rPr>
              <w:t>供应商针对本项目秩序维护服务方案 ，内容包括但不限于①公共区域秩序精细化管控方案、②重点场景秩序专项防控方案，③秩序冲突柔性处置方案等。内容完整、详细、合理、可操作性强，符合项目要求。每项满分1分，缺项不得分 , 每项内容存在缺陷，扣0.5分。缺陷是指内容不合理、虽有内容但 不完善、内容表述前后不一致、套 用其他项目方案或与项目需求不匹 配及其他不利于项目实施的任意一种情形。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档案管理方案</w:t>
            </w:r>
          </w:p>
        </w:tc>
        <w:tc>
          <w:tcPr>
            <w:tcW w:type="dxa" w:w="2492"/>
          </w:tcPr>
          <w:p>
            <w:pPr>
              <w:pStyle w:val="null3"/>
            </w:pPr>
            <w:r>
              <w:rPr>
                <w:rFonts w:ascii="仿宋_GB2312" w:hAnsi="仿宋_GB2312" w:cs="仿宋_GB2312" w:eastAsia="仿宋_GB2312"/>
              </w:rPr>
              <w:t>供应商须根据本项目档案管理等规章制度，内容包括但不限于①档案管理合规性、②档案管理安全性，③档案利用有效性等。内容完整、详细、合理、可操作性强，符合项目要求。每项满分1分，缺项不得分 , 每项内容存在缺陷，扣0.5分。缺陷是指内容不合理、虽有内容但 不完善、内容表述前后不一致、套 用其他项目方案或与项目需求不匹 配及其他不利于项目实施的任意一种情形。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管理制度</w:t>
            </w:r>
          </w:p>
        </w:tc>
        <w:tc>
          <w:tcPr>
            <w:tcW w:type="dxa" w:w="2492"/>
          </w:tcPr>
          <w:p>
            <w:pPr>
              <w:pStyle w:val="null3"/>
            </w:pPr>
            <w:r>
              <w:rPr>
                <w:rFonts w:ascii="仿宋_GB2312" w:hAnsi="仿宋_GB2312" w:cs="仿宋_GB2312" w:eastAsia="仿宋_GB2312"/>
              </w:rPr>
              <w:t>供应商针对本项目有完整的管理制度，内容包括但不限于①员工聘用管理制度②人员培训制度③服务质量检查制度④设施设备安全使用管理制度⑤内控制度及信息反馈制度等。内容完整、详细、合理、可操作性强，符合项目要求。每项满分1分，缺项不得分 , 每项内容存在缺陷，扣0.5分。缺陷是指内容不合理、虽有内容但 不完善、内容表述前后不一致、套 用其他项目方案或与项目需求不匹 配及其他不利于项目实施的任意一种情形。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供应商针对本项目服务承诺，内容包括但不限于①承诺所有上岗人员在上岗前经过专业培训②承诺若出现服务人员因事、病等不能工作的，及时调整其他服务人员补充，确保服务工作的正常进行等。内容完整、详细、合理、可操作性强，符合项目要求。每项满分1分，缺项不得分 , 每项内容存在缺陷，扣0.5分。缺陷是指内容不合理、虽有内容但 不完善、内容表述前后不一致、套 用其他项目方案或与项目需求不匹 配及其他不利于项目实施的任意一种情形。</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供应商针对本项目派出的项目负责人： 1、学历（满分 6 分） 大专学历得 5分，本科及以上学历得6 分，按本人最高学历计分，须提供毕业证书作为佐证材料。 2、类似保安服务业绩（满分 10 分） 具有 1 份有效类似保安服务项目业绩得 2.5分，本项得分上限 10 分；业绩证明材料提供项目合同或项目负责人任命文件均可。 3、退伍军人加分（满分 4 分） 项目负责人持有退伍证，属于退伍军人的得 4 分，非退伍军人不予计分，评审时需提供退伍证书佐证。</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设备配备</w:t>
            </w:r>
          </w:p>
        </w:tc>
        <w:tc>
          <w:tcPr>
            <w:tcW w:type="dxa" w:w="2492"/>
          </w:tcPr>
          <w:p>
            <w:pPr>
              <w:pStyle w:val="null3"/>
            </w:pPr>
            <w:r>
              <w:rPr>
                <w:rFonts w:ascii="仿宋_GB2312" w:hAnsi="仿宋_GB2312" w:cs="仿宋_GB2312" w:eastAsia="仿宋_GB2312"/>
              </w:rPr>
              <w:t>保安设备配置 日常执勤装备（6 分） 需配置对讲机、强光手电、反光执勤背心、警戒带、指挥哨、访客登记用品，共 6 类，每配齐一类得 1 分，满分 6 分。 反恐防暴器材（6 分） 需配置防暴钢叉、防暴盾牌、防刺背心、防割手套、防护头盔，共 5 类；配齐全套得 6 分，缺 1 件扣 2 分，扣完为止。 智能安防管控设备（4 分） 电子巡更设备（2 分）、手持金属探测仪（1 分）、应急扩音喇叭（1 分），配齐对应设备方可得分，缺项不得该项分值。 消防及急救物资（4 分） 同时配备灭火毯、应急照明灯、便民急救箱三类物资得 4 分，缺少任意一类本项不得分。 佐证材料要求：投标文件中须提供加盖公章的设备配置清单或设备采购发票复印件作为证明材料，未提供有效佐证本项不予计分。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人员配置清单.docx</w:t>
            </w:r>
          </w:p>
        </w:tc>
      </w:tr>
      <w:tr>
        <w:tc>
          <w:tcPr>
            <w:tcW w:type="dxa" w:w="831"/>
            <w:vMerge/>
          </w:tcPr>
          <w:p/>
        </w:tc>
        <w:tc>
          <w:tcPr>
            <w:tcW w:type="dxa" w:w="1661"/>
          </w:tcPr>
          <w:p>
            <w:pPr>
              <w:pStyle w:val="null3"/>
            </w:pPr>
            <w:r>
              <w:rPr>
                <w:rFonts w:ascii="仿宋_GB2312" w:hAnsi="仿宋_GB2312" w:cs="仿宋_GB2312" w:eastAsia="仿宋_GB2312"/>
              </w:rPr>
              <w:t>业 绩</w:t>
            </w:r>
          </w:p>
        </w:tc>
        <w:tc>
          <w:tcPr>
            <w:tcW w:type="dxa" w:w="2492"/>
          </w:tcPr>
          <w:p>
            <w:pPr>
              <w:pStyle w:val="null3"/>
            </w:pPr>
            <w:r>
              <w:rPr>
                <w:rFonts w:ascii="仿宋_GB2312" w:hAnsi="仿宋_GB2312" w:cs="仿宋_GB2312" w:eastAsia="仿宋_GB2312"/>
              </w:rPr>
              <w:t>提供供应商近三年内（自投标截止之日起算）至今类似项目业绩，每提供1个有效业绩得2分，满分10分。（附 完整合同复印件并加盖供应商公章，未提供或提供不完整或不清晰均不得分。）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有效投标人的最低报价（落实政府采购政策进行价格调整的，以 调整后的价格计算）为评标基准价得 10 分，其他各投标人的报价 得分按下列公式计算：（评标基准价/投标报价）×10。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详见附件：人员配置清单.docx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