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A1FC2">
      <w:pPr>
        <w:jc w:val="center"/>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sz w:val="44"/>
          <w:szCs w:val="44"/>
        </w:rPr>
        <w:t>2026年碑林区应急成品粮储备合同</w:t>
      </w:r>
    </w:p>
    <w:p w14:paraId="6A514B9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rPr>
          <w:rFonts w:hint="eastAsia" w:ascii="仿宋_GB2312" w:hAnsi="仿宋_GB2312" w:eastAsia="仿宋_GB2312" w:cs="仿宋_GB2312"/>
          <w:color w:val="000000"/>
          <w:sz w:val="32"/>
          <w:szCs w:val="32"/>
        </w:rPr>
      </w:pPr>
    </w:p>
    <w:p w14:paraId="2C0A6B26">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甲方：                    </w:t>
      </w:r>
    </w:p>
    <w:p w14:paraId="711CAD8C">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w:t>
      </w:r>
    </w:p>
    <w:p w14:paraId="07D080E3">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公司地址：</w:t>
      </w:r>
    </w:p>
    <w:p w14:paraId="6B373180">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法定代表人：</w:t>
      </w:r>
    </w:p>
    <w:p w14:paraId="183E47DC">
      <w:pPr>
        <w:keepNext w:val="0"/>
        <w:keepLines w:val="0"/>
        <w:pageBreakBefore w:val="0"/>
        <w:widowControl w:val="0"/>
        <w:kinsoku/>
        <w:wordWrap/>
        <w:overflowPunct/>
        <w:topLinePunct w:val="0"/>
        <w:autoSpaceDE/>
        <w:autoSpaceDN/>
        <w:bidi w:val="0"/>
        <w:adjustRightInd/>
        <w:snapToGrid/>
        <w:spacing w:line="560" w:lineRule="exact"/>
        <w:ind w:right="0" w:rightChars="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联系电话：</w:t>
      </w:r>
      <w:r>
        <w:rPr>
          <w:rFonts w:hint="eastAsia" w:ascii="仿宋_GB2312" w:hAnsi="仿宋_GB2312" w:eastAsia="仿宋_GB2312" w:cs="仿宋_GB2312"/>
          <w:color w:val="000000"/>
          <w:sz w:val="32"/>
          <w:szCs w:val="32"/>
        </w:rPr>
        <w:t xml:space="preserve"> </w:t>
      </w:r>
    </w:p>
    <w:p w14:paraId="437EAA40">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bookmarkStart w:id="0" w:name="_GoBack"/>
      <w:bookmarkEnd w:id="0"/>
    </w:p>
    <w:p w14:paraId="58CD7B12">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依据《中华人民共和国民法典》、《</w:t>
      </w:r>
      <w:r>
        <w:rPr>
          <w:rFonts w:hint="eastAsia" w:ascii="仿宋_GB2312" w:eastAsia="仿宋_GB2312"/>
          <w:sz w:val="32"/>
          <w:szCs w:val="32"/>
          <w:lang w:val="en-US" w:eastAsia="zh-CN"/>
        </w:rPr>
        <w:t>碑林区区级成品储备粮管理规定</w:t>
      </w:r>
      <w:r>
        <w:rPr>
          <w:rFonts w:hint="eastAsia" w:ascii="仿宋_GB2312" w:hAnsi="仿宋_GB2312" w:eastAsia="仿宋_GB2312" w:cs="仿宋_GB2312"/>
          <w:color w:val="000000"/>
          <w:sz w:val="32"/>
          <w:szCs w:val="32"/>
          <w:lang w:val="en-US" w:eastAsia="zh-CN"/>
        </w:rPr>
        <w:t>》的</w:t>
      </w:r>
      <w:r>
        <w:rPr>
          <w:rFonts w:hint="eastAsia" w:ascii="仿宋_GB2312" w:hAnsi="仿宋_GB2312" w:eastAsia="仿宋_GB2312" w:cs="仿宋_GB2312"/>
          <w:color w:val="000000"/>
          <w:sz w:val="32"/>
          <w:szCs w:val="32"/>
        </w:rPr>
        <w:t>规定，甲</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乙</w:t>
      </w:r>
      <w:r>
        <w:rPr>
          <w:rFonts w:hint="eastAsia" w:ascii="仿宋_GB2312" w:hAnsi="仿宋_GB2312" w:eastAsia="仿宋_GB2312" w:cs="仿宋_GB2312"/>
          <w:color w:val="000000"/>
          <w:sz w:val="32"/>
          <w:szCs w:val="32"/>
          <w:lang w:val="en-US" w:eastAsia="zh-CN"/>
        </w:rPr>
        <w:t>双方在平等互利、友好协商的基础上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订立本合同</w:t>
      </w:r>
      <w:r>
        <w:rPr>
          <w:rFonts w:hint="eastAsia" w:ascii="仿宋_GB2312" w:hAnsi="仿宋_GB2312" w:eastAsia="仿宋_GB2312" w:cs="仿宋_GB2312"/>
          <w:color w:val="000000"/>
          <w:sz w:val="32"/>
          <w:szCs w:val="32"/>
        </w:rPr>
        <w:t>：</w:t>
      </w:r>
    </w:p>
    <w:p w14:paraId="2097774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一、</w:t>
      </w:r>
      <w:r>
        <w:rPr>
          <w:rFonts w:hint="eastAsia" w:ascii="黑体" w:hAnsi="黑体" w:eastAsia="黑体" w:cs="黑体"/>
          <w:color w:val="000000"/>
          <w:sz w:val="32"/>
          <w:szCs w:val="32"/>
          <w:lang w:val="en-US" w:eastAsia="zh-CN"/>
        </w:rPr>
        <w:t>代储应急成品储备粮</w:t>
      </w:r>
      <w:r>
        <w:rPr>
          <w:rFonts w:hint="eastAsia" w:ascii="黑体" w:hAnsi="黑体" w:eastAsia="黑体" w:cs="黑体"/>
          <w:color w:val="000000"/>
          <w:sz w:val="32"/>
          <w:szCs w:val="32"/>
        </w:rPr>
        <w:t>的数量、等级、规格</w:t>
      </w:r>
      <w:r>
        <w:rPr>
          <w:rFonts w:hint="eastAsia" w:ascii="黑体" w:hAnsi="黑体" w:eastAsia="黑体" w:cs="黑体"/>
          <w:color w:val="000000"/>
          <w:sz w:val="32"/>
          <w:szCs w:val="32"/>
          <w:lang w:eastAsia="zh-CN"/>
        </w:rPr>
        <w:t>、质量标准、</w:t>
      </w:r>
      <w:r>
        <w:rPr>
          <w:rFonts w:hint="eastAsia" w:ascii="黑体" w:hAnsi="黑体" w:eastAsia="黑体" w:cs="黑体"/>
          <w:color w:val="000000"/>
          <w:sz w:val="32"/>
          <w:szCs w:val="32"/>
          <w:lang w:val="en-US" w:eastAsia="zh-CN"/>
        </w:rPr>
        <w:t>存放方式</w:t>
      </w:r>
    </w:p>
    <w:p w14:paraId="47627CB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rPr>
        <w:t>数量：</w:t>
      </w:r>
    </w:p>
    <w:p w14:paraId="0F6059A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rPr>
        <w:t>等级：</w:t>
      </w:r>
    </w:p>
    <w:p w14:paraId="04733C0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rPr>
        <w:t>规格：</w:t>
      </w:r>
      <w:r>
        <w:rPr>
          <w:rFonts w:hint="default" w:ascii="Times New Roman" w:hAnsi="Times New Roman" w:eastAsia="仿宋_GB2312" w:cs="Times New Roman"/>
          <w:color w:val="000000"/>
          <w:sz w:val="32"/>
          <w:szCs w:val="32"/>
          <w:lang w:val="en-US" w:eastAsia="zh-CN"/>
        </w:rPr>
        <w:t>以</w:t>
      </w:r>
      <w:r>
        <w:rPr>
          <w:rFonts w:hint="default" w:ascii="Times New Roman" w:hAnsi="Times New Roman" w:eastAsia="仿宋_GB2312" w:cs="Times New Roman"/>
          <w:color w:val="000000"/>
          <w:sz w:val="32"/>
          <w:szCs w:val="32"/>
        </w:rPr>
        <w:t>25</w:t>
      </w:r>
      <w:r>
        <w:rPr>
          <w:rFonts w:hint="default" w:ascii="Times New Roman" w:hAnsi="Times New Roman" w:eastAsia="仿宋_GB2312" w:cs="Times New Roman"/>
          <w:color w:val="000000"/>
          <w:sz w:val="32"/>
          <w:szCs w:val="32"/>
          <w:lang w:val="en-US" w:eastAsia="zh-CN"/>
        </w:rPr>
        <w:t>kg包装为主，10kg、5kg为辅的比例进行搭配。</w:t>
      </w:r>
    </w:p>
    <w:p w14:paraId="053BAB9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rPr>
        <w:t>4</w:t>
      </w:r>
      <w:r>
        <w:rPr>
          <w:rFonts w:hint="default" w:ascii="Times New Roman" w:hAnsi="Times New Roman" w:eastAsia="仿宋_GB2312" w:cs="Times New Roman"/>
          <w:color w:val="000000"/>
          <w:sz w:val="32"/>
          <w:szCs w:val="32"/>
          <w:lang w:val="en-US" w:eastAsia="zh-CN"/>
        </w:rPr>
        <w:t>.</w:t>
      </w:r>
      <w:r>
        <w:rPr>
          <w:rFonts w:hint="eastAsia" w:eastAsia="仿宋_GB2312" w:cs="Times New Roman"/>
          <w:color w:val="000000"/>
          <w:sz w:val="32"/>
          <w:szCs w:val="32"/>
          <w:lang w:val="en-US" w:eastAsia="zh-CN"/>
        </w:rPr>
        <w:t>服务</w:t>
      </w:r>
      <w:r>
        <w:rPr>
          <w:rFonts w:hint="default" w:ascii="Times New Roman" w:hAnsi="Times New Roman" w:eastAsia="仿宋_GB2312" w:cs="Times New Roman"/>
          <w:color w:val="000000"/>
          <w:sz w:val="32"/>
          <w:szCs w:val="32"/>
        </w:rPr>
        <w:t>质量标准：</w:t>
      </w:r>
      <w:r>
        <w:rPr>
          <w:rFonts w:hint="eastAsia" w:eastAsia="仿宋_GB2312" w:cs="Times New Roman"/>
          <w:color w:val="000000"/>
          <w:sz w:val="32"/>
          <w:szCs w:val="32"/>
          <w:lang w:val="en-US" w:eastAsia="zh-CN"/>
        </w:rPr>
        <w:t>合格</w:t>
      </w:r>
      <w:r>
        <w:rPr>
          <w:rFonts w:hint="default" w:ascii="Times New Roman" w:hAnsi="Times New Roman" w:eastAsia="仿宋_GB2312" w:cs="Times New Roman"/>
          <w:color w:val="000000"/>
          <w:sz w:val="32"/>
          <w:szCs w:val="32"/>
        </w:rPr>
        <w:t>。</w:t>
      </w:r>
    </w:p>
    <w:p w14:paraId="48F0EFA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5.存放方式：按照成品</w:t>
      </w:r>
      <w:r>
        <w:rPr>
          <w:rFonts w:hint="default" w:ascii="Times New Roman" w:hAnsi="Times New Roman" w:eastAsia="仿宋_GB2312" w:cs="Times New Roman"/>
          <w:color w:val="000000"/>
          <w:sz w:val="32"/>
          <w:szCs w:val="32"/>
        </w:rPr>
        <w:t>粮</w:t>
      </w:r>
      <w:r>
        <w:rPr>
          <w:rFonts w:hint="default" w:ascii="Times New Roman" w:hAnsi="Times New Roman" w:eastAsia="仿宋_GB2312" w:cs="Times New Roman"/>
          <w:color w:val="000000"/>
          <w:sz w:val="32"/>
          <w:szCs w:val="32"/>
          <w:lang w:val="en-US" w:eastAsia="zh-CN"/>
        </w:rPr>
        <w:t>袋装堆垛存放</w:t>
      </w:r>
      <w:r>
        <w:rPr>
          <w:rFonts w:hint="default" w:ascii="Times New Roman" w:hAnsi="Times New Roman" w:eastAsia="仿宋_GB2312" w:cs="Times New Roman"/>
          <w:color w:val="000000"/>
          <w:sz w:val="32"/>
          <w:szCs w:val="32"/>
        </w:rPr>
        <w:t>于乙方</w:t>
      </w:r>
      <w:r>
        <w:rPr>
          <w:rFonts w:hint="default" w:ascii="Times New Roman" w:hAnsi="Times New Roman" w:eastAsia="仿宋_GB2312" w:cs="Times New Roman"/>
          <w:color w:val="000000"/>
          <w:sz w:val="32"/>
          <w:szCs w:val="32"/>
          <w:lang w:val="en-US" w:eastAsia="zh-CN"/>
        </w:rPr>
        <w:t>库</w:t>
      </w:r>
      <w:r>
        <w:rPr>
          <w:rFonts w:hint="default" w:ascii="Times New Roman" w:hAnsi="Times New Roman" w:eastAsia="仿宋_GB2312" w:cs="Times New Roman"/>
          <w:color w:val="000000"/>
          <w:sz w:val="32"/>
          <w:szCs w:val="32"/>
        </w:rPr>
        <w:t>内。</w:t>
      </w:r>
    </w:p>
    <w:p w14:paraId="453A153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color w:val="000000"/>
          <w:sz w:val="32"/>
          <w:szCs w:val="32"/>
          <w:lang w:eastAsia="zh-CN"/>
        </w:rPr>
      </w:pPr>
      <w:r>
        <w:rPr>
          <w:rFonts w:hint="eastAsia" w:ascii="黑体" w:hAnsi="黑体" w:eastAsia="黑体" w:cs="黑体"/>
          <w:color w:val="000000"/>
          <w:sz w:val="32"/>
          <w:szCs w:val="32"/>
        </w:rPr>
        <w:t>二、区级应急成品储备粮粮权归属及库存成本资金的确定</w:t>
      </w:r>
    </w:p>
    <w:p w14:paraId="1C7D753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区级应急成品储备粮粮权归碑林区人民政府所有，生产应急成品储备粮所需资金由</w:t>
      </w:r>
      <w:r>
        <w:rPr>
          <w:rFonts w:hint="eastAsia" w:ascii="仿宋_GB2312" w:hAnsi="仿宋_GB2312" w:eastAsia="仿宋_GB2312" w:cs="仿宋_GB2312"/>
          <w:color w:val="auto"/>
          <w:sz w:val="32"/>
          <w:szCs w:val="32"/>
          <w:highlight w:val="none"/>
          <w:lang w:val="en-US" w:eastAsia="zh-CN"/>
        </w:rPr>
        <w:t>乙方</w:t>
      </w:r>
      <w:r>
        <w:rPr>
          <w:rFonts w:hint="eastAsia" w:ascii="仿宋_GB2312" w:hAnsi="仿宋_GB2312" w:eastAsia="仿宋_GB2312" w:cs="仿宋_GB2312"/>
          <w:sz w:val="32"/>
          <w:szCs w:val="32"/>
        </w:rPr>
        <w:t>自筹解决。</w:t>
      </w:r>
      <w:r>
        <w:rPr>
          <w:rFonts w:hint="eastAsia" w:ascii="仿宋_GB2312" w:hAnsi="仿宋_GB2312" w:eastAsia="仿宋_GB2312" w:cs="仿宋_GB2312"/>
          <w:color w:val="auto"/>
          <w:sz w:val="32"/>
          <w:szCs w:val="32"/>
          <w:highlight w:val="none"/>
          <w:lang w:val="en-US" w:eastAsia="zh-CN"/>
        </w:rPr>
        <w:t>合同期限届满后，本合同约定的储备粮由乙方自行处置。</w:t>
      </w:r>
    </w:p>
    <w:p w14:paraId="623918F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color w:val="000000"/>
          <w:sz w:val="32"/>
          <w:szCs w:val="32"/>
          <w:highlight w:val="none"/>
        </w:rPr>
      </w:pPr>
      <w:r>
        <w:rPr>
          <w:rFonts w:hint="eastAsia" w:ascii="黑体" w:hAnsi="黑体" w:eastAsia="黑体" w:cs="黑体"/>
          <w:color w:val="000000"/>
          <w:sz w:val="32"/>
          <w:szCs w:val="32"/>
          <w:highlight w:val="none"/>
          <w:lang w:val="en-US" w:eastAsia="zh-CN"/>
        </w:rPr>
        <w:t>三</w:t>
      </w:r>
      <w:r>
        <w:rPr>
          <w:rFonts w:hint="eastAsia" w:ascii="黑体" w:hAnsi="黑体" w:eastAsia="黑体" w:cs="黑体"/>
          <w:color w:val="000000"/>
          <w:sz w:val="32"/>
          <w:szCs w:val="32"/>
          <w:highlight w:val="none"/>
        </w:rPr>
        <w:t>、保管及轮换费</w:t>
      </w:r>
      <w:r>
        <w:rPr>
          <w:rFonts w:hint="eastAsia" w:ascii="黑体" w:hAnsi="黑体" w:eastAsia="黑体" w:cs="黑体"/>
          <w:color w:val="000000"/>
          <w:sz w:val="32"/>
          <w:szCs w:val="32"/>
          <w:highlight w:val="none"/>
          <w:lang w:eastAsia="zh-CN"/>
        </w:rPr>
        <w:t>用</w:t>
      </w:r>
      <w:r>
        <w:rPr>
          <w:rFonts w:hint="eastAsia" w:ascii="黑体" w:hAnsi="黑体" w:eastAsia="黑体" w:cs="黑体"/>
          <w:color w:val="000000"/>
          <w:sz w:val="32"/>
          <w:szCs w:val="32"/>
          <w:highlight w:val="none"/>
        </w:rPr>
        <w:t>拨付办法及时间</w:t>
      </w:r>
    </w:p>
    <w:p w14:paraId="705A4BF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一</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区级应急成品储备粮</w:t>
      </w:r>
      <w:r>
        <w:rPr>
          <w:rFonts w:hint="eastAsia" w:ascii="Times New Roman" w:hAnsi="Times New Roman" w:eastAsia="仿宋_GB2312" w:cs="Times New Roman"/>
          <w:sz w:val="32"/>
          <w:szCs w:val="32"/>
          <w:lang w:val="en-US" w:eastAsia="zh-CN"/>
        </w:rPr>
        <w:t>总</w:t>
      </w:r>
      <w:r>
        <w:rPr>
          <w:rFonts w:hint="default" w:ascii="Times New Roman" w:hAnsi="Times New Roman" w:eastAsia="仿宋_GB2312" w:cs="Times New Roman"/>
          <w:sz w:val="32"/>
          <w:szCs w:val="32"/>
        </w:rPr>
        <w:t>费用为：</w:t>
      </w:r>
    </w:p>
    <w:p w14:paraId="6F1AEE76">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区级应急成品储备粮费用拨付方式：从合同生效之日起计算，</w:t>
      </w:r>
      <w:r>
        <w:rPr>
          <w:rFonts w:hint="default" w:ascii="Times New Roman" w:hAnsi="Times New Roman" w:eastAsia="仿宋_GB2312" w:cs="Times New Roman"/>
          <w:color w:val="auto"/>
          <w:sz w:val="32"/>
          <w:szCs w:val="32"/>
          <w:highlight w:val="none"/>
        </w:rPr>
        <w:t>每半年支付一次</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sz w:val="32"/>
          <w:szCs w:val="32"/>
        </w:rPr>
        <w:t>每次支付</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万元。</w:t>
      </w:r>
    </w:p>
    <w:p w14:paraId="3CFA83E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 w:hAnsi="仿宋" w:eastAsia="仿宋" w:cs="仿宋"/>
          <w:color w:val="auto"/>
          <w:sz w:val="32"/>
          <w:szCs w:val="32"/>
          <w:highlight w:val="yellow"/>
          <w:lang w:val="en-US" w:eastAsia="zh-CN"/>
        </w:rPr>
      </w:pPr>
      <w:r>
        <w:rPr>
          <w:rFonts w:hint="default" w:ascii="Times New Roman" w:hAnsi="Times New Roman" w:eastAsia="仿宋_GB2312" w:cs="Times New Roman"/>
          <w:color w:val="auto"/>
          <w:sz w:val="32"/>
          <w:szCs w:val="32"/>
          <w:highlight w:val="none"/>
          <w:lang w:val="en-US" w:eastAsia="zh-CN"/>
        </w:rPr>
        <w:t>以上费用，乙方需提供相应单据材料，如无法提供，甲方有权按相应计算方式及比例扣除</w:t>
      </w:r>
      <w:r>
        <w:rPr>
          <w:rFonts w:hint="eastAsia" w:ascii="Times New Roman" w:hAnsi="Times New Roman" w:eastAsia="仿宋_GB2312" w:cs="Times New Roman"/>
          <w:color w:val="auto"/>
          <w:sz w:val="32"/>
          <w:szCs w:val="32"/>
          <w:highlight w:val="none"/>
          <w:lang w:val="en-US" w:eastAsia="zh-CN"/>
        </w:rPr>
        <w:t>。</w:t>
      </w:r>
    </w:p>
    <w:p w14:paraId="2CE2D9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四、甲、乙双方职责。</w:t>
      </w:r>
    </w:p>
    <w:p w14:paraId="46C184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甲方职责：</w:t>
      </w:r>
    </w:p>
    <w:p w14:paraId="615829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实际管理工作按照《</w:t>
      </w:r>
      <w:r>
        <w:rPr>
          <w:rFonts w:hint="eastAsia" w:ascii="Times New Roman" w:hAnsi="Times New Roman" w:eastAsia="仿宋_GB2312"/>
          <w:sz w:val="32"/>
          <w:szCs w:val="32"/>
        </w:rPr>
        <w:t>碑林区区级成品储备粮管理规定</w:t>
      </w:r>
      <w:r>
        <w:rPr>
          <w:rFonts w:ascii="Times New Roman" w:hAnsi="Times New Roman" w:eastAsia="仿宋_GB2312"/>
          <w:sz w:val="32"/>
          <w:szCs w:val="32"/>
        </w:rPr>
        <w:t>》（碑发改发〔202</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w:t>
      </w:r>
      <w:r>
        <w:rPr>
          <w:rFonts w:hint="eastAsia" w:ascii="Times New Roman" w:hAnsi="Times New Roman" w:eastAsia="仿宋_GB2312"/>
          <w:sz w:val="32"/>
          <w:szCs w:val="32"/>
          <w:lang w:val="en-US" w:eastAsia="zh-CN"/>
        </w:rPr>
        <w:t>1</w:t>
      </w:r>
      <w:r>
        <w:rPr>
          <w:rFonts w:ascii="Times New Roman" w:hAnsi="Times New Roman" w:eastAsia="仿宋_GB2312"/>
          <w:sz w:val="32"/>
          <w:szCs w:val="32"/>
        </w:rPr>
        <w:t>号）有关规定执行并做到：</w:t>
      </w:r>
    </w:p>
    <w:p w14:paraId="5854E5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1.按规范抓好区级应急成品储备粮的保管工作，对乙方在承储的区级应急成品储备粮精细化管理业务方面进行检查指导。</w:t>
      </w:r>
    </w:p>
    <w:p w14:paraId="540DA2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2.做好费用拨付和存储情况经常性检查，定期检查每年不少于</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次。对乙方在应急成品储备粮的入库、轮换出库等环节进行监督检查，对影响储存安全的隐患，督促乙方采取有效措施及时处置。</w:t>
      </w:r>
    </w:p>
    <w:p w14:paraId="2D7D17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乙方职责：</w:t>
      </w:r>
    </w:p>
    <w:p w14:paraId="76CD7C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乙方应具备应急成品储备粮承储资格，按照《粮油仓储管理办法》、《储粮技术规范》等要求，进行规范化管理：</w:t>
      </w:r>
    </w:p>
    <w:p w14:paraId="791832A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kern w:val="2"/>
          <w:sz w:val="32"/>
          <w:szCs w:val="32"/>
          <w:lang w:val="en-US" w:eastAsia="zh-CN" w:bidi="ar-SA"/>
        </w:rPr>
        <w:t>1.</w:t>
      </w:r>
      <w:r>
        <w:rPr>
          <w:rFonts w:ascii="Times New Roman" w:hAnsi="Times New Roman" w:eastAsia="仿宋_GB2312"/>
          <w:sz w:val="32"/>
          <w:szCs w:val="32"/>
        </w:rPr>
        <w:t>区级应急成品储备粮应急调出或甲方需要调出时，乙方必须无条件配合调出，保证调出的应急成品储备粮质量符合国家标准以及数量充足，并确保动用时调得出、出得快、用得上。</w:t>
      </w:r>
    </w:p>
    <w:p w14:paraId="0D1C768E">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pPr>
      <w:r>
        <w:rPr>
          <w:rFonts w:hint="eastAsia" w:ascii="Times New Roman" w:hAnsi="Times New Roman" w:eastAsia="仿宋_GB2312" w:cs="Times New Roman"/>
          <w:sz w:val="32"/>
          <w:szCs w:val="32"/>
          <w:lang w:val="en-US" w:eastAsia="zh-CN"/>
        </w:rPr>
        <w:t>运输、配送区级成品储备粮应严格执行防止污染相关规定。</w:t>
      </w:r>
    </w:p>
    <w:p w14:paraId="04C673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2.存放应急</w:t>
      </w:r>
      <w:r>
        <w:rPr>
          <w:rFonts w:ascii="Times New Roman" w:hAnsi="Times New Roman" w:eastAsia="仿宋_GB2312"/>
          <w:color w:val="000000"/>
          <w:sz w:val="32"/>
          <w:szCs w:val="32"/>
        </w:rPr>
        <w:t>成品储备粮</w:t>
      </w:r>
      <w:r>
        <w:rPr>
          <w:rFonts w:ascii="Times New Roman" w:hAnsi="Times New Roman" w:eastAsia="仿宋_GB2312"/>
          <w:sz w:val="32"/>
          <w:szCs w:val="32"/>
        </w:rPr>
        <w:t>的仓库必须完好、干净、整洁，具有隔热、防潮、通风性能。不准使用禁止的化学药剂对空仓或应急</w:t>
      </w:r>
      <w:r>
        <w:rPr>
          <w:rFonts w:ascii="Times New Roman" w:hAnsi="Times New Roman" w:eastAsia="仿宋_GB2312"/>
          <w:color w:val="000000"/>
          <w:sz w:val="32"/>
          <w:szCs w:val="32"/>
        </w:rPr>
        <w:t>成品储备粮</w:t>
      </w:r>
      <w:r>
        <w:rPr>
          <w:rFonts w:ascii="Times New Roman" w:hAnsi="Times New Roman" w:eastAsia="仿宋_GB2312"/>
          <w:sz w:val="32"/>
          <w:szCs w:val="32"/>
        </w:rPr>
        <w:t>进行处理。建立健全防火、防盗、防洪等安全管理制度，并健全配备必要的安全防护设施和措施。</w:t>
      </w:r>
    </w:p>
    <w:p w14:paraId="782662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3.乙方须建立健全应急</w:t>
      </w:r>
      <w:r>
        <w:rPr>
          <w:rFonts w:ascii="Times New Roman" w:hAnsi="Times New Roman" w:eastAsia="仿宋_GB2312"/>
          <w:color w:val="000000"/>
          <w:sz w:val="32"/>
          <w:szCs w:val="32"/>
        </w:rPr>
        <w:t>成品储备粮</w:t>
      </w:r>
      <w:r>
        <w:rPr>
          <w:rFonts w:ascii="Times New Roman" w:hAnsi="Times New Roman" w:eastAsia="仿宋_GB2312"/>
          <w:sz w:val="32"/>
          <w:szCs w:val="32"/>
        </w:rPr>
        <w:t>的出入库质量检验制度和质量档案管理制度，对不符合国家标准质量等级的不得入库。应急</w:t>
      </w:r>
      <w:r>
        <w:rPr>
          <w:rFonts w:ascii="Times New Roman" w:hAnsi="Times New Roman" w:eastAsia="仿宋_GB2312"/>
          <w:color w:val="000000"/>
          <w:sz w:val="32"/>
          <w:szCs w:val="32"/>
        </w:rPr>
        <w:t>成品储备粮</w:t>
      </w:r>
      <w:r>
        <w:rPr>
          <w:rFonts w:ascii="Times New Roman" w:hAnsi="Times New Roman" w:eastAsia="仿宋_GB2312"/>
          <w:sz w:val="32"/>
          <w:szCs w:val="32"/>
        </w:rPr>
        <w:t>的出入库须计量准确，手续完备，账目清楚，符合政策规定。</w:t>
      </w:r>
    </w:p>
    <w:p w14:paraId="160D48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应急成品储备粮实行专仓存放。储存应急成品储备粮的仓房必须悬挂专牌，仓内分垛储存，在醒目位置设置专用垛卡。储存仓号一经落实，乙方不得随意变更。如需变更的，必须报经甲方同意。应急成品储备粮实行专人保管，乙方要对应急成品储备粮的储存安全负责，定期进行检查，分析粮情，做好粮情检测记录，发现问题及时处理。</w:t>
      </w:r>
    </w:p>
    <w:p w14:paraId="37954E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5.乙方须按照有关统计、财务和保管制度的要求，建立健全管理账簿、台账，并定期进行检查，做到账目齐全、装订规范、内容真实、账账相符、账实相符。</w:t>
      </w:r>
    </w:p>
    <w:p w14:paraId="0036B2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6.应急</w:t>
      </w:r>
      <w:r>
        <w:rPr>
          <w:rFonts w:ascii="Times New Roman" w:hAnsi="Times New Roman" w:eastAsia="仿宋_GB2312"/>
          <w:color w:val="000000"/>
          <w:sz w:val="32"/>
          <w:szCs w:val="32"/>
        </w:rPr>
        <w:t>成品储备粮</w:t>
      </w:r>
      <w:r>
        <w:rPr>
          <w:rFonts w:ascii="Times New Roman" w:hAnsi="Times New Roman" w:eastAsia="仿宋_GB2312"/>
          <w:sz w:val="32"/>
          <w:szCs w:val="32"/>
        </w:rPr>
        <w:t>采取仓内包装储存，须做到码垛整齐，垛型统一，数字准确，包装完整。应急成品储备粮的包装物标识必须符合国家食品包装、标签标准和有关规定，注明等级、净含量、执行标准、生产日期和保质期等。各项标签必须清晰、齐全、准确。</w:t>
      </w:r>
    </w:p>
    <w:p w14:paraId="4B5FF7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7.乙方必须配备有专职人员负责应急</w:t>
      </w:r>
      <w:r>
        <w:rPr>
          <w:rFonts w:ascii="Times New Roman" w:hAnsi="Times New Roman" w:eastAsia="仿宋_GB2312"/>
          <w:color w:val="000000"/>
          <w:sz w:val="32"/>
          <w:szCs w:val="32"/>
        </w:rPr>
        <w:t>成品储备粮</w:t>
      </w:r>
      <w:r>
        <w:rPr>
          <w:rFonts w:ascii="Times New Roman" w:hAnsi="Times New Roman" w:eastAsia="仿宋_GB2312"/>
          <w:sz w:val="32"/>
          <w:szCs w:val="32"/>
        </w:rPr>
        <w:t>的安全保管。从事保管、检验、防治的管理技术人员必须经过专业培训，持有相应的从业资格证书。严格做好应急成品储备粮的品质检测工作。</w:t>
      </w:r>
    </w:p>
    <w:p w14:paraId="01AFC49F">
      <w:pPr>
        <w:pStyle w:val="2"/>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Times New Roman" w:hAnsi="Times New Roman" w:eastAsia="仿宋_GB2312"/>
          <w:sz w:val="32"/>
          <w:szCs w:val="32"/>
        </w:rPr>
      </w:pPr>
      <w:r>
        <w:rPr>
          <w:rFonts w:ascii="Times New Roman" w:hAnsi="Times New Roman" w:eastAsia="仿宋_GB2312"/>
          <w:sz w:val="32"/>
          <w:szCs w:val="32"/>
        </w:rPr>
        <w:t>8.乙方对代储粮食的轮换必须保证数量、质量和安全，</w:t>
      </w:r>
      <w:r>
        <w:rPr>
          <w:rFonts w:hint="eastAsia" w:ascii="Times New Roman" w:hAnsi="Times New Roman" w:eastAsia="仿宋_GB2312" w:cs="Times New Roman"/>
          <w:sz w:val="32"/>
          <w:szCs w:val="32"/>
          <w:lang w:val="en-US" w:eastAsia="zh-CN"/>
        </w:rPr>
        <w:t>保持规模、保证质量、先入先出、均衡有序”的原则，在保质期内自主开展区级成品储备粮轮换工作。每年高温时段（6-8月）库存数量不低于承储计划数量的80%，其余月份库存数量任何时点须足额达到承储计划数量。</w:t>
      </w:r>
      <w:r>
        <w:rPr>
          <w:rFonts w:ascii="Times New Roman" w:hAnsi="Times New Roman" w:eastAsia="仿宋_GB2312"/>
          <w:sz w:val="32"/>
          <w:szCs w:val="32"/>
        </w:rPr>
        <w:t>在轮换周期内，乙方自行确定轮换时间，轮换中自主经营，自负盈亏，不得因轮换和其他原因造成代储粮食库存架空、空库、亏库。乙方须按照统计制度的规定及时向甲方报送代储备粮食的有关轮换统计报表。</w:t>
      </w:r>
    </w:p>
    <w:p w14:paraId="65CF105D">
      <w:pPr>
        <w:pStyle w:val="2"/>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 w:hAnsi="仿宋" w:eastAsia="仿宋" w:cs="仿宋"/>
          <w:color w:val="000000"/>
          <w:sz w:val="32"/>
          <w:szCs w:val="32"/>
        </w:rPr>
      </w:pPr>
      <w:r>
        <w:rPr>
          <w:rFonts w:ascii="Times New Roman" w:hAnsi="Times New Roman" w:eastAsia="仿宋_GB2312"/>
          <w:color w:val="000000"/>
          <w:sz w:val="32"/>
          <w:szCs w:val="32"/>
        </w:rPr>
        <w:t>9.积极配合甲方监督检查人员及上级有关部门依法履行职责。</w:t>
      </w:r>
    </w:p>
    <w:p w14:paraId="669267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color w:val="000000"/>
          <w:sz w:val="32"/>
          <w:szCs w:val="32"/>
        </w:rPr>
        <w:t>五、</w:t>
      </w:r>
      <w:r>
        <w:rPr>
          <w:rFonts w:hint="eastAsia" w:ascii="黑体" w:hAnsi="黑体" w:eastAsia="黑体" w:cs="黑体"/>
          <w:sz w:val="32"/>
          <w:szCs w:val="32"/>
        </w:rPr>
        <w:t>违约责任</w:t>
      </w:r>
    </w:p>
    <w:p w14:paraId="007BF2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在合同履行期间，任何一方违反本合同的约定，视为违约。违约方应按合同总金额的20%支付对方违约金，并赔偿对方因违约而造成的实际损失。</w:t>
      </w:r>
    </w:p>
    <w:p w14:paraId="56020D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w:t>
      </w:r>
      <w:r>
        <w:rPr>
          <w:rFonts w:hint="eastAsia" w:ascii="黑体" w:hAnsi="黑体" w:eastAsia="黑体" w:cs="黑体"/>
          <w:color w:val="000000"/>
          <w:sz w:val="32"/>
          <w:szCs w:val="32"/>
        </w:rPr>
        <w:t>合同的生效、变更、解除与终止。</w:t>
      </w:r>
    </w:p>
    <w:p w14:paraId="76A310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1.本合同经甲、乙双方法定代表人签字、加盖单位公章后生效。</w:t>
      </w:r>
    </w:p>
    <w:p w14:paraId="1E06B4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合同生效期间，如一方出现严重违反《碑林区区级应急成品储备粮管理规定》情形时，另一方有权要求变更或解除合同；其他除发生不可抗力或区政府要求动用本级储备粮的情形外，任何一方不得无故变更和解除合同。</w:t>
      </w:r>
    </w:p>
    <w:p w14:paraId="789B4B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olor w:val="000000"/>
          <w:sz w:val="32"/>
          <w:szCs w:val="32"/>
        </w:rPr>
      </w:pPr>
      <w:r>
        <w:rPr>
          <w:rFonts w:ascii="Times New Roman" w:hAnsi="Times New Roman" w:eastAsia="仿宋_GB2312"/>
          <w:color w:val="000000"/>
          <w:sz w:val="32"/>
          <w:szCs w:val="32"/>
        </w:rPr>
        <w:t>3.对无故变更或解除合同一方，按照《</w:t>
      </w:r>
      <w:r>
        <w:rPr>
          <w:rFonts w:hint="eastAsia" w:ascii="Times New Roman" w:hAnsi="Times New Roman" w:eastAsia="仿宋_GB2312"/>
          <w:color w:val="000000"/>
          <w:sz w:val="32"/>
          <w:szCs w:val="32"/>
          <w:lang w:eastAsia="zh-CN"/>
        </w:rPr>
        <w:t>民法典</w:t>
      </w:r>
      <w:r>
        <w:rPr>
          <w:rFonts w:ascii="Times New Roman" w:hAnsi="Times New Roman" w:eastAsia="仿宋_GB2312"/>
          <w:color w:val="000000"/>
          <w:sz w:val="32"/>
          <w:szCs w:val="32"/>
        </w:rPr>
        <w:t>》有关条款，承担经济赔偿并负相应法律责任。</w:t>
      </w:r>
    </w:p>
    <w:p w14:paraId="57828B61">
      <w:pPr>
        <w:pStyle w:val="2"/>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Times New Roman" w:hAnsi="Times New Roman" w:eastAsia="仿宋_GB2312"/>
          <w:sz w:val="32"/>
          <w:szCs w:val="32"/>
        </w:rPr>
      </w:pPr>
      <w:r>
        <w:rPr>
          <w:rFonts w:ascii="Times New Roman" w:hAnsi="Times New Roman" w:eastAsia="仿宋_GB2312"/>
          <w:color w:val="000000"/>
          <w:sz w:val="32"/>
          <w:szCs w:val="32"/>
        </w:rPr>
        <w:t>4.区级应急成品储备粮数量发生变动或有关应急成品储备粮的政策有重大调整影响合同价格及履行时，经双方友好协商，须重新签订合同或签订补充合同。</w:t>
      </w:r>
    </w:p>
    <w:p w14:paraId="4DC7E2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olor w:val="auto"/>
          <w:sz w:val="32"/>
          <w:szCs w:val="32"/>
          <w:lang w:val="en-US" w:eastAsia="zh-CN"/>
        </w:rPr>
      </w:pPr>
      <w:r>
        <w:rPr>
          <w:rFonts w:ascii="Times New Roman" w:hAnsi="Times New Roman" w:eastAsia="仿宋_GB2312"/>
          <w:color w:val="000000"/>
          <w:sz w:val="32"/>
          <w:szCs w:val="32"/>
        </w:rPr>
        <w:t>5.</w:t>
      </w:r>
      <w:r>
        <w:rPr>
          <w:rFonts w:hint="eastAsia" w:ascii="Times New Roman" w:hAnsi="Times New Roman" w:eastAsia="仿宋_GB2312"/>
          <w:color w:val="auto"/>
          <w:sz w:val="32"/>
          <w:szCs w:val="32"/>
          <w:lang w:val="en-US" w:eastAsia="zh-CN"/>
        </w:rPr>
        <w:t>乙方</w:t>
      </w:r>
      <w:r>
        <w:rPr>
          <w:rFonts w:ascii="Times New Roman" w:hAnsi="Times New Roman" w:eastAsia="仿宋_GB2312"/>
          <w:color w:val="auto"/>
          <w:sz w:val="32"/>
          <w:szCs w:val="32"/>
        </w:rPr>
        <w:t>出现下列情况</w:t>
      </w:r>
      <w:r>
        <w:rPr>
          <w:rFonts w:hint="eastAsia" w:ascii="Times New Roman" w:hAnsi="Times New Roman" w:eastAsia="仿宋_GB2312"/>
          <w:color w:val="auto"/>
          <w:sz w:val="32"/>
          <w:szCs w:val="32"/>
          <w:lang w:val="en-US" w:eastAsia="zh-CN"/>
        </w:rPr>
        <w:t>中任何一种，甲方有权终止</w:t>
      </w:r>
      <w:r>
        <w:rPr>
          <w:rFonts w:ascii="Times New Roman" w:hAnsi="Times New Roman" w:eastAsia="仿宋_GB2312"/>
          <w:color w:val="auto"/>
          <w:sz w:val="32"/>
          <w:szCs w:val="32"/>
        </w:rPr>
        <w:t>合同：（1）擅自空库、亏库；（2）不按期轮换或轮入不合格</w:t>
      </w:r>
      <w:r>
        <w:rPr>
          <w:rFonts w:hint="eastAsia" w:ascii="Times New Roman" w:hAnsi="Times New Roman" w:eastAsia="仿宋_GB2312"/>
          <w:color w:val="auto"/>
          <w:sz w:val="32"/>
          <w:szCs w:val="32"/>
          <w:lang w:eastAsia="zh-CN"/>
        </w:rPr>
        <w:t>的</w:t>
      </w:r>
      <w:r>
        <w:rPr>
          <w:rFonts w:ascii="Times New Roman" w:hAnsi="Times New Roman" w:eastAsia="仿宋_GB2312"/>
          <w:color w:val="auto"/>
          <w:sz w:val="32"/>
          <w:szCs w:val="32"/>
        </w:rPr>
        <w:t>；（3）不配合监管和检查</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甲方依据该条约定终止合同的，乙方应退还甲方已支付费用，并按本合同第五条的约定承担违约责任。</w:t>
      </w:r>
    </w:p>
    <w:p w14:paraId="68F101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黑体" w:cs="仿宋"/>
          <w:sz w:val="32"/>
          <w:szCs w:val="32"/>
        </w:rPr>
      </w:pPr>
      <w:r>
        <w:rPr>
          <w:rFonts w:hint="eastAsia" w:ascii="黑体" w:hAnsi="黑体" w:eastAsia="黑体" w:cs="黑体"/>
          <w:color w:val="auto"/>
          <w:sz w:val="32"/>
          <w:szCs w:val="32"/>
        </w:rPr>
        <w:t>七、在合同履行过程中发生争议，双方应协商解决。协商、调解未达成一致意见，可</w:t>
      </w:r>
      <w:r>
        <w:rPr>
          <w:rFonts w:hint="eastAsia" w:ascii="黑体" w:hAnsi="黑体" w:eastAsia="黑体" w:cs="黑体"/>
          <w:color w:val="auto"/>
          <w:sz w:val="32"/>
          <w:szCs w:val="32"/>
          <w:lang w:val="en-US" w:eastAsia="zh-CN"/>
        </w:rPr>
        <w:t>向甲方所在地人民法院</w:t>
      </w:r>
      <w:r>
        <w:rPr>
          <w:rFonts w:hint="eastAsia" w:ascii="黑体" w:hAnsi="黑体" w:eastAsia="黑体" w:cs="黑体"/>
          <w:color w:val="auto"/>
          <w:sz w:val="32"/>
          <w:szCs w:val="32"/>
        </w:rPr>
        <w:t>提起诉</w:t>
      </w:r>
      <w:r>
        <w:rPr>
          <w:rFonts w:hint="eastAsia" w:ascii="黑体" w:hAnsi="黑体" w:eastAsia="黑体" w:cs="黑体"/>
          <w:sz w:val="32"/>
          <w:szCs w:val="32"/>
        </w:rPr>
        <w:t>讼。</w:t>
      </w:r>
    </w:p>
    <w:p w14:paraId="7ACE8F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
          <w:color w:val="000000"/>
          <w:sz w:val="32"/>
          <w:szCs w:val="32"/>
        </w:rPr>
      </w:pPr>
      <w:r>
        <w:rPr>
          <w:rFonts w:hint="eastAsia" w:ascii="黑体" w:hAnsi="黑体" w:eastAsia="黑体" w:cs="黑体"/>
          <w:color w:val="000000"/>
          <w:sz w:val="32"/>
          <w:szCs w:val="32"/>
        </w:rPr>
        <w:t>八、本合同未尽事宜，双方可协商补充，补充协议及本合同附件，与本合同具有同等法律效力。</w:t>
      </w:r>
    </w:p>
    <w:p w14:paraId="473FC6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color w:val="000000"/>
          <w:sz w:val="32"/>
          <w:szCs w:val="32"/>
        </w:rPr>
        <w:t>九、本合同执行期限为</w:t>
      </w:r>
      <w:r>
        <w:rPr>
          <w:rFonts w:hint="eastAsia" w:ascii="黑体" w:hAnsi="黑体" w:eastAsia="黑体" w:cs="黑体"/>
          <w:sz w:val="32"/>
          <w:szCs w:val="32"/>
        </w:rPr>
        <w:t>一年，即自 年</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月</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日起至</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年 月</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日止。</w:t>
      </w:r>
    </w:p>
    <w:p w14:paraId="4F6FF8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十、本合同一式三份，甲、乙双方各执一份，区财政局存档一份。</w:t>
      </w:r>
    </w:p>
    <w:p w14:paraId="35DCED1B">
      <w:pPr>
        <w:pStyle w:val="2"/>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Fonts w:hint="eastAsia" w:ascii="仿宋" w:hAnsi="仿宋" w:eastAsia="仿宋" w:cs="仿宋"/>
          <w:sz w:val="32"/>
          <w:szCs w:val="32"/>
        </w:rPr>
      </w:pPr>
    </w:p>
    <w:p w14:paraId="7700E9C3">
      <w:pPr>
        <w:pStyle w:val="2"/>
        <w:keepNext w:val="0"/>
        <w:keepLines w:val="0"/>
        <w:pageBreakBefore w:val="0"/>
        <w:widowControl w:val="0"/>
        <w:kinsoku/>
        <w:wordWrap/>
        <w:overflowPunct/>
        <w:topLinePunct w:val="0"/>
        <w:autoSpaceDE/>
        <w:autoSpaceDN/>
        <w:bidi w:val="0"/>
        <w:adjustRightInd/>
        <w:snapToGrid/>
        <w:spacing w:line="540" w:lineRule="exact"/>
        <w:ind w:firstLine="420"/>
        <w:textAlignment w:val="auto"/>
        <w:rPr>
          <w:rFonts w:hint="eastAsia"/>
        </w:rPr>
      </w:pPr>
    </w:p>
    <w:p w14:paraId="43FD76C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甲方（盖章）              乙方（盖章）</w:t>
      </w:r>
    </w:p>
    <w:p w14:paraId="28AEDF2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p>
    <w:p w14:paraId="1EB943F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法定代表人（签字）：       法定代表人（签字）：</w:t>
      </w:r>
    </w:p>
    <w:p w14:paraId="410A8519">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rPr>
      </w:pPr>
    </w:p>
    <w:p w14:paraId="7B16952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年    月    日               年    月    日  </w:t>
      </w:r>
    </w:p>
    <w:p w14:paraId="6173C88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p>
    <w:p w14:paraId="285B7D88">
      <w:pPr>
        <w:pStyle w:val="2"/>
        <w:rPr>
          <w:rFonts w:hint="eastAsia"/>
        </w:rPr>
      </w:pPr>
    </w:p>
    <w:p w14:paraId="7782C7BA"/>
    <w:sectPr>
      <w:footerReference r:id="rId3" w:type="default"/>
      <w:pgSz w:w="11906" w:h="16838"/>
      <w:pgMar w:top="1984" w:right="1474" w:bottom="1701" w:left="1587" w:header="851" w:footer="992" w:gutter="0"/>
      <w:pgNumType w:fmt="numberInDash"/>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012F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CC267AF">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CC267AF">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DB39DE"/>
    <w:rsid w:val="6F175CBA"/>
    <w:rsid w:val="7142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880" w:firstLineChars="200"/>
    </w:p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2219</Words>
  <Characters>2260</Characters>
  <Lines>0</Lines>
  <Paragraphs>0</Paragraphs>
  <TotalTime>0</TotalTime>
  <ScaleCrop>false</ScaleCrop>
  <LinksUpToDate>false</LinksUpToDate>
  <CharactersWithSpaces>2346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2025-06-13T02:04:00Z</dcterms:created>
  <dc:creator>MyPC</dc:creator>
  <cp:lastModifiedBy>滴滴</cp:lastModifiedBy>
  <dcterms:modified xsi:type="dcterms:W3CDTF">2026-06-09T09:04:34Z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eyJoZGlkIjoiMjhhNmJkODUzOTM3NDk4NGZmYzg1Y2RiYTI2YzYwZTQiLCJ1c2VySWQiOiIxMzY5MDczMjIyIn0=</vt:lpwstr>
  </property>
  <property fmtid="{D5CDD505-2E9C-101B-9397-08002B2CF9AE}" pid="4" name="ICV">
    <vt:lpwstr>5CACE6E4EC634A66A7E9E7FC7A8BEC36_12</vt:lpwstr>
  </property>
</Properties>
</file>