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版本号：SCZD2026-ZB-1814-00120260729001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体外反搏治疗仪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SCZD2026-ZB-1814-001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体外反搏治疗仪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SCZD2026-ZB-1814-001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体外反搏治疗仪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本项目采购体外反搏治疗仪2台。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梁静怡、雷鹏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银行账号：102860079159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代理服务费收费标准：代理服务费收费标准：参照国家计委关于印发《招标代理服务收费管理暂行办法》的通知（计价格〔2002〕1980号）规定标准下浮20%收取，不足5000元按5000元收取。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详见拟签订采购合同文本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本项目采购体外反搏治疗仪2台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体外反搏治疗仪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标的名称：体外反搏治疗仪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体外反搏治疗仪</w:t>
            </w:r>
            <w:r>
              <w:rPr>
                <w:rFonts w:ascii="仿宋_GB2312" w:hAnsi="仿宋_GB2312" w:cs="仿宋_GB2312" w:eastAsia="仿宋_GB2312"/>
              </w:rPr>
              <w:t>技术参数要求</w:t>
            </w:r>
          </w:p>
          <w:p>
            <w:pPr>
              <w:pStyle w:val="null3"/>
            </w:pPr>
            <w:r>
              <w:rPr>
                <w:rFonts w:ascii="仿宋_GB2312" w:hAnsi="仿宋_GB2312" w:cs="仿宋_GB2312" w:eastAsia="仿宋_GB2312"/>
              </w:rPr>
              <w:t>1、</w:t>
            </w:r>
            <w:r>
              <w:rPr>
                <w:rFonts w:ascii="仿宋_GB2312" w:hAnsi="仿宋_GB2312" w:cs="仿宋_GB2312" w:eastAsia="仿宋_GB2312"/>
              </w:rPr>
              <w:t>心电参数：</w:t>
            </w:r>
          </w:p>
          <w:p>
            <w:pPr>
              <w:pStyle w:val="null3"/>
            </w:pPr>
            <w:r>
              <w:rPr>
                <w:rFonts w:ascii="仿宋_GB2312" w:hAnsi="仿宋_GB2312" w:cs="仿宋_GB2312" w:eastAsia="仿宋_GB2312"/>
              </w:rPr>
              <w:t>1.1心电信号：共模抑制比</w:t>
            </w:r>
            <w:r>
              <w:rPr>
                <w:rFonts w:ascii="仿宋_GB2312" w:hAnsi="仿宋_GB2312" w:cs="仿宋_GB2312" w:eastAsia="仿宋_GB2312"/>
              </w:rPr>
              <w:t>≥</w:t>
            </w:r>
            <w:r>
              <w:rPr>
                <w:rFonts w:ascii="仿宋_GB2312" w:hAnsi="仿宋_GB2312" w:cs="仿宋_GB2312" w:eastAsia="仿宋_GB2312"/>
              </w:rPr>
              <w:t>80dB，心电检出门限</w:t>
            </w:r>
            <w:r>
              <w:rPr>
                <w:rFonts w:ascii="仿宋_GB2312" w:hAnsi="仿宋_GB2312" w:cs="仿宋_GB2312" w:eastAsia="仿宋_GB2312"/>
              </w:rPr>
              <w:t>≤</w:t>
            </w:r>
            <w:r>
              <w:rPr>
                <w:rFonts w:ascii="仿宋_GB2312" w:hAnsi="仿宋_GB2312" w:cs="仿宋_GB2312" w:eastAsia="仿宋_GB2312"/>
              </w:rPr>
              <w:t>0.25mV；</w:t>
            </w:r>
          </w:p>
          <w:p>
            <w:pPr>
              <w:pStyle w:val="null3"/>
            </w:pPr>
            <w:r>
              <w:rPr>
                <w:rFonts w:ascii="仿宋_GB2312" w:hAnsi="仿宋_GB2312" w:cs="仿宋_GB2312" w:eastAsia="仿宋_GB2312"/>
              </w:rPr>
              <w:t>1.2心电导联：标准三导联；</w:t>
            </w:r>
          </w:p>
          <w:p>
            <w:pPr>
              <w:pStyle w:val="null3"/>
            </w:pPr>
            <w:r>
              <w:rPr>
                <w:rFonts w:ascii="仿宋_GB2312" w:hAnsi="仿宋_GB2312" w:cs="仿宋_GB2312" w:eastAsia="仿宋_GB2312"/>
              </w:rPr>
              <w:t>1.3心率显示：35次/min～165次/min时，心率显示误差</w:t>
            </w:r>
            <w:r>
              <w:rPr>
                <w:rFonts w:ascii="仿宋_GB2312" w:hAnsi="仿宋_GB2312" w:cs="仿宋_GB2312" w:eastAsia="仿宋_GB2312"/>
              </w:rPr>
              <w:t>≤</w:t>
            </w:r>
            <w:r>
              <w:rPr>
                <w:rFonts w:ascii="仿宋_GB2312" w:hAnsi="仿宋_GB2312" w:cs="仿宋_GB2312" w:eastAsia="仿宋_GB2312"/>
              </w:rPr>
              <w:t>2次/min，</w:t>
            </w:r>
          </w:p>
          <w:p>
            <w:pPr>
              <w:pStyle w:val="null3"/>
            </w:pPr>
            <w:r>
              <w:rPr>
                <w:rFonts w:ascii="仿宋_GB2312" w:hAnsi="仿宋_GB2312" w:cs="仿宋_GB2312" w:eastAsia="仿宋_GB2312"/>
              </w:rPr>
              <w:t>2、</w:t>
            </w:r>
            <w:r>
              <w:rPr>
                <w:rFonts w:ascii="仿宋_GB2312" w:hAnsi="仿宋_GB2312" w:cs="仿宋_GB2312" w:eastAsia="仿宋_GB2312"/>
              </w:rPr>
              <w:t>脉搏参数：</w:t>
            </w:r>
          </w:p>
          <w:p>
            <w:pPr>
              <w:pStyle w:val="null3"/>
            </w:pPr>
            <w:r>
              <w:rPr>
                <w:rFonts w:ascii="仿宋_GB2312" w:hAnsi="仿宋_GB2312" w:cs="仿宋_GB2312" w:eastAsia="仿宋_GB2312"/>
              </w:rPr>
              <w:t>2.1血氧饱和度显示范围：70-100%，精度</w:t>
            </w:r>
            <w:r>
              <w:rPr>
                <w:rFonts w:ascii="仿宋_GB2312" w:hAnsi="仿宋_GB2312" w:cs="仿宋_GB2312" w:eastAsia="仿宋_GB2312"/>
              </w:rPr>
              <w:t>≤</w:t>
            </w:r>
            <w:r>
              <w:rPr>
                <w:rFonts w:ascii="仿宋_GB2312" w:hAnsi="仿宋_GB2312" w:cs="仿宋_GB2312" w:eastAsia="仿宋_GB2312"/>
              </w:rPr>
              <w:t>2%；</w:t>
            </w:r>
          </w:p>
          <w:p>
            <w:pPr>
              <w:pStyle w:val="null3"/>
            </w:pPr>
            <w:r>
              <w:rPr>
                <w:rFonts w:ascii="仿宋_GB2312" w:hAnsi="仿宋_GB2312" w:cs="仿宋_GB2312" w:eastAsia="仿宋_GB2312"/>
              </w:rPr>
              <w:t>2.2脉率显示范围：30次/min～250次/min时，精度</w:t>
            </w:r>
            <w:r>
              <w:rPr>
                <w:rFonts w:ascii="仿宋_GB2312" w:hAnsi="仿宋_GB2312" w:cs="仿宋_GB2312" w:eastAsia="仿宋_GB2312"/>
              </w:rPr>
              <w:t>≤</w:t>
            </w:r>
            <w:r>
              <w:rPr>
                <w:rFonts w:ascii="仿宋_GB2312" w:hAnsi="仿宋_GB2312" w:cs="仿宋_GB2312" w:eastAsia="仿宋_GB2312"/>
              </w:rPr>
              <w:t>2%；</w:t>
            </w:r>
          </w:p>
          <w:p>
            <w:pPr>
              <w:pStyle w:val="null3"/>
            </w:pPr>
            <w:r>
              <w:rPr>
                <w:rFonts w:ascii="仿宋_GB2312" w:hAnsi="仿宋_GB2312" w:cs="仿宋_GB2312" w:eastAsia="仿宋_GB2312"/>
              </w:rPr>
              <w:t>2.3脉搏血氧部分符合YY0784要求：脉搏血氧模块、血氧探头及延长线配套经过血氧模块临床准确性试验测试</w:t>
            </w:r>
            <w:r>
              <w:rPr>
                <w:rFonts w:ascii="仿宋_GB2312" w:hAnsi="仿宋_GB2312" w:cs="仿宋_GB2312" w:eastAsia="仿宋_GB2312"/>
              </w:rPr>
              <w:t>（</w:t>
            </w:r>
            <w:r>
              <w:rPr>
                <w:rFonts w:ascii="仿宋_GB2312" w:hAnsi="仿宋_GB2312" w:cs="仿宋_GB2312" w:eastAsia="仿宋_GB2312"/>
              </w:rPr>
              <w:t>提供证明材料</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血压参数</w:t>
            </w:r>
          </w:p>
          <w:p>
            <w:pPr>
              <w:pStyle w:val="null3"/>
            </w:pPr>
            <w:r>
              <w:rPr>
                <w:rFonts w:ascii="仿宋_GB2312" w:hAnsi="仿宋_GB2312" w:cs="仿宋_GB2312" w:eastAsia="仿宋_GB2312"/>
              </w:rPr>
              <w:t>3.1压力显示范围：0-300mmHg，精度</w:t>
            </w:r>
            <w:r>
              <w:rPr>
                <w:rFonts w:ascii="仿宋_GB2312" w:hAnsi="仿宋_GB2312" w:cs="仿宋_GB2312" w:eastAsia="仿宋_GB2312"/>
              </w:rPr>
              <w:t>≤</w:t>
            </w:r>
            <w:r>
              <w:rPr>
                <w:rFonts w:ascii="仿宋_GB2312" w:hAnsi="仿宋_GB2312" w:cs="仿宋_GB2312" w:eastAsia="仿宋_GB2312"/>
              </w:rPr>
              <w:t>3mmHg，分辨率1mmHg；</w:t>
            </w:r>
          </w:p>
          <w:p>
            <w:pPr>
              <w:pStyle w:val="null3"/>
            </w:pPr>
            <w:r>
              <w:rPr>
                <w:rFonts w:ascii="仿宋_GB2312" w:hAnsi="仿宋_GB2312" w:cs="仿宋_GB2312" w:eastAsia="仿宋_GB2312"/>
              </w:rPr>
              <w:t>3.2压力达到300mmHg时，</w:t>
            </w:r>
            <w:r>
              <w:rPr>
                <w:rFonts w:ascii="仿宋_GB2312" w:hAnsi="仿宋_GB2312" w:cs="仿宋_GB2312" w:eastAsia="仿宋_GB2312"/>
              </w:rPr>
              <w:t>具有</w:t>
            </w:r>
            <w:r>
              <w:rPr>
                <w:rFonts w:ascii="仿宋_GB2312" w:hAnsi="仿宋_GB2312" w:cs="仿宋_GB2312" w:eastAsia="仿宋_GB2312"/>
              </w:rPr>
              <w:t>急速排气保护</w:t>
            </w:r>
            <w:r>
              <w:rPr>
                <w:rFonts w:ascii="仿宋_GB2312" w:hAnsi="仿宋_GB2312" w:cs="仿宋_GB2312" w:eastAsia="仿宋_GB2312"/>
              </w:rPr>
              <w:t>功能</w:t>
            </w:r>
            <w:r>
              <w:rPr>
                <w:rFonts w:ascii="仿宋_GB2312" w:hAnsi="仿宋_GB2312" w:cs="仿宋_GB2312" w:eastAsia="仿宋_GB2312"/>
              </w:rPr>
              <w:t>，排气时间</w:t>
            </w:r>
            <w:r>
              <w:rPr>
                <w:rFonts w:ascii="仿宋_GB2312" w:hAnsi="仿宋_GB2312" w:cs="仿宋_GB2312" w:eastAsia="仿宋_GB2312"/>
              </w:rPr>
              <w:t>≤</w:t>
            </w:r>
            <w:r>
              <w:rPr>
                <w:rFonts w:ascii="仿宋_GB2312" w:hAnsi="仿宋_GB2312" w:cs="仿宋_GB2312" w:eastAsia="仿宋_GB2312"/>
              </w:rPr>
              <w:t>10S；</w:t>
            </w:r>
          </w:p>
          <w:p>
            <w:pPr>
              <w:pStyle w:val="null3"/>
            </w:pPr>
            <w:r>
              <w:rPr>
                <w:rFonts w:ascii="仿宋_GB2312" w:hAnsi="仿宋_GB2312" w:cs="仿宋_GB2312" w:eastAsia="仿宋_GB2312"/>
              </w:rPr>
              <w:t>3.4</w:t>
            </w:r>
            <w:r>
              <w:rPr>
                <w:rFonts w:ascii="仿宋_GB2312" w:hAnsi="仿宋_GB2312" w:cs="仿宋_GB2312" w:eastAsia="仿宋_GB2312"/>
              </w:rPr>
              <w:t>具有</w:t>
            </w:r>
            <w:r>
              <w:rPr>
                <w:rFonts w:ascii="仿宋_GB2312" w:hAnsi="仿宋_GB2312" w:cs="仿宋_GB2312" w:eastAsia="仿宋_GB2312"/>
              </w:rPr>
              <w:t>血压在线监测</w:t>
            </w:r>
            <w:r>
              <w:rPr>
                <w:rFonts w:ascii="仿宋_GB2312" w:hAnsi="仿宋_GB2312" w:cs="仿宋_GB2312" w:eastAsia="仿宋_GB2312"/>
              </w:rPr>
              <w:t>功能</w:t>
            </w:r>
            <w:r>
              <w:rPr>
                <w:rFonts w:ascii="仿宋_GB2312" w:hAnsi="仿宋_GB2312" w:cs="仿宋_GB2312" w:eastAsia="仿宋_GB2312"/>
              </w:rPr>
              <w:t>，监测数据信息可以录入病人管理系统。</w:t>
            </w:r>
          </w:p>
          <w:p>
            <w:pPr>
              <w:pStyle w:val="null3"/>
            </w:pPr>
            <w:r>
              <w:rPr>
                <w:rFonts w:ascii="仿宋_GB2312" w:hAnsi="仿宋_GB2312" w:cs="仿宋_GB2312" w:eastAsia="仿宋_GB2312"/>
              </w:rPr>
              <w:t>4、</w:t>
            </w:r>
            <w:r>
              <w:rPr>
                <w:rFonts w:ascii="仿宋_GB2312" w:hAnsi="仿宋_GB2312" w:cs="仿宋_GB2312" w:eastAsia="仿宋_GB2312"/>
              </w:rPr>
              <w:t>触发模式：</w:t>
            </w:r>
          </w:p>
          <w:p>
            <w:pPr>
              <w:pStyle w:val="null3"/>
            </w:pPr>
            <w:r>
              <w:rPr>
                <w:rFonts w:ascii="仿宋_GB2312" w:hAnsi="仿宋_GB2312" w:cs="仿宋_GB2312" w:eastAsia="仿宋_GB2312"/>
              </w:rPr>
              <w:t>4.1心电R波正负触发；</w:t>
            </w:r>
          </w:p>
          <w:p>
            <w:pPr>
              <w:pStyle w:val="null3"/>
            </w:pPr>
            <w:r>
              <w:rPr>
                <w:rFonts w:ascii="仿宋_GB2312" w:hAnsi="仿宋_GB2312" w:cs="仿宋_GB2312" w:eastAsia="仿宋_GB2312"/>
              </w:rPr>
              <w:t>4.2房颤病人触发模式；</w:t>
            </w:r>
          </w:p>
          <w:p>
            <w:pPr>
              <w:pStyle w:val="null3"/>
            </w:pPr>
            <w:r>
              <w:rPr>
                <w:rFonts w:ascii="仿宋_GB2312" w:hAnsi="仿宋_GB2312" w:cs="仿宋_GB2312" w:eastAsia="仿宋_GB2312"/>
              </w:rPr>
              <w:t>4.3反搏比率1:1或1:2可调。</w:t>
            </w:r>
          </w:p>
          <w:p>
            <w:pPr>
              <w:pStyle w:val="null3"/>
            </w:pPr>
            <w:r>
              <w:rPr>
                <w:rFonts w:ascii="仿宋_GB2312" w:hAnsi="仿宋_GB2312" w:cs="仿宋_GB2312" w:eastAsia="仿宋_GB2312"/>
              </w:rPr>
              <w:t>5、</w:t>
            </w:r>
            <w:r>
              <w:rPr>
                <w:rFonts w:ascii="仿宋_GB2312" w:hAnsi="仿宋_GB2312" w:cs="仿宋_GB2312" w:eastAsia="仿宋_GB2312"/>
              </w:rPr>
              <w:t>压力参数：</w:t>
            </w:r>
          </w:p>
          <w:p>
            <w:pPr>
              <w:pStyle w:val="null3"/>
            </w:pPr>
            <w:r>
              <w:rPr>
                <w:rFonts w:ascii="仿宋_GB2312" w:hAnsi="仿宋_GB2312" w:cs="仿宋_GB2312" w:eastAsia="仿宋_GB2312"/>
              </w:rPr>
              <w:t>5.1治疗压力单位以“mmHg”和“</w:t>
            </w:r>
            <w:r>
              <w:rPr>
                <w:rFonts w:ascii="仿宋_GB2312" w:hAnsi="仿宋_GB2312" w:cs="仿宋_GB2312" w:eastAsia="仿宋_GB2312"/>
              </w:rPr>
              <w:t>MPa</w:t>
            </w:r>
            <w:r>
              <w:rPr>
                <w:rFonts w:ascii="仿宋_GB2312" w:hAnsi="仿宋_GB2312" w:cs="仿宋_GB2312" w:eastAsia="仿宋_GB2312"/>
              </w:rPr>
              <w:t>”双显示，临床操作治疗压力时单位直接换算；</w:t>
            </w:r>
          </w:p>
          <w:p>
            <w:pPr>
              <w:pStyle w:val="null3"/>
            </w:pPr>
            <w:r>
              <w:rPr>
                <w:rFonts w:ascii="仿宋_GB2312" w:hAnsi="仿宋_GB2312" w:cs="仿宋_GB2312" w:eastAsia="仿宋_GB2312"/>
              </w:rPr>
              <w:t>5.2体外反搏压力</w:t>
            </w:r>
            <w:r>
              <w:rPr>
                <w:rFonts w:ascii="仿宋_GB2312" w:hAnsi="仿宋_GB2312" w:cs="仿宋_GB2312" w:eastAsia="仿宋_GB2312"/>
              </w:rPr>
              <w:t>具有</w:t>
            </w:r>
            <w:r>
              <w:rPr>
                <w:rFonts w:ascii="仿宋_GB2312" w:hAnsi="仿宋_GB2312" w:cs="仿宋_GB2312" w:eastAsia="仿宋_GB2312"/>
              </w:rPr>
              <w:t>微调模式，并且多级可调。</w:t>
            </w:r>
          </w:p>
          <w:p>
            <w:pPr>
              <w:pStyle w:val="null3"/>
            </w:pPr>
            <w:r>
              <w:rPr>
                <w:rFonts w:ascii="仿宋_GB2312" w:hAnsi="仿宋_GB2312" w:cs="仿宋_GB2312" w:eastAsia="仿宋_GB2312"/>
              </w:rPr>
              <w:t>6、</w:t>
            </w:r>
            <w:r>
              <w:rPr>
                <w:rFonts w:ascii="仿宋_GB2312" w:hAnsi="仿宋_GB2312" w:cs="仿宋_GB2312" w:eastAsia="仿宋_GB2312"/>
              </w:rPr>
              <w:t>界面显示参数</w:t>
            </w:r>
          </w:p>
          <w:p>
            <w:pPr>
              <w:pStyle w:val="null3"/>
            </w:pPr>
            <w:r>
              <w:rPr>
                <w:rFonts w:ascii="仿宋_GB2312" w:hAnsi="仿宋_GB2312" w:cs="仿宋_GB2312" w:eastAsia="仿宋_GB2312"/>
              </w:rPr>
              <w:t>6.1采用≥18英寸高分辨率触摸显示器；</w:t>
            </w:r>
          </w:p>
          <w:p>
            <w:pPr>
              <w:pStyle w:val="null3"/>
            </w:pPr>
            <w:r>
              <w:rPr>
                <w:rFonts w:ascii="仿宋_GB2312" w:hAnsi="仿宋_GB2312" w:cs="仿宋_GB2312" w:eastAsia="仿宋_GB2312"/>
              </w:rPr>
              <w:t>6.2显示内容：脉搏波形、D/S峰值比、面积比、心电波形和心率值、数据库、收缩压及舒张压等参数。</w:t>
            </w:r>
          </w:p>
          <w:p>
            <w:pPr>
              <w:pStyle w:val="null3"/>
            </w:pPr>
            <w:r>
              <w:rPr>
                <w:rFonts w:ascii="仿宋_GB2312" w:hAnsi="仿宋_GB2312" w:cs="仿宋_GB2312" w:eastAsia="仿宋_GB2312"/>
              </w:rPr>
              <w:t>7、</w:t>
            </w:r>
            <w:r>
              <w:rPr>
                <w:rFonts w:ascii="仿宋_GB2312" w:hAnsi="仿宋_GB2312" w:cs="仿宋_GB2312" w:eastAsia="仿宋_GB2312"/>
              </w:rPr>
              <w:t>多重保护措施及保护显示：</w:t>
            </w:r>
          </w:p>
          <w:p>
            <w:pPr>
              <w:pStyle w:val="null3"/>
            </w:pPr>
            <w:r>
              <w:rPr>
                <w:rFonts w:ascii="仿宋_GB2312" w:hAnsi="仿宋_GB2312" w:cs="仿宋_GB2312" w:eastAsia="仿宋_GB2312"/>
              </w:rPr>
              <w:t>7.1过早充气和过迟排气保护，停机后电磁阀延续排气；</w:t>
            </w:r>
          </w:p>
          <w:p>
            <w:pPr>
              <w:pStyle w:val="null3"/>
            </w:pPr>
            <w:r>
              <w:rPr>
                <w:rFonts w:ascii="仿宋_GB2312" w:hAnsi="仿宋_GB2312" w:cs="仿宋_GB2312" w:eastAsia="仿宋_GB2312"/>
              </w:rPr>
              <w:t>7.2压力过高自动保护及心电电极脱落</w:t>
            </w:r>
            <w:r>
              <w:rPr>
                <w:rFonts w:ascii="仿宋_GB2312" w:hAnsi="仿宋_GB2312" w:cs="仿宋_GB2312" w:eastAsia="仿宋_GB2312"/>
              </w:rPr>
              <w:t>报警</w:t>
            </w:r>
            <w:r>
              <w:rPr>
                <w:rFonts w:ascii="仿宋_GB2312" w:hAnsi="仿宋_GB2312" w:cs="仿宋_GB2312" w:eastAsia="仿宋_GB2312"/>
              </w:rPr>
              <w:t>功能；</w:t>
            </w:r>
          </w:p>
          <w:p>
            <w:pPr>
              <w:pStyle w:val="null3"/>
            </w:pPr>
            <w:r>
              <w:rPr>
                <w:rFonts w:ascii="仿宋_GB2312" w:hAnsi="仿宋_GB2312" w:cs="仿宋_GB2312" w:eastAsia="仿宋_GB2312"/>
              </w:rPr>
              <w:t>7.3血压袖带压力保护：成人模式袖带压（297mmHg±3mmHg），袖带自动泄压。</w:t>
            </w:r>
          </w:p>
          <w:p>
            <w:pPr>
              <w:pStyle w:val="null3"/>
            </w:pPr>
            <w:r>
              <w:rPr>
                <w:rFonts w:ascii="仿宋_GB2312" w:hAnsi="仿宋_GB2312" w:cs="仿宋_GB2312" w:eastAsia="仿宋_GB2312"/>
              </w:rPr>
              <w:t>8、</w:t>
            </w:r>
            <w:r>
              <w:rPr>
                <w:rFonts w:ascii="仿宋_GB2312" w:hAnsi="仿宋_GB2312" w:cs="仿宋_GB2312" w:eastAsia="仿宋_GB2312"/>
              </w:rPr>
              <w:t>机械部分</w:t>
            </w:r>
          </w:p>
          <w:p>
            <w:pPr>
              <w:pStyle w:val="null3"/>
            </w:pPr>
            <w:r>
              <w:rPr>
                <w:rFonts w:ascii="仿宋_GB2312" w:hAnsi="仿宋_GB2312" w:cs="仿宋_GB2312" w:eastAsia="仿宋_GB2312"/>
              </w:rPr>
              <w:t>8.1设备具有超静音设计，整机嗓音≤62db(A)；</w:t>
            </w:r>
          </w:p>
          <w:p>
            <w:pPr>
              <w:pStyle w:val="null3"/>
            </w:pPr>
            <w:r>
              <w:rPr>
                <w:rFonts w:ascii="仿宋_GB2312" w:hAnsi="仿宋_GB2312" w:cs="仿宋_GB2312" w:eastAsia="仿宋_GB2312"/>
              </w:rPr>
              <w:t>8.2空气压力泵：采用专业空气压力泵；</w:t>
            </w:r>
          </w:p>
          <w:p>
            <w:pPr>
              <w:pStyle w:val="null3"/>
            </w:pPr>
            <w:r>
              <w:rPr>
                <w:rFonts w:ascii="仿宋_GB2312" w:hAnsi="仿宋_GB2312" w:cs="仿宋_GB2312" w:eastAsia="仿宋_GB2312"/>
              </w:rPr>
              <w:t>8.3心电、血氧、血压、系统控制，采用具有模块化设计，抗干扰强。</w:t>
            </w:r>
          </w:p>
          <w:p>
            <w:pPr>
              <w:pStyle w:val="null3"/>
            </w:pPr>
            <w:r>
              <w:rPr>
                <w:rFonts w:ascii="仿宋_GB2312" w:hAnsi="仿宋_GB2312" w:cs="仿宋_GB2312" w:eastAsia="仿宋_GB2312"/>
              </w:rPr>
              <w:t>9、</w:t>
            </w:r>
            <w:r>
              <w:rPr>
                <w:rFonts w:ascii="仿宋_GB2312" w:hAnsi="仿宋_GB2312" w:cs="仿宋_GB2312" w:eastAsia="仿宋_GB2312"/>
              </w:rPr>
              <w:t>软件部分</w:t>
            </w:r>
          </w:p>
          <w:p>
            <w:pPr>
              <w:pStyle w:val="null3"/>
            </w:pPr>
            <w:r>
              <w:rPr>
                <w:rFonts w:ascii="仿宋_GB2312" w:hAnsi="仿宋_GB2312" w:cs="仿宋_GB2312" w:eastAsia="仿宋_GB2312"/>
              </w:rPr>
              <w:t>9.1时间设定：治疗时间可以设定5</w:t>
            </w:r>
            <w:r>
              <w:rPr>
                <w:rFonts w:ascii="仿宋_GB2312" w:hAnsi="仿宋_GB2312" w:cs="仿宋_GB2312" w:eastAsia="仿宋_GB2312"/>
              </w:rPr>
              <w:t>~</w:t>
            </w:r>
            <w:r>
              <w:rPr>
                <w:rFonts w:ascii="仿宋_GB2312" w:hAnsi="仿宋_GB2312" w:cs="仿宋_GB2312" w:eastAsia="仿宋_GB2312"/>
              </w:rPr>
              <w:t>60</w:t>
            </w:r>
            <w:r>
              <w:rPr>
                <w:rFonts w:ascii="仿宋_GB2312" w:hAnsi="仿宋_GB2312" w:cs="仿宋_GB2312" w:eastAsia="仿宋_GB2312"/>
              </w:rPr>
              <w:t>min</w:t>
            </w:r>
            <w:r>
              <w:rPr>
                <w:rFonts w:ascii="仿宋_GB2312" w:hAnsi="仿宋_GB2312" w:cs="仿宋_GB2312" w:eastAsia="仿宋_GB2312"/>
              </w:rPr>
              <w:t>，治疗完成后自动停机；</w:t>
            </w:r>
          </w:p>
          <w:p>
            <w:pPr>
              <w:pStyle w:val="null3"/>
            </w:pPr>
            <w:r>
              <w:rPr>
                <w:rFonts w:ascii="仿宋_GB2312" w:hAnsi="仿宋_GB2312" w:cs="仿宋_GB2312" w:eastAsia="仿宋_GB2312"/>
              </w:rPr>
              <w:t>9.2</w:t>
            </w:r>
            <w:r>
              <w:rPr>
                <w:rFonts w:ascii="仿宋_GB2312" w:hAnsi="仿宋_GB2312" w:cs="仿宋_GB2312" w:eastAsia="仿宋_GB2312"/>
              </w:rPr>
              <w:t>具备</w:t>
            </w:r>
            <w:r>
              <w:rPr>
                <w:rFonts w:ascii="仿宋_GB2312" w:hAnsi="仿宋_GB2312" w:cs="仿宋_GB2312" w:eastAsia="仿宋_GB2312"/>
              </w:rPr>
              <w:t>病人管理系统：病人治疗信息可存储、分析、输出。</w:t>
            </w:r>
          </w:p>
          <w:p>
            <w:pPr>
              <w:pStyle w:val="null3"/>
            </w:pPr>
            <w:r>
              <w:rPr>
                <w:rFonts w:ascii="仿宋_GB2312" w:hAnsi="仿宋_GB2312" w:cs="仿宋_GB2312" w:eastAsia="仿宋_GB2312"/>
              </w:rPr>
              <w:t>10、床部分</w:t>
            </w:r>
          </w:p>
          <w:p>
            <w:pPr>
              <w:pStyle w:val="null3"/>
            </w:pPr>
            <w:r>
              <w:rPr>
                <w:rFonts w:ascii="仿宋_GB2312" w:hAnsi="仿宋_GB2312" w:cs="仿宋_GB2312" w:eastAsia="仿宋_GB2312"/>
              </w:rPr>
              <w:t>10.1</w:t>
            </w:r>
            <w:r>
              <w:rPr>
                <w:rFonts w:ascii="仿宋_GB2312" w:hAnsi="仿宋_GB2312" w:cs="仿宋_GB2312" w:eastAsia="仿宋_GB2312"/>
              </w:rPr>
              <w:t>床头有升降功能，床面宽度</w:t>
            </w:r>
            <w:r>
              <w:rPr>
                <w:rFonts w:ascii="仿宋_GB2312" w:hAnsi="仿宋_GB2312" w:cs="仿宋_GB2312" w:eastAsia="仿宋_GB2312"/>
              </w:rPr>
              <w:t>≥800mm</w:t>
            </w:r>
            <w:r>
              <w:rPr>
                <w:rFonts w:ascii="仿宋_GB2312" w:hAnsi="仿宋_GB2312" w:cs="仿宋_GB2312" w:eastAsia="仿宋_GB2312"/>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进度款，全部安装、调试完成，初步验收合格交付使用后，达到付款条件起30个工作日内，支付合同总金额的90.0%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进度款，验收满一年支付，达到付款条件起30个工作日内，支付合同总金额的10.0%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交付使用后整机质保四年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详见拟签订采购合同文本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6.汉中市政府采购供应商资格承诺函.docx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6.汉中市政府采购供应商资格承诺函.docx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6.汉中市政府采购供应商资格承诺函.docx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tc>
        <w:tc>
          <w:tcPr>
            <w:tcW w:type="dxa" w:w="1661"/>
          </w:tcPr>
          <w:p>
            <w:pPr>
              <w:pStyle w:val="null3"/>
            </w:pPr>
            <w:r>
              <w:rPr>
                <w:rFonts w:ascii="仿宋_GB2312" w:hAnsi="仿宋_GB2312" w:cs="仿宋_GB2312" w:eastAsia="仿宋_GB2312"/>
              </w:rPr>
              <w:t>7.特定资格证明文件.docx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投标人的报价不存在明显低于其他通过符合性审查投标人的报价，有可能影响产品质量或者不能诚信履约的，且投标人不能证明其报价合理性的情况。 ⼀、评审中出现下列情形之⼀的，评标委员会应当启动异常低价投标审查程序： 1.投标报价低于采购项⽬最⾼限价45%的，即投标报价&lt;采购项⽬最⾼限价×45%； 2.评标委员会基于专业判断，认为供应商报价过低，有可能影响产品质量或者不能诚信履约的其他情形。 相关法律法规对供应商报价有规定的，从其规定。 ⼆、评标委员会应当要求相关供应商在评审现场合理的时间内对投标价格作出解释，提供项⽬具体成本测算等与报价合理性相关的书⾯说明及必要的证明材料，包括但不限于原材料成本、⼈⼯成本、制造费⽤等，给予相关供应商 的合理时间⼀般不少于30分钟。评标委员会依据专业经验，参考同类项⽬中标（成交）价格、类似产品市场价格⽔平、⾏业⼈⼯费⽤标准、国家有关部⻔指导⾏业协会发布的⾏业平均成本等情况，对报价合理性进⾏判断。 三、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10.投标分项报价表.docx 开标一览表 投标函 12.商务条款偏离表.docx 6.汉中市政府采购供应商资格承诺函.docx 13.技术偏离表.docx 标的清单 投标文件封面 11.投标保证金支付凭证或保函.docx 7.特定资格证明文件.docx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11.投标保证金支付凭证或保函.docx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10.投标分项报价表.docx 12.商务条款偏离表.docx 13.技术偏离表.docx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10.投标分项报价表.docx 14.技术证明材料.docx 开标一览表 12.商务条款偏离表.docx 15.投标方案或技术方案.docx 中小企业声明函 6.汉中市政府采购供应商资格承诺函.docx 16.业绩一览表.docx 13.技术偏离表.docx 11.投标保证金支付凭证或保函.docx 7.特定资格证明文件.docx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10.投标分项报价表.docx 14.技术证明材料.docx 开标一览表 12.商务条款偏离表.docx 15.投标方案或技术方案.docx 中小企业声明函 6.汉中市政府采购供应商资格承诺函.docx 16.业绩一览表.docx 13.技术偏离表.docx 11.投标保证金支付凭证或保函.docx 7.特定资格证明文件.docx 投标函 残疾人福利性单位声明函 关于符合本国产品标准的声明函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号）要求提供国家确定的认证机构出具的、处于有效期之内的节能产品或环境标志产品认证证书，每提供一个得1.0分，满分2.0分。政府强制采购产品不予加分。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10.投标分项报价表.docx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投标产品的技术指标评审：完全响应得40分。一般技术指标参数一项不满足扣2分，扣完为止。 评审依据：按照技术参数要求提供相应的证明文件（包括不限于检测报告、技术白皮书、厂家产品说明等 ），在技术偏离表“说明”栏中标明 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提供2023年1月1日至投标截止时间（以合同签订时间为准）所投产品同品牌同型号产品业绩，每提供一个业绩得2分，满分8分。 评审依据 ：以加盖公章的业绩合同复印件为准，合同至少需包含合同首页、产品页、签章页。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10.投标分项报价表.docx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10.投标分项报价表.docx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详见附件：6.汉中市政府采购供应商资格承诺函.docx</w:t>
      </w:r>
    </w:p>
    <w:p>
      <w:pPr>
        <w:pStyle w:val="null3"/>
        <w:ind w:firstLine="960"/>
      </w:pPr>
      <w:r>
        <w:rPr>
          <w:rFonts w:ascii="仿宋_GB2312" w:hAnsi="仿宋_GB2312" w:cs="仿宋_GB2312" w:eastAsia="仿宋_GB2312"/>
        </w:rPr>
        <w:t>详见附件：7.特定资格证明文件.docx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详见附件：10.投标分项报价表.docx</w:t>
      </w:r>
    </w:p>
    <w:p>
      <w:pPr>
        <w:pStyle w:val="null3"/>
        <w:ind w:firstLine="960"/>
      </w:pPr>
      <w:r>
        <w:rPr>
          <w:rFonts w:ascii="仿宋_GB2312" w:hAnsi="仿宋_GB2312" w:cs="仿宋_GB2312" w:eastAsia="仿宋_GB2312"/>
        </w:rPr>
        <w:t>详见附件：11.投标保证金支付凭证或保函.docx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详见附件：15.投标方案或技术方案.docx</w:t>
      </w:r>
    </w:p>
    <w:p>
      <w:pPr>
        <w:pStyle w:val="null3"/>
        <w:ind w:firstLine="960"/>
      </w:pPr>
      <w:r>
        <w:rPr>
          <w:rFonts w:ascii="仿宋_GB2312" w:hAnsi="仿宋_GB2312" w:cs="仿宋_GB2312" w:eastAsia="仿宋_GB2312"/>
        </w:rPr>
        <w:t>详见附件：16.业绩一览表.docx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