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版本号：ZCSP-临渭区-2026-0014020260617001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临渭区人和小学主席台膜结构重建项目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ZCSP-临渭区-2026-00140</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临渭区人和小学主席台膜结构重建项目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临渭区人和小学主席台膜结构重建项目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根据学校发展需求，按照中小学建设标准，对临渭区人和小学主席台膜结构进行重建。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采购包1（临渭区人和小学主席台膜结构重建项目）：属于专门面向中小企业采购。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3、项目经理：拟派项目经理须具备建筑工程二级（含二级）及以上注册建造师执业资格，并具有有效的安全生产考核合格证，且无在建工程；</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张渭强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0913-2669036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821,977.58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临渭区人和小学主席台膜结构重建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标的名称：临渭区人和小学主席台膜结构重建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98"/>
              <w:jc w:val="left"/>
            </w:pPr>
            <w:r>
              <w:rPr>
                <w:rFonts w:ascii="仿宋_GB2312" w:hAnsi="仿宋_GB2312" w:cs="仿宋_GB2312" w:eastAsia="仿宋_GB2312"/>
                <w:sz w:val="24"/>
                <w:b/>
                <w:color w:val="000000"/>
              </w:rPr>
              <w:t>一、项目基本情况</w:t>
            </w:r>
          </w:p>
          <w:p>
            <w:pPr>
              <w:pStyle w:val="null3"/>
              <w:ind w:firstLine="532"/>
              <w:jc w:val="left"/>
            </w:pPr>
            <w:r>
              <w:rPr>
                <w:rFonts w:ascii="仿宋_GB2312" w:hAnsi="仿宋_GB2312" w:cs="仿宋_GB2312" w:eastAsia="仿宋_GB2312"/>
                <w:sz w:val="24"/>
                <w:color w:val="000000"/>
              </w:rPr>
              <w:t>根据学校发展需求，按照中小学建设标准，对临渭区人和小学主席台膜结构进行重建。</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二、商务要求</w:t>
            </w:r>
          </w:p>
          <w:p>
            <w:pPr>
              <w:pStyle w:val="null3"/>
              <w:ind w:firstLine="496"/>
              <w:jc w:val="left"/>
            </w:pPr>
            <w:r>
              <w:rPr>
                <w:rFonts w:ascii="仿宋_GB2312" w:hAnsi="仿宋_GB2312" w:cs="仿宋_GB2312" w:eastAsia="仿宋_GB2312"/>
                <w:sz w:val="24"/>
                <w:color w:val="000000"/>
              </w:rPr>
              <w:t>1.本项目建设地点：临渭区人和小学</w:t>
            </w:r>
          </w:p>
          <w:p>
            <w:pPr>
              <w:pStyle w:val="null3"/>
              <w:ind w:firstLine="496"/>
              <w:jc w:val="left"/>
            </w:pPr>
            <w:r>
              <w:rPr>
                <w:rFonts w:ascii="仿宋_GB2312" w:hAnsi="仿宋_GB2312" w:cs="仿宋_GB2312" w:eastAsia="仿宋_GB2312"/>
                <w:sz w:val="24"/>
                <w:color w:val="000000"/>
              </w:rPr>
              <w:t>2.工期：60日历天</w:t>
            </w:r>
          </w:p>
          <w:p>
            <w:pPr>
              <w:pStyle w:val="null3"/>
              <w:ind w:firstLine="496"/>
              <w:jc w:val="left"/>
            </w:pPr>
            <w:r>
              <w:rPr>
                <w:rFonts w:ascii="仿宋_GB2312" w:hAnsi="仿宋_GB2312" w:cs="仿宋_GB2312" w:eastAsia="仿宋_GB2312"/>
                <w:sz w:val="24"/>
                <w:color w:val="000000"/>
              </w:rPr>
              <w:t>3.质保期：按照《建设工程质量管理条例》及有关规定执行，质量保修期自工程竣工验收合格之日起计算。</w:t>
            </w:r>
          </w:p>
          <w:p>
            <w:pPr>
              <w:pStyle w:val="null3"/>
              <w:ind w:firstLine="496"/>
              <w:jc w:val="left"/>
            </w:pPr>
            <w:r>
              <w:rPr>
                <w:rFonts w:ascii="仿宋_GB2312" w:hAnsi="仿宋_GB2312" w:cs="仿宋_GB2312" w:eastAsia="仿宋_GB2312"/>
                <w:sz w:val="24"/>
                <w:color w:val="000000"/>
              </w:rPr>
              <w:t>4.质量标准：合格</w:t>
            </w:r>
          </w:p>
          <w:p>
            <w:pPr>
              <w:pStyle w:val="null3"/>
              <w:ind w:firstLine="496"/>
              <w:jc w:val="left"/>
            </w:pPr>
            <w:r>
              <w:rPr>
                <w:rFonts w:ascii="仿宋_GB2312" w:hAnsi="仿宋_GB2312" w:cs="仿宋_GB2312" w:eastAsia="仿宋_GB2312"/>
                <w:sz w:val="24"/>
                <w:color w:val="000000"/>
              </w:rPr>
              <w:t>5.付款方式：工程款按照工程进度支付，竣工验收合格后付至合同价的90%，竣工结算审核后付至审核价。</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、需执行的国家相关标准、行业标准、地方标准或者其他标准、规范标准</w:t>
            </w:r>
          </w:p>
          <w:p>
            <w:pPr>
              <w:pStyle w:val="null3"/>
              <w:ind w:firstLine="532"/>
              <w:jc w:val="left"/>
            </w:pPr>
            <w:r>
              <w:rPr>
                <w:rFonts w:ascii="仿宋_GB2312" w:hAnsi="仿宋_GB2312" w:cs="仿宋_GB2312" w:eastAsia="仿宋_GB2312"/>
                <w:sz w:val="24"/>
                <w:color w:val="000000"/>
              </w:rPr>
              <w:t>《建筑与市政地基基础通用规范》</w:t>
            </w:r>
            <w:r>
              <w:rPr>
                <w:rFonts w:ascii="仿宋_GB2312" w:hAnsi="仿宋_GB2312" w:cs="仿宋_GB2312" w:eastAsia="仿宋_GB2312"/>
                <w:sz w:val="24"/>
                <w:color w:val="000000"/>
              </w:rPr>
              <w:t>(GB55003-2021)；</w:t>
            </w:r>
          </w:p>
          <w:p>
            <w:pPr>
              <w:pStyle w:val="null3"/>
              <w:ind w:firstLine="532"/>
              <w:jc w:val="left"/>
            </w:pPr>
            <w:r>
              <w:rPr>
                <w:rFonts w:ascii="仿宋_GB2312" w:hAnsi="仿宋_GB2312" w:cs="仿宋_GB2312" w:eastAsia="仿宋_GB2312"/>
                <w:sz w:val="24"/>
                <w:color w:val="000000"/>
              </w:rPr>
              <w:t>《工程建设标准强制性条文》（</w:t>
            </w:r>
            <w:r>
              <w:rPr>
                <w:rFonts w:ascii="仿宋_GB2312" w:hAnsi="仿宋_GB2312" w:cs="仿宋_GB2312" w:eastAsia="仿宋_GB2312"/>
                <w:sz w:val="24"/>
                <w:color w:val="000000"/>
              </w:rPr>
              <w:t>2013年版）；</w:t>
            </w:r>
          </w:p>
          <w:p>
            <w:pPr>
              <w:pStyle w:val="null3"/>
              <w:ind w:firstLine="532"/>
              <w:jc w:val="left"/>
            </w:pPr>
            <w:r>
              <w:rPr>
                <w:rFonts w:ascii="仿宋_GB2312" w:hAnsi="仿宋_GB2312" w:cs="仿宋_GB2312" w:eastAsia="仿宋_GB2312"/>
                <w:sz w:val="24"/>
                <w:color w:val="000000"/>
              </w:rPr>
              <w:t>《安全防范工程通用规范》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GB 55029-2022）；</w:t>
            </w:r>
          </w:p>
          <w:p>
            <w:pPr>
              <w:pStyle w:val="null3"/>
              <w:ind w:firstLine="532"/>
              <w:jc w:val="left"/>
            </w:pPr>
            <w:r>
              <w:rPr>
                <w:rFonts w:ascii="仿宋_GB2312" w:hAnsi="仿宋_GB2312" w:cs="仿宋_GB2312" w:eastAsia="仿宋_GB2312"/>
                <w:sz w:val="24"/>
                <w:color w:val="000000"/>
              </w:rPr>
              <w:t>《施工现场临时用电安全技术规范》（</w:t>
            </w:r>
            <w:r>
              <w:rPr>
                <w:rFonts w:ascii="仿宋_GB2312" w:hAnsi="仿宋_GB2312" w:cs="仿宋_GB2312" w:eastAsia="仿宋_GB2312"/>
                <w:sz w:val="24"/>
                <w:color w:val="000000"/>
              </w:rPr>
              <w:t>JGJ46-88）；</w:t>
            </w:r>
          </w:p>
          <w:p>
            <w:pPr>
              <w:pStyle w:val="null3"/>
              <w:ind w:firstLine="532"/>
              <w:jc w:val="left"/>
            </w:pPr>
            <w:r>
              <w:rPr>
                <w:rFonts w:ascii="仿宋_GB2312" w:hAnsi="仿宋_GB2312" w:cs="仿宋_GB2312" w:eastAsia="仿宋_GB2312"/>
                <w:sz w:val="24"/>
                <w:color w:val="000000"/>
              </w:rPr>
              <w:t>《建筑抗震设计规范》（</w:t>
            </w:r>
            <w:r>
              <w:rPr>
                <w:rFonts w:ascii="仿宋_GB2312" w:hAnsi="仿宋_GB2312" w:cs="仿宋_GB2312" w:eastAsia="仿宋_GB2312"/>
                <w:sz w:val="24"/>
                <w:color w:val="000000"/>
              </w:rPr>
              <w:t>GB 50011-2010)(2016 年版)；</w:t>
            </w:r>
          </w:p>
          <w:p>
            <w:pPr>
              <w:pStyle w:val="null3"/>
              <w:ind w:firstLine="532"/>
              <w:jc w:val="left"/>
            </w:pPr>
            <w:r>
              <w:rPr>
                <w:rFonts w:ascii="仿宋_GB2312" w:hAnsi="仿宋_GB2312" w:cs="仿宋_GB2312" w:eastAsia="仿宋_GB2312"/>
                <w:sz w:val="24"/>
                <w:color w:val="000000"/>
              </w:rPr>
              <w:t>《市政道路工程质量检验评定标准》（</w:t>
            </w:r>
            <w:r>
              <w:rPr>
                <w:rFonts w:ascii="仿宋_GB2312" w:hAnsi="仿宋_GB2312" w:cs="仿宋_GB2312" w:eastAsia="仿宋_GB2312"/>
                <w:sz w:val="24"/>
                <w:color w:val="000000"/>
              </w:rPr>
              <w:t>CJJ1- 90）</w:t>
            </w:r>
          </w:p>
          <w:p>
            <w:pPr>
              <w:pStyle w:val="null3"/>
              <w:ind w:firstLine="532"/>
              <w:jc w:val="left"/>
            </w:pPr>
            <w:r>
              <w:rPr>
                <w:rFonts w:ascii="仿宋_GB2312" w:hAnsi="仿宋_GB2312" w:cs="仿宋_GB2312" w:eastAsia="仿宋_GB2312"/>
                <w:sz w:val="24"/>
                <w:color w:val="000000"/>
              </w:rPr>
              <w:t>《施工现场临时用电安全技术规范》（</w:t>
            </w:r>
            <w:r>
              <w:rPr>
                <w:rFonts w:ascii="仿宋_GB2312" w:hAnsi="仿宋_GB2312" w:cs="仿宋_GB2312" w:eastAsia="仿宋_GB2312"/>
                <w:sz w:val="24"/>
                <w:color w:val="000000"/>
              </w:rPr>
              <w:t>JGJ46-88 ）</w:t>
            </w:r>
          </w:p>
          <w:p>
            <w:pPr>
              <w:pStyle w:val="null3"/>
              <w:ind w:firstLine="532"/>
              <w:jc w:val="left"/>
            </w:pPr>
            <w:r>
              <w:rPr>
                <w:rFonts w:ascii="仿宋_GB2312" w:hAnsi="仿宋_GB2312" w:cs="仿宋_GB2312" w:eastAsia="仿宋_GB2312"/>
                <w:sz w:val="24"/>
                <w:color w:val="000000"/>
              </w:rPr>
              <w:t>《建设工程施工现场供用电安全规范》（</w:t>
            </w:r>
            <w:r>
              <w:rPr>
                <w:rFonts w:ascii="仿宋_GB2312" w:hAnsi="仿宋_GB2312" w:cs="仿宋_GB2312" w:eastAsia="仿宋_GB2312"/>
                <w:sz w:val="24"/>
                <w:color w:val="000000"/>
              </w:rPr>
              <w:t>GB50194-93）</w:t>
            </w:r>
          </w:p>
          <w:p>
            <w:pPr>
              <w:pStyle w:val="null3"/>
              <w:ind w:firstLine="532"/>
              <w:jc w:val="left"/>
            </w:pPr>
            <w:r>
              <w:rPr>
                <w:rFonts w:ascii="仿宋_GB2312" w:hAnsi="仿宋_GB2312" w:cs="仿宋_GB2312" w:eastAsia="仿宋_GB2312"/>
                <w:sz w:val="24"/>
                <w:color w:val="000000"/>
              </w:rPr>
              <w:t>《建设施工安全检查标准》（</w:t>
            </w:r>
            <w:r>
              <w:rPr>
                <w:rFonts w:ascii="仿宋_GB2312" w:hAnsi="仿宋_GB2312" w:cs="仿宋_GB2312" w:eastAsia="仿宋_GB2312"/>
                <w:sz w:val="24"/>
                <w:color w:val="000000"/>
              </w:rPr>
              <w:t>JGJ59-99）</w:t>
            </w:r>
          </w:p>
          <w:p>
            <w:pPr>
              <w:pStyle w:val="null3"/>
              <w:ind w:firstLine="532"/>
              <w:jc w:val="left"/>
            </w:pPr>
            <w:r>
              <w:rPr>
                <w:rFonts w:ascii="仿宋_GB2312" w:hAnsi="仿宋_GB2312" w:cs="仿宋_GB2312" w:eastAsia="仿宋_GB2312"/>
                <w:sz w:val="24"/>
                <w:color w:val="000000"/>
              </w:rPr>
              <w:t>《市政基础设施工程施工质量验收统一标准》</w:t>
            </w:r>
            <w:r>
              <w:rPr>
                <w:rFonts w:ascii="仿宋_GB2312" w:hAnsi="仿宋_GB2312" w:cs="仿宋_GB2312" w:eastAsia="仿宋_GB2312"/>
                <w:sz w:val="24"/>
                <w:color w:val="000000"/>
              </w:rPr>
              <w:t>(DB13(J)53-2005) 其他现行国家有关法律、规范、规程、工程建设标准及陕西省、渭南市地方法规、规范及标准。</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、工程施工要求</w:t>
            </w:r>
          </w:p>
          <w:p>
            <w:pPr>
              <w:pStyle w:val="null3"/>
              <w:ind w:firstLine="49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.施工组织实施保障要求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员配备合理。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r>
              <w:rPr>
                <w:rFonts w:ascii="仿宋_GB2312" w:hAnsi="仿宋_GB2312" w:cs="仿宋_GB2312" w:eastAsia="仿宋_GB2312"/>
                <w:sz w:val="24"/>
                <w:color w:val="000000"/>
              </w:rPr>
              <w:t>，否则，给采购人造成的损失由供应商全权负责。</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2）有各类突发事件的应急预案和措施，有明确具体的承诺。</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3）供应商所拟派的工作人员，若在施工期间发生任何伤害，采购人概不负责，由供应商自行处理。</w:t>
            </w:r>
          </w:p>
          <w:p>
            <w:pPr>
              <w:pStyle w:val="null3"/>
              <w:ind w:firstLine="496"/>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.施工材料要求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1）施工中所使用的设备、材料、器件等应符合相关的国家标准和设计要求，取得供货商的产品合格证后方可使用，具备条件的可抽样送检合格后投入使用。</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2）施工中,应做好材料设备、隐蔽工程和分项工程等中间环节的质量验收。隐蔽工程在验收合格后，方可进行下一道工序的施工。</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、针对本项目的其他技术服务要求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1）项目建设相关要求：严格执行国家相关标准、行业标准、地方标准等。</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2）投标人所有与本项目有关的技术标准均应不低于已颁布的国家和行业标准，或相应的国际标准的有关条文。使用最新的专利和保密专利需特别说明。</w:t>
            </w:r>
          </w:p>
          <w:p>
            <w:pPr>
              <w:pStyle w:val="null3"/>
              <w:ind w:firstLine="498"/>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、工程量清单及编制说明（详见附件）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《建筑与市政地基基础通用规范》(GB55003-2021)； 《工程建设标准强制性条文》（2013年版）； 《安全防范工程通用规范》 （GB 55029-2022）； 《施工现场临时用电安全技术规范》（JGJ46-88）； 《建筑抗震设计规范》（GB 50011-2010)(2016 年版)； 《市政道路工程质量检验评定标准》（CJJ1- 90） 《施工现场临时用电安全技术规范》（JGJ46-88 ） 《建设工程施工现场供用电安全规范》（GB50194-93） 《建设施工安全检查标准》（JGJ59-99） 《建筑工程施工质量验收统一标准》及 其他现行国家有关法律、规范、规程、工程建设标准及陕西省、渭南市地方法规、规范及标准。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（1）项目建设相关要求：严格执行国家相关标准、行业标准、地方标准等。 （2）投标人所有与本项目有关的技术标准均应不低于已颁布的国家和行业标准，或相应的国际标准的有关条文。使用最新的专利和保密专利需特别说明。</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 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提供具有履行本合同所必需的设备和专业技术能力的说明或承诺；（格式自拟，加盖单位公章）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参加政府采购活动前三年内在经营活动中无重大违法记录（格式自拟，加盖单位公章）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拟派项目经理须具备建筑工程二级（含二级）及以上注册建造师执业资格，并具有有效的安全生产考核合格证，且无在建工程；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对招标内容的响应程度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商务要求响应表.docx 项目技术、服务要求.docx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投标方案及其他证明材料.docx 中小企业声明函 商务要求响应表.docx 项目技术、服务要求.docx 响应文件封面 项目管理机构组成表 报价函 标的清单 供应商类似项目业绩一览表 供应商资格证明文件.docx 响应函 主要人员简历表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 ③相关技术措施； ④重点难点工程分析及解决措施。 （二）评审标准： （1）每项评审内容完整无缺陷得3分，满分12分；未提供得0分；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（1）每项评审内容完整无缺陷得2分，满分6分；未提供得0分；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满足竞争性磋商文件要求且磋商价格最低的最终磋商报价为磋商基准价，得满分35分； (2)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详见附件：投标方案及其他证明材料.docx</w:t>
      </w:r>
    </w:p>
    <w:p>
      <w:pPr>
        <w:pStyle w:val="null3"/>
        <w:ind w:firstLine="960"/>
      </w:pPr>
      <w:r>
        <w:rPr>
          <w:rFonts w:ascii="仿宋_GB2312" w:hAnsi="仿宋_GB2312" w:cs="仿宋_GB2312" w:eastAsia="仿宋_GB2312"/>
        </w:rPr>
        <w:t>详见附件：项目技术、服务要求.docx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