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版本号：YXZB-2026-0603.1B120260710001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2026年临潼法院诉讼服务中心服务外包项目(二次)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YXZB-2026-0603.1B1</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2026年临潼法院诉讼服务中心服务外包项目(二次)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YXZB-2026-0603.1B1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2026年临潼法院诉讼服务中心服务外包项目(二次)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推进司法体制改革，落实司法辅助事务集约化、社会化管理要求，减轻法院核心办案压力，提升诉讼服务质效与群众满意度，我院启动诉讼服务中心服务外包项目，通过引入专业服务机构，承接诉讼服务中心非核心司法辅助事务，构建“专业高效、规范便民、安全保密”的一站式诉讼服务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采购包1（2026年临潼法院诉讼服务中心服务外包项目）：属于专门面向中小企业采购。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 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西安市临潼区人民法院[161]经办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西安市高新区泰维智链中心一期 B 座2层202室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陕西玥鑫项目管理有限公司经办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17389208679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代理服务费收费标准：1.招标代理服务费收取参考国家计委颁布的《招标代理服务收费管理暂行办法》（计价格[2002]1980号）和（发改办价格[2003]857号）文收费标准计取，2.单位名称：陕西玥鑫项目管理有限公司 开户银行：中国建设银行股份有限公司西安祥和居支行 银行账户：6105 0110 1948 00000615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西安市临潼区人民法院[161]</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详⻅采购⽂件合同相关条款。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联系人：玥鑫经办</w:t>
      </w:r>
    </w:p>
    <w:p>
      <w:pPr>
        <w:pStyle w:val="null3"/>
      </w:pPr>
      <w:r>
        <w:rPr>
          <w:rFonts w:ascii="仿宋_GB2312" w:hAnsi="仿宋_GB2312" w:cs="仿宋_GB2312" w:eastAsia="仿宋_GB2312"/>
        </w:rPr>
        <w:t>联系电话：17389208679</w:t>
      </w:r>
    </w:p>
    <w:p>
      <w:pPr>
        <w:pStyle w:val="null3"/>
      </w:pPr>
      <w:r>
        <w:rPr>
          <w:rFonts w:ascii="仿宋_GB2312" w:hAnsi="仿宋_GB2312" w:cs="仿宋_GB2312" w:eastAsia="仿宋_GB2312"/>
        </w:rPr>
        <w:t>地址：西安市高新区泰维智链中心一期 B 座2层202室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推进司法体制改革，落实司法辅助事务集约化、社会化管理要求，减轻法院核心办案压力，提升诉讼服务质效与群众满意度，我院启动诉讼服务中心服务外包项目，通过引入专业服务机构，承接诉讼服务中心非核心司法辅助事务，构建“专业高效、规范便民、安全保密”的一站式诉讼服务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542,200.00</w:t>
      </w:r>
    </w:p>
    <w:p>
      <w:pPr>
        <w:pStyle w:val="null3"/>
      </w:pPr>
      <w:r>
        <w:rPr>
          <w:rFonts w:ascii="仿宋_GB2312" w:hAnsi="仿宋_GB2312" w:cs="仿宋_GB2312" w:eastAsia="仿宋_GB2312"/>
        </w:rPr>
        <w:t>采购包最高限价（元）: 542,200.00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2026年临潼法院诉讼服务中心服务外包项目（二次）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542,200.00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标的名称：2026年临潼法院诉讼服务中心服务外包项目（二次）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8"/>
              </w:rPr>
              <w:t>为深入推进司法体制改革，落实司法辅助事务集约化、社会化管理要求，减轻法院核心办案压力，提升诉讼服务质效与群众满意度，</w:t>
            </w:r>
            <w:r>
              <w:rPr>
                <w:rFonts w:ascii="仿宋_GB2312" w:hAnsi="仿宋_GB2312" w:cs="仿宋_GB2312" w:eastAsia="仿宋_GB2312"/>
                <w:sz w:val="28"/>
              </w:rPr>
              <w:t>我院</w:t>
            </w:r>
            <w:r>
              <w:rPr>
                <w:rFonts w:ascii="仿宋_GB2312" w:hAnsi="仿宋_GB2312" w:cs="仿宋_GB2312" w:eastAsia="仿宋_GB2312"/>
                <w:sz w:val="28"/>
              </w:rPr>
              <w:t>启动诉讼服务中心服务外包项目，通过引入专业服务机构，承接诉讼服务中心非核心司法辅助事务，构建</w:t>
            </w:r>
            <w:r>
              <w:rPr>
                <w:rFonts w:ascii="仿宋_GB2312" w:hAnsi="仿宋_GB2312" w:cs="仿宋_GB2312" w:eastAsia="仿宋_GB2312"/>
                <w:sz w:val="28"/>
              </w:rPr>
              <w:t>“专业高效、规范便民、安全保密”的一站式诉讼服务体系</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二、服务内容</w:t>
            </w:r>
          </w:p>
          <w:p>
            <w:pPr>
              <w:pStyle w:val="null3"/>
              <w:jc w:val="both"/>
            </w:pPr>
            <w:r>
              <w:rPr>
                <w:rFonts w:ascii="仿宋_GB2312" w:hAnsi="仿宋_GB2312" w:cs="仿宋_GB2312" w:eastAsia="仿宋_GB2312"/>
                <w:sz w:val="28"/>
              </w:rPr>
              <w:t>工作区域：</w:t>
            </w:r>
            <w:r>
              <w:rPr>
                <w:rFonts w:ascii="仿宋_GB2312" w:hAnsi="仿宋_GB2312" w:cs="仿宋_GB2312" w:eastAsia="仿宋_GB2312"/>
                <w:sz w:val="28"/>
              </w:rPr>
              <w:t>法院指定地点。</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服务方需根据采购人要求，配置人员</w:t>
            </w:r>
            <w:r>
              <w:rPr>
                <w:rFonts w:ascii="仿宋_GB2312" w:hAnsi="仿宋_GB2312" w:cs="仿宋_GB2312" w:eastAsia="仿宋_GB2312"/>
                <w:sz w:val="28"/>
              </w:rPr>
              <w:t>不少于</w:t>
            </w:r>
            <w:r>
              <w:rPr>
                <w:rFonts w:ascii="仿宋_GB2312" w:hAnsi="仿宋_GB2312" w:cs="仿宋_GB2312" w:eastAsia="仿宋_GB2312"/>
                <w:sz w:val="28"/>
                <w:u w:val="single"/>
              </w:rPr>
              <w:t>8</w:t>
            </w:r>
            <w:r>
              <w:rPr>
                <w:rFonts w:ascii="仿宋_GB2312" w:hAnsi="仿宋_GB2312" w:cs="仿宋_GB2312" w:eastAsia="仿宋_GB2312"/>
                <w:sz w:val="28"/>
              </w:rPr>
              <w:t>位</w:t>
            </w:r>
            <w:r>
              <w:rPr>
                <w:rFonts w:ascii="仿宋_GB2312" w:hAnsi="仿宋_GB2312" w:cs="仿宋_GB2312" w:eastAsia="仿宋_GB2312"/>
                <w:sz w:val="28"/>
              </w:rPr>
              <w:t>，实行专人专责、分岗协作</w:t>
            </w:r>
            <w:r>
              <w:rPr>
                <w:rFonts w:ascii="仿宋_GB2312" w:hAnsi="仿宋_GB2312" w:cs="仿宋_GB2312" w:eastAsia="仿宋_GB2312"/>
                <w:sz w:val="28"/>
              </w:rPr>
              <w:t>。</w:t>
            </w:r>
            <w:r>
              <w:rPr>
                <w:rFonts w:ascii="仿宋_GB2312" w:hAnsi="仿宋_GB2312" w:cs="仿宋_GB2312" w:eastAsia="仿宋_GB2312"/>
                <w:sz w:val="28"/>
                <w:color w:val="000000"/>
              </w:rPr>
              <w:t>包括但不限于：</w:t>
            </w:r>
            <w:r>
              <w:rPr>
                <w:rFonts w:ascii="仿宋_GB2312" w:hAnsi="仿宋_GB2312" w:cs="仿宋_GB2312" w:eastAsia="仿宋_GB2312"/>
                <w:sz w:val="28"/>
                <w:color w:val="000000"/>
              </w:rPr>
              <w:t>诉讼中心服务</w:t>
            </w:r>
            <w:r>
              <w:rPr>
                <w:rFonts w:ascii="仿宋_GB2312" w:hAnsi="仿宋_GB2312" w:cs="仿宋_GB2312" w:eastAsia="仿宋_GB2312"/>
                <w:sz w:val="28"/>
                <w:color w:val="000000"/>
              </w:rPr>
              <w:t>事务外包服务人员招聘、工资支付、人员培训、</w:t>
            </w:r>
            <w:r>
              <w:rPr>
                <w:rFonts w:ascii="仿宋_GB2312" w:hAnsi="仿宋_GB2312" w:cs="仿宋_GB2312" w:eastAsia="仿宋_GB2312"/>
                <w:sz w:val="28"/>
              </w:rPr>
              <w:t>涵盖大厅导诉接待、群众咨询引导、线上线下立案辅助、案件材料整理流转、电子卷宗扫描编目、信访登记对接、日常数据统计及档案辅助管理等综合性事务工作。</w:t>
            </w:r>
            <w:r>
              <w:rPr>
                <w:rFonts w:ascii="仿宋_GB2312" w:hAnsi="仿宋_GB2312" w:cs="仿宋_GB2312" w:eastAsia="仿宋_GB2312"/>
                <w:sz w:val="28"/>
                <w:color w:val="000000"/>
              </w:rPr>
              <w:t>具体工作内容以</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实际需求为准</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三、技术要求</w:t>
            </w:r>
          </w:p>
          <w:p>
            <w:pPr>
              <w:pStyle w:val="null3"/>
              <w:ind w:firstLine="512"/>
              <w:jc w:val="left"/>
            </w:pPr>
            <w:r>
              <w:rPr>
                <w:rFonts w:ascii="仿宋_GB2312" w:hAnsi="仿宋_GB2312" w:cs="仿宋_GB2312" w:eastAsia="仿宋_GB2312"/>
                <w:sz w:val="28"/>
              </w:rPr>
              <w:t>1、人员培训：所有应聘人员应进行必要的公司制度、岗前及在岗培训。</w:t>
            </w:r>
          </w:p>
          <w:p>
            <w:pPr>
              <w:pStyle w:val="null3"/>
              <w:ind w:firstLine="508"/>
              <w:jc w:val="left"/>
            </w:pPr>
            <w:r>
              <w:rPr>
                <w:rFonts w:ascii="仿宋_GB2312" w:hAnsi="仿宋_GB2312" w:cs="仿宋_GB2312" w:eastAsia="仿宋_GB2312"/>
                <w:sz w:val="28"/>
              </w:rPr>
              <w:t>2、人员工资组成：</w:t>
            </w:r>
          </w:p>
          <w:p>
            <w:pPr>
              <w:pStyle w:val="null3"/>
              <w:ind w:firstLine="516"/>
              <w:jc w:val="left"/>
            </w:pPr>
            <w:r>
              <w:rPr>
                <w:rFonts w:ascii="仿宋_GB2312" w:hAnsi="仿宋_GB2312" w:cs="仿宋_GB2312" w:eastAsia="仿宋_GB2312"/>
                <w:sz w:val="28"/>
              </w:rPr>
              <w:t>人员工资由基础底薪、绩效工资、社保（五险）、福利工资（节日慰问）组成；</w:t>
            </w:r>
          </w:p>
          <w:p>
            <w:pPr>
              <w:pStyle w:val="null3"/>
              <w:ind w:firstLine="516"/>
              <w:jc w:val="left"/>
            </w:pPr>
            <w:r>
              <w:rPr>
                <w:rFonts w:ascii="仿宋_GB2312" w:hAnsi="仿宋_GB2312" w:cs="仿宋_GB2312" w:eastAsia="仿宋_GB2312"/>
                <w:sz w:val="28"/>
              </w:rPr>
              <w:t>人员服装费、培训费、管理费、商业保险、保障金、材料费等不含在内。</w:t>
            </w:r>
          </w:p>
          <w:p>
            <w:pPr>
              <w:pStyle w:val="null3"/>
              <w:ind w:firstLine="480"/>
              <w:jc w:val="left"/>
            </w:pPr>
            <w:r>
              <w:rPr>
                <w:rFonts w:ascii="仿宋_GB2312" w:hAnsi="仿宋_GB2312" w:cs="仿宋_GB2312" w:eastAsia="仿宋_GB2312"/>
                <w:sz w:val="28"/>
              </w:rPr>
              <w:t>其他政策性费用（社会保险、基本医疗保险、失业</w:t>
            </w:r>
            <w:r>
              <w:rPr>
                <w:rFonts w:ascii="仿宋_GB2312" w:hAnsi="仿宋_GB2312" w:cs="仿宋_GB2312" w:eastAsia="仿宋_GB2312"/>
                <w:sz w:val="28"/>
              </w:rPr>
              <w:t>,工伤保险,生育保险,残疾人保障金等）标准均应不低于西安市现行政策要求。</w:t>
            </w:r>
          </w:p>
          <w:p>
            <w:pPr>
              <w:pStyle w:val="null3"/>
              <w:ind w:firstLine="480"/>
              <w:jc w:val="left"/>
            </w:pPr>
            <w:r>
              <w:rPr>
                <w:rFonts w:ascii="仿宋_GB2312" w:hAnsi="仿宋_GB2312" w:cs="仿宋_GB2312" w:eastAsia="仿宋_GB2312"/>
                <w:sz w:val="28"/>
              </w:rPr>
              <w:t>应按照《劳动法》、《劳动合同法》等法律法规规定，及时与劳务外包人员签订劳动合同，按时足额发放工资，办理缴纳社会保险等。</w:t>
            </w:r>
          </w:p>
          <w:p>
            <w:pPr>
              <w:pStyle w:val="null3"/>
              <w:ind w:firstLine="508"/>
              <w:jc w:val="left"/>
            </w:pPr>
            <w:r>
              <w:rPr>
                <w:rFonts w:ascii="仿宋_GB2312" w:hAnsi="仿宋_GB2312" w:cs="仿宋_GB2312" w:eastAsia="仿宋_GB2312"/>
                <w:sz w:val="28"/>
              </w:rPr>
              <w:t>3、人员服装</w:t>
            </w:r>
          </w:p>
          <w:p>
            <w:pPr>
              <w:pStyle w:val="null3"/>
              <w:ind w:firstLine="480"/>
              <w:jc w:val="left"/>
            </w:pPr>
            <w:r>
              <w:rPr>
                <w:rFonts w:ascii="仿宋_GB2312" w:hAnsi="仿宋_GB2312" w:cs="仿宋_GB2312" w:eastAsia="仿宋_GB2312"/>
                <w:sz w:val="28"/>
              </w:rPr>
              <w:t>夏装二套、春秋装一套，服装总费用人均不低于</w:t>
            </w:r>
            <w:r>
              <w:rPr>
                <w:rFonts w:ascii="仿宋_GB2312" w:hAnsi="仿宋_GB2312" w:cs="仿宋_GB2312" w:eastAsia="仿宋_GB2312"/>
                <w:sz w:val="28"/>
                <w:u w:val="single"/>
              </w:rPr>
              <w:t xml:space="preserve"> 1000</w:t>
            </w:r>
            <w:r>
              <w:rPr>
                <w:rFonts w:ascii="仿宋_GB2312" w:hAnsi="仿宋_GB2312" w:cs="仿宋_GB2312" w:eastAsia="仿宋_GB2312"/>
                <w:sz w:val="28"/>
                <w:u w:val="single"/>
              </w:rPr>
              <w:t>.00</w:t>
            </w:r>
            <w:r>
              <w:rPr>
                <w:rFonts w:ascii="仿宋_GB2312" w:hAnsi="仿宋_GB2312" w:cs="仿宋_GB2312" w:eastAsia="仿宋_GB2312"/>
                <w:sz w:val="28"/>
              </w:rPr>
              <w:t>元。</w:t>
            </w:r>
          </w:p>
          <w:p>
            <w:pPr>
              <w:pStyle w:val="null3"/>
              <w:ind w:firstLine="508"/>
              <w:jc w:val="left"/>
            </w:pPr>
            <w:r>
              <w:rPr>
                <w:rFonts w:ascii="仿宋_GB2312" w:hAnsi="仿宋_GB2312" w:cs="仿宋_GB2312" w:eastAsia="仿宋_GB2312"/>
                <w:sz w:val="28"/>
              </w:rPr>
              <w:t>4、管理要求</w:t>
            </w:r>
          </w:p>
          <w:p>
            <w:pPr>
              <w:pStyle w:val="null3"/>
              <w:ind w:firstLine="480"/>
              <w:jc w:val="left"/>
            </w:pPr>
            <w:r>
              <w:rPr>
                <w:rFonts w:ascii="仿宋_GB2312" w:hAnsi="仿宋_GB2312" w:cs="仿宋_GB2312" w:eastAsia="仿宋_GB2312"/>
                <w:sz w:val="28"/>
              </w:rPr>
              <w:t>供应商应负责管理所有服务人员，按时足额向服务人员发放薪资报酬等，处理服务期内劳动过程中产生的劳动争议、人身安全等所有纠纷，因服务人员的劳动争议等纠纷产生的赔偿费用及后果，由供应商自行承担，与采购人无关。</w:t>
            </w:r>
          </w:p>
          <w:p>
            <w:pPr>
              <w:pStyle w:val="null3"/>
              <w:ind w:firstLine="480"/>
              <w:jc w:val="left"/>
            </w:pPr>
            <w:r>
              <w:rPr>
                <w:rFonts w:ascii="仿宋_GB2312" w:hAnsi="仿宋_GB2312" w:cs="仿宋_GB2312" w:eastAsia="仿宋_GB2312"/>
                <w:sz w:val="28"/>
              </w:rPr>
              <w:t>为确保服务人员能够完成采购人约定交办的各项业务和工作任务，供应商应主动接受采购人对服务人员进行业务管理，听取采购人对服务人员绩效评定意见。供应商应及时考虑采购人对服务人员的调整、辞退意见。工作时间按照采购人规定的工时制，工作日正常上下班，法定节假日及重要节假日期间需要安排值班的，由供应商按照值班人员名单及值班天数</w:t>
            </w:r>
            <w:r>
              <w:rPr>
                <w:rFonts w:ascii="仿宋_GB2312" w:hAnsi="仿宋_GB2312" w:cs="仿宋_GB2312" w:eastAsia="仿宋_GB2312"/>
                <w:sz w:val="28"/>
              </w:rPr>
              <w:t>,给值班人员发放加班费和误餐补贴。</w:t>
            </w:r>
          </w:p>
          <w:p>
            <w:pPr>
              <w:pStyle w:val="null3"/>
              <w:ind w:firstLine="480"/>
              <w:jc w:val="left"/>
            </w:pPr>
            <w:r>
              <w:rPr>
                <w:rFonts w:ascii="仿宋_GB2312" w:hAnsi="仿宋_GB2312" w:cs="仿宋_GB2312" w:eastAsia="仿宋_GB2312"/>
                <w:sz w:val="28"/>
              </w:rPr>
              <w:t>供应商服务过程中须接受采购人监督及考核，若服务过程中因人员自身问题考核不合格，采购人有权要求更换服务人员，若因供应商管理问题，采购人有权进行处罚并要求供应商进行整改，若整改后无法满足采购人服务要求，采购人有权更换服务单位。</w:t>
            </w:r>
          </w:p>
          <w:p>
            <w:pPr>
              <w:pStyle w:val="null3"/>
              <w:ind w:firstLine="480"/>
              <w:jc w:val="left"/>
            </w:pPr>
            <w:r>
              <w:rPr>
                <w:rFonts w:ascii="仿宋_GB2312" w:hAnsi="仿宋_GB2312" w:cs="仿宋_GB2312" w:eastAsia="仿宋_GB2312"/>
                <w:sz w:val="28"/>
              </w:rPr>
              <w:t>5、人员要求</w:t>
            </w:r>
          </w:p>
          <w:p>
            <w:pPr>
              <w:pStyle w:val="null3"/>
              <w:jc w:val="both"/>
            </w:pPr>
            <w:r>
              <w:rPr>
                <w:rFonts w:ascii="仿宋_GB2312" w:hAnsi="仿宋_GB2312" w:cs="仿宋_GB2312" w:eastAsia="仿宋_GB2312"/>
                <w:sz w:val="28"/>
              </w:rPr>
              <w:t>5.1、按项目工作要求，合理配置相关服务人员。具体人员要求如下:</w:t>
            </w:r>
          </w:p>
          <w:p>
            <w:pPr>
              <w:pStyle w:val="null3"/>
              <w:jc w:val="both"/>
            </w:pPr>
            <w:r>
              <w:rPr>
                <w:rFonts w:ascii="仿宋_GB2312" w:hAnsi="仿宋_GB2312" w:cs="仿宋_GB2312" w:eastAsia="仿宋_GB2312"/>
                <w:sz w:val="28"/>
              </w:rPr>
              <w:t>(1)具有中华人民共和国国籍，拥护党的理论和路线方针政策，遵纪守法，具有较强的政治素质、良好的职业道德，无违法违纪受处分记录，热爱法院工作；具有一定法律意识；</w:t>
            </w:r>
          </w:p>
          <w:p>
            <w:pPr>
              <w:pStyle w:val="null3"/>
              <w:jc w:val="both"/>
            </w:pPr>
            <w:r>
              <w:rPr>
                <w:rFonts w:ascii="仿宋_GB2312" w:hAnsi="仿宋_GB2312" w:cs="仿宋_GB2312" w:eastAsia="仿宋_GB2312"/>
                <w:sz w:val="28"/>
              </w:rPr>
              <w:t>(2)项目服务人员:</w:t>
            </w:r>
            <w:r>
              <w:rPr>
                <w:rFonts w:ascii="仿宋_GB2312" w:hAnsi="仿宋_GB2312" w:cs="仿宋_GB2312" w:eastAsia="仿宋_GB2312"/>
                <w:sz w:val="28"/>
              </w:rPr>
              <w:t>大专及以上学历</w:t>
            </w:r>
            <w:r>
              <w:rPr>
                <w:rFonts w:ascii="仿宋_GB2312" w:hAnsi="仿宋_GB2312" w:cs="仿宋_GB2312" w:eastAsia="仿宋_GB2312"/>
                <w:sz w:val="28"/>
              </w:rPr>
              <w:t>或计算机及相关管理类学历，</w:t>
            </w:r>
            <w:r>
              <w:rPr>
                <w:rFonts w:ascii="仿宋_GB2312" w:hAnsi="仿宋_GB2312" w:cs="仿宋_GB2312" w:eastAsia="仿宋_GB2312"/>
                <w:sz w:val="28"/>
              </w:rPr>
              <w:t>具有法院诉讼服务、司法辅助事务等相关工作经验</w:t>
            </w:r>
            <w:r>
              <w:rPr>
                <w:rFonts w:ascii="仿宋_GB2312" w:hAnsi="仿宋_GB2312" w:cs="仿宋_GB2312" w:eastAsia="仿宋_GB2312"/>
                <w:sz w:val="28"/>
              </w:rPr>
              <w:t>优先</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(3)身体健康，五官端正，无传染病；具有正常履行职责的身体条件和工作能力，能胜任相关岗位的工作；</w:t>
            </w:r>
          </w:p>
          <w:p>
            <w:pPr>
              <w:pStyle w:val="null3"/>
              <w:jc w:val="both"/>
            </w:pPr>
            <w:r>
              <w:rPr>
                <w:rFonts w:ascii="仿宋_GB2312" w:hAnsi="仿宋_GB2312" w:cs="仿宋_GB2312" w:eastAsia="仿宋_GB2312"/>
                <w:sz w:val="28"/>
              </w:rPr>
              <w:t>(4)具有较强的语言表达能力及组织协调能力；工作积极主动、执行能力强；具有良好的团队合作精神、高度的责任感和进取心，严格的组织纪律性和保密意识；</w:t>
            </w:r>
          </w:p>
          <w:p>
            <w:pPr>
              <w:pStyle w:val="null3"/>
              <w:jc w:val="both"/>
            </w:pPr>
            <w:r>
              <w:rPr>
                <w:rFonts w:ascii="仿宋_GB2312" w:hAnsi="仿宋_GB2312" w:cs="仿宋_GB2312" w:eastAsia="仿宋_GB2312"/>
                <w:sz w:val="28"/>
              </w:rPr>
              <w:t>(5)严格遵守法院日常规章管理制度和工作规范。</w:t>
            </w:r>
          </w:p>
          <w:p>
            <w:pPr>
              <w:pStyle w:val="null3"/>
              <w:jc w:val="both"/>
            </w:pPr>
            <w:r>
              <w:rPr>
                <w:rFonts w:ascii="仿宋_GB2312" w:hAnsi="仿宋_GB2312" w:cs="仿宋_GB2312" w:eastAsia="仿宋_GB2312"/>
                <w:sz w:val="28"/>
              </w:rPr>
              <w:t>5.2、下列工作人员之一不得担任本项目的工作人员：</w:t>
            </w:r>
          </w:p>
          <w:p>
            <w:pPr>
              <w:pStyle w:val="null3"/>
              <w:jc w:val="both"/>
            </w:pPr>
            <w:r>
              <w:rPr>
                <w:rFonts w:ascii="仿宋_GB2312" w:hAnsi="仿宋_GB2312" w:cs="仿宋_GB2312" w:eastAsia="仿宋_GB2312"/>
                <w:sz w:val="28"/>
              </w:rPr>
              <w:t>(1)因犯罪受过刑事处罚的；</w:t>
            </w:r>
          </w:p>
          <w:p>
            <w:pPr>
              <w:pStyle w:val="null3"/>
              <w:jc w:val="both"/>
            </w:pPr>
            <w:r>
              <w:rPr>
                <w:rFonts w:ascii="仿宋_GB2312" w:hAnsi="仿宋_GB2312" w:cs="仿宋_GB2312" w:eastAsia="仿宋_GB2312"/>
                <w:sz w:val="28"/>
              </w:rPr>
              <w:t>(2)曾被开除公职或辞退的；</w:t>
            </w:r>
          </w:p>
          <w:p>
            <w:pPr>
              <w:pStyle w:val="null3"/>
              <w:jc w:val="both"/>
            </w:pPr>
            <w:r>
              <w:rPr>
                <w:rFonts w:ascii="仿宋_GB2312" w:hAnsi="仿宋_GB2312" w:cs="仿宋_GB2312" w:eastAsia="仿宋_GB2312"/>
                <w:sz w:val="28"/>
              </w:rPr>
              <w:t>(3)涉嫌违法违纪正在接受审查的，尚未作出结论的；</w:t>
            </w:r>
          </w:p>
          <w:p>
            <w:pPr>
              <w:pStyle w:val="null3"/>
              <w:jc w:val="both"/>
            </w:pPr>
            <w:r>
              <w:rPr>
                <w:rFonts w:ascii="仿宋_GB2312" w:hAnsi="仿宋_GB2312" w:cs="仿宋_GB2312" w:eastAsia="仿宋_GB2312"/>
                <w:sz w:val="28"/>
              </w:rPr>
              <w:t>(4)有较为严重的个人不良信用记录的，被法院列入失信人员名单的；</w:t>
            </w:r>
          </w:p>
          <w:p>
            <w:pPr>
              <w:pStyle w:val="null3"/>
              <w:jc w:val="left"/>
            </w:pPr>
            <w:r>
              <w:rPr>
                <w:rFonts w:ascii="仿宋_GB2312" w:hAnsi="仿宋_GB2312" w:cs="仿宋_GB2312" w:eastAsia="仿宋_GB2312"/>
                <w:sz w:val="28"/>
              </w:rPr>
              <w:t>(5)项目工作人员的近亲属中存在担任审判人员或提供其他有偿法律</w:t>
            </w:r>
          </w:p>
          <w:p>
            <w:pPr>
              <w:pStyle w:val="null3"/>
              <w:jc w:val="left"/>
            </w:pPr>
            <w:r>
              <w:rPr>
                <w:rFonts w:ascii="仿宋_GB2312" w:hAnsi="仿宋_GB2312" w:cs="仿宋_GB2312" w:eastAsia="仿宋_GB2312"/>
                <w:sz w:val="28"/>
              </w:rPr>
              <w:t>5.3</w:t>
            </w:r>
            <w:r>
              <w:rPr>
                <w:rFonts w:ascii="仿宋_GB2312" w:hAnsi="仿宋_GB2312" w:cs="仿宋_GB2312" w:eastAsia="仿宋_GB2312"/>
                <w:sz w:val="28"/>
              </w:rPr>
              <w:t>、</w:t>
            </w:r>
            <w:r>
              <w:rPr>
                <w:rFonts w:ascii="仿宋_GB2312" w:hAnsi="仿宋_GB2312" w:cs="仿宋_GB2312" w:eastAsia="仿宋_GB2312"/>
                <w:sz w:val="28"/>
              </w:rPr>
              <w:t>服务人员</w:t>
            </w:r>
            <w:r>
              <w:rPr>
                <w:rFonts w:ascii="仿宋_GB2312" w:hAnsi="仿宋_GB2312" w:cs="仿宋_GB2312" w:eastAsia="仿宋_GB2312"/>
                <w:sz w:val="28"/>
              </w:rPr>
              <w:t>需</w:t>
            </w:r>
            <w:r>
              <w:rPr>
                <w:rFonts w:ascii="仿宋_GB2312" w:hAnsi="仿宋_GB2312" w:cs="仿宋_GB2312" w:eastAsia="仿宋_GB2312"/>
                <w:sz w:val="28"/>
              </w:rPr>
              <w:t>提供无犯罪记录证明</w:t>
            </w:r>
            <w:r>
              <w:rPr>
                <w:rFonts w:ascii="仿宋_GB2312" w:hAnsi="仿宋_GB2312" w:cs="仿宋_GB2312" w:eastAsia="仿宋_GB2312"/>
                <w:sz w:val="28"/>
              </w:rPr>
              <w:t>,并且签订保密承诺书.</w:t>
            </w:r>
          </w:p>
          <w:p>
            <w:pPr>
              <w:pStyle w:val="null3"/>
              <w:jc w:val="left"/>
            </w:pPr>
            <w:r>
              <w:rPr>
                <w:rFonts w:ascii="仿宋_GB2312" w:hAnsi="仿宋_GB2312" w:cs="仿宋_GB2312" w:eastAsia="仿宋_GB2312"/>
                <w:sz w:val="28"/>
              </w:rPr>
              <w:t>5.4</w:t>
            </w:r>
            <w:r>
              <w:rPr>
                <w:rFonts w:ascii="仿宋_GB2312" w:hAnsi="仿宋_GB2312" w:cs="仿宋_GB2312" w:eastAsia="仿宋_GB2312"/>
                <w:sz w:val="28"/>
              </w:rPr>
              <w:t>、</w:t>
            </w:r>
            <w:r>
              <w:rPr>
                <w:rFonts w:ascii="仿宋_GB2312" w:hAnsi="仿宋_GB2312" w:cs="仿宋_GB2312" w:eastAsia="仿宋_GB2312"/>
                <w:sz w:val="28"/>
              </w:rPr>
              <w:t>岗位人员年龄要求</w:t>
            </w:r>
            <w:r>
              <w:rPr>
                <w:rFonts w:ascii="仿宋_GB2312" w:hAnsi="仿宋_GB2312" w:cs="仿宋_GB2312" w:eastAsia="仿宋_GB2312"/>
                <w:sz w:val="28"/>
              </w:rPr>
              <w:t>20岁到45岁之间,具体相关专业知识及相关工作经验.</w:t>
            </w:r>
          </w:p>
          <w:p>
            <w:pPr>
              <w:pStyle w:val="null3"/>
              <w:ind w:firstLine="504"/>
              <w:jc w:val="left"/>
            </w:pPr>
            <w:r>
              <w:rPr>
                <w:rFonts w:ascii="仿宋_GB2312" w:hAnsi="仿宋_GB2312" w:cs="仿宋_GB2312" w:eastAsia="仿宋_GB2312"/>
                <w:sz w:val="28"/>
              </w:rPr>
              <w:t>6、费用说明</w:t>
            </w:r>
          </w:p>
          <w:p>
            <w:pPr>
              <w:pStyle w:val="null3"/>
              <w:ind w:firstLine="480"/>
              <w:jc w:val="left"/>
            </w:pPr>
            <w:r>
              <w:rPr>
                <w:rFonts w:ascii="仿宋_GB2312" w:hAnsi="仿宋_GB2312" w:cs="仿宋_GB2312" w:eastAsia="仿宋_GB2312"/>
                <w:sz w:val="28"/>
              </w:rPr>
              <w:t>投标报价应包含人员工资、社保费用（五险）、医疗费用、管理费用、材料费、一切税费（包括增值税发票）、保险费、培训费、资料、招标代理服务费、政策性费用等以及项目实施全过程中产生的所有费用。</w:t>
            </w:r>
          </w:p>
          <w:p>
            <w:pPr>
              <w:pStyle w:val="null3"/>
              <w:ind w:firstLine="508"/>
              <w:jc w:val="left"/>
            </w:pPr>
            <w:r>
              <w:rPr>
                <w:rFonts w:ascii="仿宋_GB2312" w:hAnsi="仿宋_GB2312" w:cs="仿宋_GB2312" w:eastAsia="仿宋_GB2312"/>
                <w:sz w:val="28"/>
              </w:rPr>
              <w:t>7、服务质量要求</w:t>
            </w:r>
          </w:p>
          <w:p>
            <w:pPr>
              <w:pStyle w:val="null3"/>
              <w:ind w:firstLine="480"/>
              <w:jc w:val="left"/>
            </w:pPr>
            <w:r>
              <w:rPr>
                <w:rFonts w:ascii="仿宋_GB2312" w:hAnsi="仿宋_GB2312" w:cs="仿宋_GB2312" w:eastAsia="仿宋_GB2312"/>
                <w:sz w:val="28"/>
              </w:rPr>
              <w:t>对我院案件信息录入及时率达到</w:t>
            </w:r>
            <w:r>
              <w:rPr>
                <w:rFonts w:ascii="仿宋_GB2312" w:hAnsi="仿宋_GB2312" w:cs="仿宋_GB2312" w:eastAsia="仿宋_GB2312"/>
                <w:sz w:val="28"/>
              </w:rPr>
              <w:t>100%，录入正确率达到100%，立案阶段随案生成率达到85%，12368电话接通率达到90%以上，群众满意度达到98%；法官满意度达到98%。</w:t>
            </w:r>
          </w:p>
          <w:p>
            <w:pPr>
              <w:pStyle w:val="null3"/>
              <w:ind w:firstLine="480"/>
              <w:jc w:val="left"/>
            </w:pPr>
            <w:r>
              <w:rPr>
                <w:rFonts w:ascii="仿宋_GB2312" w:hAnsi="仿宋_GB2312" w:cs="仿宋_GB2312" w:eastAsia="仿宋_GB2312"/>
                <w:sz w:val="28"/>
                <w:b/>
              </w:rPr>
              <w:t>四、服务要求</w:t>
            </w:r>
          </w:p>
          <w:p>
            <w:pPr>
              <w:pStyle w:val="null3"/>
              <w:spacing w:before="315"/>
              <w:ind w:left="30"/>
              <w:jc w:val="both"/>
            </w:pPr>
            <w:r>
              <w:rPr>
                <w:rFonts w:ascii="仿宋_GB2312" w:hAnsi="仿宋_GB2312" w:cs="仿宋_GB2312" w:eastAsia="仿宋_GB2312"/>
                <w:sz w:val="28"/>
              </w:rPr>
              <w:t>二、窗口服务要求</w:t>
            </w:r>
          </w:p>
          <w:p>
            <w:pPr>
              <w:pStyle w:val="null3"/>
              <w:spacing w:before="240"/>
              <w:ind w:left="45"/>
              <w:jc w:val="both"/>
            </w:pPr>
            <w:r>
              <w:rPr>
                <w:rFonts w:ascii="仿宋_GB2312" w:hAnsi="仿宋_GB2312" w:cs="仿宋_GB2312" w:eastAsia="仿宋_GB2312"/>
                <w:sz w:val="28"/>
              </w:rPr>
              <w:t>1、引导分流</w:t>
            </w:r>
          </w:p>
          <w:p>
            <w:pPr>
              <w:pStyle w:val="null3"/>
              <w:ind w:firstLine="480"/>
              <w:jc w:val="both"/>
            </w:pPr>
            <w:r>
              <w:rPr>
                <w:rFonts w:ascii="仿宋_GB2312" w:hAnsi="仿宋_GB2312" w:cs="仿宋_GB2312" w:eastAsia="仿宋_GB2312"/>
                <w:sz w:val="28"/>
              </w:rPr>
              <w:t>结合临潼区人民法院诉服中心设置情况，该岗位主要负责对当事人的材料进行初步审查，并根据材料标准要求指引当事人进行材料补充，如当事人需办理具体窗口业务，应根据业务需求将当事人分流到各接待窗口。同时引导并协助当事人使用现场自助设备，使当事人能够通过自助设备办理所需业务。</w:t>
            </w:r>
          </w:p>
          <w:p>
            <w:pPr>
              <w:pStyle w:val="null3"/>
              <w:spacing w:before="105"/>
              <w:ind w:left="30"/>
              <w:jc w:val="both"/>
            </w:pPr>
            <w:r>
              <w:rPr>
                <w:rFonts w:ascii="仿宋_GB2312" w:hAnsi="仿宋_GB2312" w:cs="仿宋_GB2312" w:eastAsia="仿宋_GB2312"/>
                <w:sz w:val="28"/>
              </w:rPr>
              <w:t>2、 网上立案材料审核</w:t>
            </w:r>
          </w:p>
          <w:p>
            <w:pPr>
              <w:pStyle w:val="null3"/>
              <w:ind w:firstLine="480"/>
              <w:jc w:val="both"/>
            </w:pPr>
            <w:r>
              <w:rPr>
                <w:rFonts w:ascii="仿宋_GB2312" w:hAnsi="仿宋_GB2312" w:cs="仿宋_GB2312" w:eastAsia="仿宋_GB2312"/>
                <w:sz w:val="28"/>
              </w:rPr>
              <w:t>结合网上立案的业务流程，该岗位主要负责立案材料审核辅助，由网上立案审查组的法官或法官助理完成网上立案信息的审查工作后，由辅助人员负责接收网上材料、现场网上立案和非现场网上立案材料的审查校对工作。</w:t>
            </w:r>
          </w:p>
          <w:p>
            <w:pPr>
              <w:pStyle w:val="null3"/>
              <w:spacing w:before="105"/>
              <w:ind w:left="30"/>
              <w:jc w:val="both"/>
            </w:pPr>
            <w:r>
              <w:rPr>
                <w:rFonts w:ascii="仿宋_GB2312" w:hAnsi="仿宋_GB2312" w:cs="仿宋_GB2312" w:eastAsia="仿宋_GB2312"/>
                <w:sz w:val="28"/>
              </w:rPr>
              <w:t>3、诉调对接</w:t>
            </w:r>
          </w:p>
          <w:p>
            <w:pPr>
              <w:pStyle w:val="null3"/>
              <w:ind w:firstLine="480"/>
              <w:jc w:val="both"/>
            </w:pPr>
            <w:r>
              <w:rPr>
                <w:rFonts w:ascii="仿宋_GB2312" w:hAnsi="仿宋_GB2312" w:cs="仿宋_GB2312" w:eastAsia="仿宋_GB2312"/>
                <w:sz w:val="28"/>
              </w:rPr>
              <w:t>该岗位主要负责接收分流到诉讼服务组的诉前调解案件，根据诉前调解服务组的分案原则把所收案件分配至各个调解员，同时将调解成功和调解失败的案件进行整理，移送给立案庭。</w:t>
            </w:r>
          </w:p>
          <w:p>
            <w:pPr>
              <w:pStyle w:val="null3"/>
              <w:spacing w:before="105"/>
              <w:jc w:val="both"/>
            </w:pPr>
            <w:r>
              <w:rPr>
                <w:rFonts w:ascii="仿宋_GB2312" w:hAnsi="仿宋_GB2312" w:cs="仿宋_GB2312" w:eastAsia="仿宋_GB2312"/>
                <w:sz w:val="28"/>
              </w:rPr>
              <w:t>4、材料收转及移送</w:t>
            </w:r>
          </w:p>
          <w:p>
            <w:pPr>
              <w:pStyle w:val="null3"/>
              <w:ind w:firstLine="560"/>
              <w:jc w:val="both"/>
            </w:pPr>
            <w:r>
              <w:rPr>
                <w:rFonts w:ascii="仿宋_GB2312" w:hAnsi="仿宋_GB2312" w:cs="仿宋_GB2312" w:eastAsia="仿宋_GB2312"/>
                <w:sz w:val="28"/>
              </w:rPr>
              <w:t>该岗位主要负责为了更好完成当事人提交材料的收转和退回工作，结合临潼区人民法院情况，材料收转岗位（兼案件查询岗和上诉登记岗）。材料收转岗指引当事人填写《材料收转清单》，并核对确认收转材料的真实性和份数，再由材料收转岗每天移送给各法官团队。法官团队认为需要退回给当事人的材料，将材料移交给该岗位，并说明退回情况。由该岗位联系当事人，并告知当事人退回原因。</w:t>
            </w:r>
          </w:p>
          <w:p>
            <w:pPr>
              <w:pStyle w:val="null3"/>
              <w:spacing w:before="135"/>
              <w:ind w:left="30"/>
              <w:jc w:val="both"/>
            </w:pPr>
            <w:r>
              <w:rPr>
                <w:rFonts w:ascii="仿宋_GB2312" w:hAnsi="仿宋_GB2312" w:cs="仿宋_GB2312" w:eastAsia="仿宋_GB2312"/>
                <w:sz w:val="28"/>
              </w:rPr>
              <w:t>5、上诉案件接收、登记及移送</w:t>
            </w:r>
          </w:p>
          <w:p>
            <w:pPr>
              <w:pStyle w:val="null3"/>
              <w:spacing w:before="225"/>
              <w:ind w:left="30" w:right="180" w:firstLine="489"/>
              <w:jc w:val="both"/>
            </w:pPr>
            <w:r>
              <w:rPr>
                <w:rFonts w:ascii="仿宋_GB2312" w:hAnsi="仿宋_GB2312" w:cs="仿宋_GB2312" w:eastAsia="仿宋_GB2312"/>
                <w:sz w:val="28"/>
              </w:rPr>
              <w:t>该岗位主要负责审查上诉材料是否符合接收条件，接收符合接收条件的上诉材料，并出具收取单；拒收不符合接收条件的上诉材料，并说明原因，同时将上诉状移送法官团队。上诉状扫描至系统进行登记</w:t>
            </w:r>
          </w:p>
          <w:p>
            <w:pPr>
              <w:pStyle w:val="null3"/>
              <w:spacing w:before="135"/>
              <w:ind w:left="30"/>
              <w:jc w:val="both"/>
            </w:pPr>
            <w:r>
              <w:rPr>
                <w:rFonts w:ascii="仿宋_GB2312" w:hAnsi="仿宋_GB2312" w:cs="仿宋_GB2312" w:eastAsia="仿宋_GB2312"/>
                <w:sz w:val="28"/>
              </w:rPr>
              <w:t>6、 案件信息查询</w:t>
            </w:r>
          </w:p>
          <w:p>
            <w:pPr>
              <w:pStyle w:val="null3"/>
              <w:spacing w:before="225"/>
              <w:ind w:firstLine="480"/>
              <w:jc w:val="both"/>
            </w:pPr>
            <w:r>
              <w:rPr>
                <w:rFonts w:ascii="仿宋_GB2312" w:hAnsi="仿宋_GB2312" w:cs="仿宋_GB2312" w:eastAsia="仿宋_GB2312"/>
                <w:sz w:val="28"/>
              </w:rPr>
              <w:t>该岗位主要负责接收当事人提出的案件查询申请，登记并核实当事人及查询案件的相关信息，协助当事人办理案件查询事宜。</w:t>
            </w:r>
          </w:p>
          <w:p>
            <w:pPr>
              <w:pStyle w:val="null3"/>
              <w:spacing w:before="105"/>
              <w:ind w:left="30"/>
              <w:jc w:val="both"/>
            </w:pPr>
            <w:r>
              <w:rPr>
                <w:rFonts w:ascii="仿宋_GB2312" w:hAnsi="仿宋_GB2312" w:cs="仿宋_GB2312" w:eastAsia="仿宋_GB2312"/>
                <w:sz w:val="28"/>
              </w:rPr>
              <w:t>7、案卷信息录入及扫描上传</w:t>
            </w:r>
          </w:p>
          <w:p>
            <w:pPr>
              <w:pStyle w:val="null3"/>
              <w:spacing w:before="225"/>
              <w:ind w:firstLine="464"/>
              <w:jc w:val="both"/>
            </w:pPr>
            <w:r>
              <w:rPr>
                <w:rFonts w:ascii="仿宋_GB2312" w:hAnsi="仿宋_GB2312" w:cs="仿宋_GB2312" w:eastAsia="仿宋_GB2312"/>
                <w:sz w:val="28"/>
              </w:rPr>
              <w:t>根据临潼法院现行业务现状，结合法院上年新收案件的工作量，该岗位主要负责由立案庭的法官或法官助理完成案件的立案审查工作后，外包团队负责接收院方人员已审核分案的现场立案材料，核对材料内容及份数，确认无误后，在系统上录入案件信息，将材料扫描上传形成电子卷宗。将卷宗按照承办庭室分类，通知承办庭室内勤领取卷宗。</w:t>
            </w:r>
          </w:p>
          <w:p>
            <w:pPr>
              <w:pStyle w:val="null3"/>
              <w:spacing w:before="105"/>
              <w:ind w:left="30"/>
              <w:jc w:val="both"/>
            </w:pPr>
            <w:r>
              <w:rPr>
                <w:rFonts w:ascii="仿宋_GB2312" w:hAnsi="仿宋_GB2312" w:cs="仿宋_GB2312" w:eastAsia="仿宋_GB2312"/>
                <w:sz w:val="28"/>
              </w:rPr>
              <w:t>8、咨询电话接听</w:t>
            </w:r>
          </w:p>
          <w:p>
            <w:pPr>
              <w:pStyle w:val="null3"/>
              <w:spacing w:before="225"/>
              <w:ind w:left="30" w:firstLine="482"/>
              <w:jc w:val="both"/>
            </w:pPr>
            <w:r>
              <w:rPr>
                <w:rFonts w:ascii="仿宋_GB2312" w:hAnsi="仿宋_GB2312" w:cs="仿宋_GB2312" w:eastAsia="仿宋_GB2312"/>
                <w:sz w:val="28"/>
              </w:rPr>
              <w:t>该岗位主要负责为了更好减轻法官团队负担，解决当事人咨询问题快速响应问题，当事人可通过拨打服务热线，咨询诉讼审判及执行相关业务流程、</w:t>
            </w:r>
            <w:r>
              <w:rPr>
                <w:rFonts w:ascii="仿宋_GB2312" w:hAnsi="仿宋_GB2312" w:cs="仿宋_GB2312" w:eastAsia="仿宋_GB2312"/>
                <w:sz w:val="28"/>
              </w:rPr>
              <w:t>查找案件相关业务流程信息，并可以预约法官。服务热线在确认当事人的需求后，根据需求进行当场回复或者转办相关法官团队，法官团队可以根据情况，选择自行回复或者将答复转交服务热线进行回复。如有重要事项需转办，外包团队应登记转办事项，并跟踪事项完成进度，必要时需促请承办人及时办理。</w:t>
            </w:r>
          </w:p>
          <w:p>
            <w:pPr>
              <w:pStyle w:val="null3"/>
              <w:spacing w:before="135"/>
              <w:ind w:left="45"/>
              <w:jc w:val="both"/>
            </w:pPr>
            <w:r>
              <w:rPr>
                <w:rFonts w:ascii="仿宋_GB2312" w:hAnsi="仿宋_GB2312" w:cs="仿宋_GB2312" w:eastAsia="仿宋_GB2312"/>
                <w:sz w:val="28"/>
              </w:rPr>
              <w:t>9、诉服信息平台管理</w:t>
            </w:r>
          </w:p>
          <w:p>
            <w:pPr>
              <w:pStyle w:val="null3"/>
              <w:jc w:val="both"/>
            </w:pPr>
            <w:r>
              <w:rPr>
                <w:rFonts w:ascii="仿宋_GB2312" w:hAnsi="仿宋_GB2312" w:cs="仿宋_GB2312" w:eastAsia="仿宋_GB2312"/>
                <w:sz w:val="28"/>
              </w:rPr>
              <w:t>在服务期内，对最高人民法院和省法院开发的与诉讼服务质效平台考核相关的系统进行管理、督促、联络、维护，保证上级法院质效考核系统能够及时抽取</w:t>
            </w:r>
            <w:r>
              <w:rPr>
                <w:rFonts w:ascii="仿宋_GB2312" w:hAnsi="仿宋_GB2312" w:cs="仿宋_GB2312" w:eastAsia="仿宋_GB2312"/>
                <w:sz w:val="28"/>
              </w:rPr>
              <w:t>甲方的诉讼服务数据，实时监控质效评估分数及排名情况，提取并分析指标数据，提供可行性方案。</w:t>
            </w:r>
          </w:p>
          <w:p>
            <w:pPr>
              <w:pStyle w:val="null3"/>
              <w:jc w:val="both"/>
            </w:pPr>
            <w:r>
              <w:rPr>
                <w:rFonts w:ascii="仿宋_GB2312" w:hAnsi="仿宋_GB2312" w:cs="仿宋_GB2312" w:eastAsia="仿宋_GB2312"/>
                <w:sz w:val="28"/>
              </w:rPr>
              <w:t>注：</w:t>
            </w:r>
            <w:r>
              <w:rPr>
                <w:rFonts w:ascii="仿宋_GB2312" w:hAnsi="仿宋_GB2312" w:cs="仿宋_GB2312" w:eastAsia="仿宋_GB2312"/>
                <w:sz w:val="28"/>
              </w:rPr>
              <w:t>在服务期内发生人员离职的情况，供应商应在</w:t>
            </w:r>
            <w:r>
              <w:rPr>
                <w:rFonts w:ascii="仿宋_GB2312" w:hAnsi="仿宋_GB2312" w:cs="仿宋_GB2312" w:eastAsia="仿宋_GB2312"/>
                <w:sz w:val="28"/>
                <w:u w:val="single"/>
              </w:rPr>
              <w:t>7</w:t>
            </w:r>
            <w:r>
              <w:rPr>
                <w:rFonts w:ascii="仿宋_GB2312" w:hAnsi="仿宋_GB2312" w:cs="仿宋_GB2312" w:eastAsia="仿宋_GB2312"/>
                <w:sz w:val="28"/>
              </w:rPr>
              <w:t>天内补齐项目人员。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进度要求： 1. 合同签订后7个工作日内完成人员报备、岗前培训、权限对接等筹备工作； 2. 第10个工作日全员正式到岗，全面承接各项辅助业务，确保工作无缝衔接； 3. 服务期间严格遵守法院作息制度，做到当日工作当日办结，按时提交各类台账、报表与总结，临时任务即时响应、按期完成； 4. 服务期满前15日启动收尾梳理、考核整改，期满前7日内完成全部资料、业务交接及离场工作； 5. 人员调整需提前报备，全程保障诉讼服务工作连续、稳定运转。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进度款，项目实施过程中，根据实施进度验收，验收由乙方提出书面申请报告，甲方确认签字后进行结算，达到付款条件起15个工作日内，支付合同总金额的50.0%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3.线下递交响应文件地点：西安市高新区泰维智链中心一期 B 座2层202室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 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业绩一览表.docx 投标方案.docx 项目人员管理承诺函.docx 中小企业声明函 偏离表.docx 报价表 首次分项报价表.docx 响应文件封面 供应商应提交的相关资格证明材料.docx 最后分项报价表.docx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项目人员管理承诺函.docx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业绩一览表.docx 投标方案.docx 项目人员管理承诺函.docx 中小企业声明函 偏离表.docx 报价表 首次分项报价表.docx 响应文件封面 供应商应提交的相关资格证明材料.docx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包含以下要素： ① 基本情况分析：（要求方案思路清晰、针对本项目基本情况分析全面）； ② 项目背景研判：（要求紧扣法院诉讼服务建设背景，研判切合采购人实际需求）； ③ 服务目标定位：（要求服务目标定位清晰、步骤合理、具有较强的可实施性）。 评分规则：每项2分，共计6分。每缺一项扣2分；每一项中每有一处缺陷扣0.5分，扣完为止，未提供不得分。 注：本表各主观评分项中所指的“缺陷”，是指出现以下任意一种情形：内容与本项目需求关联性差、套用其他项目方案、内容前后矛盾、引用法律法规或标准错误、内容缺乏针对性、措施不具备可操作性、内容表述不清晰等情形。（下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诉讼服务保障方案</w:t>
            </w:r>
          </w:p>
        </w:tc>
        <w:tc>
          <w:tcPr>
            <w:tcW w:type="dxa" w:w="2492"/>
          </w:tcPr>
          <w:p>
            <w:pPr>
              <w:pStyle w:val="null3"/>
            </w:pPr>
            <w:r>
              <w:rPr>
                <w:rFonts w:ascii="仿宋_GB2312" w:hAnsi="仿宋_GB2312" w:cs="仿宋_GB2312" w:eastAsia="仿宋_GB2312"/>
              </w:rPr>
              <w:t>供应商需针对本项目诉讼服务工作编制专项服务保障方案，包含以下要素： ① 导诉咨询及窗口服务方案：包括诉讼引导、现场咨询、电话咨询、窗口服务规范、文明服务礼仪等内容； ② 诉讼材料接收及电子卷宗处理方案：包括材料接收登记、清点核对、扫描录入、电子卷宗生成及质量检查等内容； ③ 案件材料流转及质量控制方案：包括材料流转程序、交接机制、时效控制及质量监督措施等内容。 评分规则：每项5分，共计15分。每缺一项扣5分；每一项中每有一处缺陷扣0.5分，扣完为止，未提供不得分。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业务重难点分析</w:t>
            </w:r>
          </w:p>
        </w:tc>
        <w:tc>
          <w:tcPr>
            <w:tcW w:type="dxa" w:w="2492"/>
          </w:tcPr>
          <w:p>
            <w:pPr>
              <w:pStyle w:val="null3"/>
            </w:pPr>
            <w:r>
              <w:rPr>
                <w:rFonts w:ascii="仿宋_GB2312" w:hAnsi="仿宋_GB2312" w:cs="仿宋_GB2312" w:eastAsia="仿宋_GB2312"/>
              </w:rPr>
              <w:t>包含以下要素： ① 诉讼服务工作重点、难点分析：（分析全面、准确，符合项目实际）； ② 对应解决措施及应急预案：（措施合理可行，具有较强针对性和可操作性）。 评分规则：每项5分，共计10分。每缺一项扣5分；每一项中每有一处缺陷扣0.5分，扣完为止，未提供不得分。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管理体系与服务标准方案</w:t>
            </w:r>
          </w:p>
        </w:tc>
        <w:tc>
          <w:tcPr>
            <w:tcW w:type="dxa" w:w="2492"/>
          </w:tcPr>
          <w:p>
            <w:pPr>
              <w:pStyle w:val="null3"/>
            </w:pPr>
            <w:r>
              <w:rPr>
                <w:rFonts w:ascii="仿宋_GB2312" w:hAnsi="仿宋_GB2312" w:cs="仿宋_GB2312" w:eastAsia="仿宋_GB2312"/>
              </w:rPr>
              <w:t>包含以下要素： ① 服务质量控制体系：（包括服务时效管理、质量检查、满意度管理等内容）； ② 服务标准及绩效考核体系：（包括岗位职责、绩效考核、奖惩机制及行为规范等内容）。 评分规则：每项4分，共计8分。每缺一项扣4分；每一项中每有一处缺陷扣0.5分，扣完为止，未提供不得分。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包含以下要素，每满足一个要素得 1分，最高得 6分，未提供不得分： 一、项目组织架构及岗位职责（最高2分） 1. 提供了清晰的项目组织架构图，得 1 分； 2. 明确了现场主管、窗口服务等各岗位的职责说明，得 1 分。 二、项目实施计划及日常管理制度（最高2分） 3. 提供了包含进场准备、交接过渡等明确的时间进度计划表，得 1 分； 4. 提供了日常考勤、请假或服务行为规范等管理制度，得 1 分。 三、人员调配及补位机制（最高2分） 5. 提供了人员因故（请假/离职等）缺位时的现场应急补位流程，得 1 分； 6. 明确了承诺在本地（或本省）拥有可随时调配的后备辅助人员，得 1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项目人员培训方案</w:t>
            </w:r>
          </w:p>
        </w:tc>
        <w:tc>
          <w:tcPr>
            <w:tcW w:type="dxa" w:w="2492"/>
          </w:tcPr>
          <w:p>
            <w:pPr>
              <w:pStyle w:val="null3"/>
            </w:pPr>
            <w:r>
              <w:rPr>
                <w:rFonts w:ascii="仿宋_GB2312" w:hAnsi="仿宋_GB2312" w:cs="仿宋_GB2312" w:eastAsia="仿宋_GB2312"/>
              </w:rPr>
              <w:t>包含以下 3 项评审内容，每满足一项得 2分，最高得 6分，未提供或未达标均不得分： ① 岗前培训方案（2分）：投标文件中提供了岗前培训方案，方案中明确包含具体的培训时间、培训课时，且明确承诺新员工岗前培训总课时不少于 8 课时（或 1 个工作日），且包含明确的实操考核方式及“不合格不上岗”制度说明的，得 2 分。 ② 业务技能培训方案（2分）：投标文件中提供了在职业务技能培训方案，且明确承诺在服务期内针对窗口规范、法院诉讼服务等业务技能组织至少每半年1次（或每年不少于2次）的定期在职全员培训，并提供具体课程规划名称的，得 2 分。 ③ 保密及廉政教育培训方案（2分）：投标文件中提供了保密及廉政教育培训方案，且明确承诺在服务期内针对信息安全、防范廉政风险组织至少每季度1次（或每年不少于4次）的专项培训，并提供针对法院外包人员廉政约束机制说明的，得 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包含以下 4 项评审内容，每满足一项得 3分，最高得 12分，未提供或未达标均不得分： ① 保密管理制度（3分）：投标文件中提供了完整的安全保密管理制度文本，且明确承诺在服务期内针对本项目组织至少每季度1次（或每年不少于4次）全员保密专项培训及考核的，得 3 分；未提供或承诺频次未达标的不得分。（须提供明文承诺） ② 保密责任体系（3分）：投标文件中明确了项目保密责任人及岗位职责分工，且提供了供应商与现场团队拟派人员逐一签订的《保密承诺书》或《保密协议》真实样本/格式文本的，得 3 分；未提供或提供不全的不得分。 ③ 保密操作规范（3分）：投标文件中针对法院业务流程，完整涵盖“纸质材料流转”与“电子卷宗数据处理”两个核心环节的具体保密操作规范和数据防泄密措施的，得 3 分；仅涉及单一方面、未结合法院实际业务或未提供的不得分。 ④ 泄密事件应急处置机制（3分）：投标文件中提供了明确的泄密应急处置预案，且明确承诺一旦发生泄密事件，在 15 分钟内向采购人报告并启动应急阻断措施的，得 3 分；未提供或承诺时间不满足要求的不得分。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服务承诺与合理化建议</w:t>
            </w:r>
          </w:p>
        </w:tc>
        <w:tc>
          <w:tcPr>
            <w:tcW w:type="dxa" w:w="2492"/>
          </w:tcPr>
          <w:p>
            <w:pPr>
              <w:pStyle w:val="null3"/>
            </w:pPr>
            <w:r>
              <w:rPr>
                <w:rFonts w:ascii="仿宋_GB2312" w:hAnsi="仿宋_GB2312" w:cs="仿宋_GB2312" w:eastAsia="仿宋_GB2312"/>
              </w:rPr>
              <w:t>包含以下要素： ① 提升诉讼服务效率建议； ② 减轻法官事务性负担建议； ③ 廉政风险防控建议。评分规则：每项1分，共计3分。提出具有针对性和可操作性的建议得 对应分值；未提出或内容明显不具备可操作性的不得分。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项目经理配置</w:t>
            </w:r>
          </w:p>
        </w:tc>
        <w:tc>
          <w:tcPr>
            <w:tcW w:type="dxa" w:w="2492"/>
          </w:tcPr>
          <w:p>
            <w:pPr>
              <w:pStyle w:val="null3"/>
            </w:pPr>
            <w:r>
              <w:rPr>
                <w:rFonts w:ascii="仿宋_GB2312" w:hAnsi="仿宋_GB2312" w:cs="仿宋_GB2312" w:eastAsia="仿宋_GB2312"/>
              </w:rPr>
              <w:t>包含以下要素： ① 项目管理经验（4分）：拟派项目经理具有法院诉讼服务、司法辅助事务等类似项目管理经验，每提供1个项目管理经历证明得2分，最高得4分；(须提供类似业绩合同扫描件，或投标供应商出具的盖章委派函/任命书)，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包含以下要素： ① 人员配置要求（4分）：拟派团队人员数量、学历及专业需满足本项目招标文件“第三章 采购需求”每满足一项得1分，最高得 4 分，未提供不得分； ② 类似工作经验人员（4分）：拟派人员在满足采购需求学历及专业要求的前提下，具有法院诉讼服务、司法辅助事务等相关工作经验，每提供 1 人得 1 分，最高得 4 分；(须提供人员简历及工作经历证明材料)否则不得分。 ③ 岗位培训证明（4分）：拟派人员需有本单位出具的保密培训证明、并加盖投标单位公章，每提供1人得1分，最高得4分。否则不得分。 ④ 无犯罪记录证明（2分）：拟派项目团队人员需出具无犯罪记录证明、并统一加盖投标单位公章，得 2 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供应商近三年（2023年5月1日至今）（以合同签订时间为准）承担过法院诉讼服务外包、司法辅助事务外包、法院窗口服务外包、法院集约化事务服务项目等类似业绩。 评分规则：每提供1份有效业绩得2分，最高得6分。 注：须提供合同关键页复印件（至少包含合同首页、服务内容页及签字盖章页）及中标通知书未提供不得分。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 的供应商的价格为磋商基准价，其 价格分为满分 10 分。其他供应商 的价格分统一按照下列公式计算： 磋商报价得分 = （磋商基准价 / 最终磋商报价）× 10分；本项目专门面向中小企业采购、不再给予价格优惠。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详见附件：项目人员管理承诺函.docx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