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360" w:lineRule="auto"/>
        <w:ind w:firstLine="3614" w:firstLineChars="1000"/>
        <w:jc w:val="both"/>
        <w:rPr>
          <w:rStyle w:val="15"/>
          <w:rFonts w:asciiTheme="minorEastAsia" w:hAnsiTheme="minorEastAsia" w:eastAsiaTheme="minorEastAsia" w:cstheme="minorEastAsia"/>
          <w:sz w:val="36"/>
          <w:szCs w:val="36"/>
        </w:rPr>
      </w:pPr>
      <w:r>
        <w:rPr>
          <w:rStyle w:val="15"/>
          <w:rFonts w:hint="eastAsia" w:asciiTheme="minorEastAsia" w:hAnsiTheme="minorEastAsia" w:eastAsiaTheme="minorEastAsia" w:cstheme="minorEastAsia"/>
          <w:sz w:val="36"/>
          <w:szCs w:val="36"/>
          <w:highlight w:val="none"/>
        </w:rPr>
        <w:t>合同草案条款</w:t>
      </w:r>
    </w:p>
    <w:p>
      <w:pPr>
        <w:pStyle w:val="8"/>
        <w:ind w:left="840" w:hanging="420"/>
        <w:rPr>
          <w:rFonts w:asciiTheme="minorEastAsia" w:hAnsiTheme="minorEastAsia" w:eastAsiaTheme="minorEastAsia" w:cstheme="minorEastAsia"/>
        </w:rPr>
      </w:pPr>
    </w:p>
    <w:p>
      <w:pPr>
        <w:tabs>
          <w:tab w:val="left" w:pos="6228"/>
        </w:tabs>
        <w:spacing w:before="54"/>
        <w:ind w:left="447" w:firstLine="643" w:firstLineChars="200"/>
        <w:jc w:val="left"/>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政府采购合同</w:t>
      </w:r>
      <w:r>
        <w:rPr>
          <w:rFonts w:hint="eastAsia" w:asciiTheme="minorEastAsia" w:hAnsiTheme="minorEastAsia" w:eastAsiaTheme="minorEastAsia" w:cstheme="minorEastAsia"/>
          <w:b/>
          <w:sz w:val="32"/>
        </w:rPr>
        <w:tab/>
      </w:r>
      <w:r>
        <w:rPr>
          <w:rFonts w:hint="eastAsia" w:asciiTheme="minorEastAsia" w:hAnsiTheme="minorEastAsia" w:eastAsiaTheme="minorEastAsia" w:cstheme="minorEastAsia"/>
          <w:b/>
          <w:w w:val="95"/>
          <w:sz w:val="32"/>
        </w:rPr>
        <w:t>合同编号：</w:t>
      </w: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2"/>
        <w:numPr>
          <w:ilvl w:val="4"/>
          <w:numId w:val="0"/>
        </w:numPr>
        <w:ind w:leftChars="0"/>
        <w:jc w:val="center"/>
        <w:rPr>
          <w:rFonts w:hint="eastAsia" w:eastAsia="微软雅黑"/>
          <w:sz w:val="52"/>
          <w:szCs w:val="52"/>
          <w:lang w:val="en-US" w:eastAsia="zh-CN"/>
        </w:rPr>
      </w:pPr>
      <w:r>
        <w:rPr>
          <w:rFonts w:ascii="微软雅黑" w:hAnsi="微软雅黑" w:eastAsia="微软雅黑" w:cs="微软雅黑"/>
          <w:i w:val="0"/>
          <w:caps w:val="0"/>
          <w:color w:val="333333"/>
          <w:spacing w:val="0"/>
          <w:sz w:val="28"/>
          <w:szCs w:val="28"/>
          <w:shd w:val="clear" w:fill="FFFFFF"/>
        </w:rPr>
        <w:t>2026年临潼法院诉讼服务中心服务外包项目</w:t>
      </w:r>
      <w:r>
        <w:rPr>
          <w:rFonts w:hint="eastAsia" w:ascii="微软雅黑" w:hAnsi="微软雅黑" w:eastAsia="微软雅黑" w:cs="微软雅黑"/>
          <w:i w:val="0"/>
          <w:caps w:val="0"/>
          <w:color w:val="333333"/>
          <w:spacing w:val="0"/>
          <w:sz w:val="28"/>
          <w:szCs w:val="28"/>
          <w:shd w:val="clear" w:fill="FFFFFF"/>
          <w:lang w:val="en-US" w:eastAsia="zh-CN"/>
        </w:rPr>
        <w:t>(二次）</w:t>
      </w:r>
      <w:bookmarkStart w:id="6" w:name="_GoBack"/>
      <w:bookmarkEnd w:id="6"/>
    </w:p>
    <w:p>
      <w:pPr>
        <w:spacing w:before="385"/>
        <w:ind w:left="920" w:right="754"/>
        <w:jc w:val="center"/>
        <w:rPr>
          <w:rFonts w:asciiTheme="minorEastAsia" w:hAnsiTheme="minorEastAsia" w:eastAsiaTheme="minorEastAsia" w:cstheme="minorEastAsia"/>
          <w:b/>
          <w:sz w:val="40"/>
        </w:rPr>
      </w:pPr>
    </w:p>
    <w:p>
      <w:pPr>
        <w:pStyle w:val="7"/>
        <w:rPr>
          <w:rFonts w:asciiTheme="minorEastAsia" w:hAnsiTheme="minorEastAsia" w:eastAsiaTheme="minorEastAsia" w:cstheme="minorEastAsia"/>
          <w:b/>
          <w:sz w:val="40"/>
        </w:rPr>
      </w:pPr>
    </w:p>
    <w:p>
      <w:pPr>
        <w:pStyle w:val="7"/>
        <w:rPr>
          <w:rFonts w:asciiTheme="minorEastAsia" w:hAnsiTheme="minorEastAsia" w:eastAsiaTheme="minorEastAsia" w:cstheme="minorEastAsia"/>
          <w:b/>
          <w:sz w:val="40"/>
        </w:rPr>
      </w:pPr>
    </w:p>
    <w:p>
      <w:pPr>
        <w:pStyle w:val="7"/>
        <w:rPr>
          <w:rFonts w:asciiTheme="minorEastAsia" w:hAnsiTheme="minorEastAsia" w:eastAsiaTheme="minorEastAsia" w:cstheme="minorEastAsia"/>
          <w:b/>
          <w:sz w:val="40"/>
        </w:rPr>
      </w:pPr>
    </w:p>
    <w:p>
      <w:pPr>
        <w:pStyle w:val="7"/>
        <w:rPr>
          <w:rFonts w:asciiTheme="minorEastAsia" w:hAnsiTheme="minorEastAsia" w:eastAsiaTheme="minorEastAsia" w:cstheme="minorEastAsia"/>
          <w:b/>
          <w:sz w:val="40"/>
        </w:rPr>
      </w:pPr>
    </w:p>
    <w:p>
      <w:pPr>
        <w:pStyle w:val="7"/>
        <w:rPr>
          <w:rFonts w:asciiTheme="minorEastAsia" w:hAnsiTheme="minorEastAsia" w:eastAsiaTheme="minorEastAsia" w:cstheme="minorEastAsia"/>
          <w:b/>
          <w:sz w:val="40"/>
        </w:rPr>
      </w:pPr>
    </w:p>
    <w:p>
      <w:pPr>
        <w:rPr>
          <w:rFonts w:asciiTheme="minorEastAsia" w:hAnsiTheme="minorEastAsia" w:eastAsiaTheme="minorEastAsia" w:cstheme="minorEastAsia"/>
          <w:b/>
          <w:sz w:val="40"/>
        </w:rPr>
      </w:pPr>
    </w:p>
    <w:p>
      <w:pPr>
        <w:pStyle w:val="11"/>
        <w:rPr>
          <w:rFonts w:asciiTheme="minorEastAsia" w:hAnsiTheme="minorEastAsia" w:eastAsiaTheme="minorEastAsia" w:cstheme="minorEastAsia"/>
        </w:rPr>
      </w:pPr>
    </w:p>
    <w:p>
      <w:pPr>
        <w:pStyle w:val="4"/>
        <w:tabs>
          <w:tab w:val="left" w:pos="5316"/>
        </w:tabs>
        <w:spacing w:before="0"/>
        <w:ind w:right="425" w:firstLine="2432" w:firstLineChars="800"/>
        <w:rPr>
          <w:rFonts w:hint="eastAsia" w:asciiTheme="minorEastAsia" w:hAnsiTheme="minorEastAsia" w:eastAsiaTheme="minorEastAsia" w:cstheme="minorEastAsia"/>
          <w:lang w:eastAsia="zh-CN"/>
        </w:rPr>
      </w:pPr>
      <w:bookmarkStart w:id="0" w:name="_Toc5027"/>
      <w:r>
        <w:rPr>
          <w:rFonts w:hint="eastAsia" w:asciiTheme="minorEastAsia" w:hAnsiTheme="minorEastAsia" w:eastAsiaTheme="minorEastAsia" w:cstheme="minorEastAsia"/>
          <w:w w:val="95"/>
        </w:rPr>
        <w:t>采购人：</w:t>
      </w:r>
      <w:bookmarkEnd w:id="0"/>
      <w:r>
        <w:rPr>
          <w:rFonts w:hint="eastAsia" w:asciiTheme="minorEastAsia" w:hAnsiTheme="minorEastAsia" w:eastAsiaTheme="minorEastAsia" w:cstheme="minorEastAsia"/>
          <w:u w:val="single"/>
          <w:lang w:eastAsia="zh-CN"/>
        </w:rPr>
        <w:t>西安市临潼区人民法院</w:t>
      </w:r>
    </w:p>
    <w:p>
      <w:pPr>
        <w:pStyle w:val="7"/>
        <w:spacing w:before="5"/>
        <w:rPr>
          <w:rFonts w:asciiTheme="minorEastAsia" w:hAnsiTheme="minorEastAsia" w:eastAsiaTheme="minorEastAsia" w:cstheme="minorEastAsia"/>
          <w:b/>
        </w:rPr>
      </w:pPr>
    </w:p>
    <w:p>
      <w:pPr>
        <w:pStyle w:val="4"/>
        <w:tabs>
          <w:tab w:val="left" w:pos="5316"/>
        </w:tabs>
        <w:spacing w:before="0"/>
        <w:ind w:right="425" w:firstLine="2432" w:firstLineChars="800"/>
        <w:rPr>
          <w:rFonts w:asciiTheme="minorEastAsia" w:hAnsiTheme="minorEastAsia" w:eastAsiaTheme="minorEastAsia" w:cstheme="minorEastAsia"/>
          <w:w w:val="95"/>
        </w:rPr>
      </w:pPr>
      <w:bookmarkStart w:id="1" w:name="_Toc4907"/>
      <w:r>
        <w:rPr>
          <w:rFonts w:hint="eastAsia" w:asciiTheme="minorEastAsia" w:hAnsiTheme="minorEastAsia" w:eastAsiaTheme="minorEastAsia" w:cstheme="minorEastAsia"/>
          <w:w w:val="95"/>
        </w:rPr>
        <w:t>供应商：</w:t>
      </w:r>
      <w:bookmarkEnd w:id="1"/>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p>
    <w:p>
      <w:pPr>
        <w:pStyle w:val="4"/>
        <w:spacing w:before="172"/>
        <w:ind w:right="751"/>
        <w:jc w:val="center"/>
        <w:rPr>
          <w:rFonts w:asciiTheme="minorEastAsia" w:hAnsiTheme="minorEastAsia" w:eastAsiaTheme="minorEastAsia" w:cstheme="minorEastAsia"/>
          <w:sz w:val="28"/>
          <w:szCs w:val="28"/>
        </w:rPr>
      </w:pPr>
      <w:bookmarkStart w:id="2" w:name="_Toc17163"/>
      <w:r>
        <w:rPr>
          <w:rFonts w:hint="eastAsia" w:asciiTheme="minorEastAsia" w:hAnsiTheme="minorEastAsia" w:eastAsiaTheme="minorEastAsia" w:cstheme="minorEastAsia"/>
          <w:sz w:val="28"/>
          <w:szCs w:val="28"/>
        </w:rPr>
        <w:t>二〇二</w:t>
      </w:r>
      <w:r>
        <w:rPr>
          <w:rFonts w:hint="eastAsia" w:asciiTheme="minorEastAsia" w:hAnsiTheme="minorEastAsia" w:eastAsiaTheme="minorEastAsia" w:cstheme="minorEastAsia"/>
          <w:sz w:val="28"/>
          <w:szCs w:val="28"/>
          <w:lang w:eastAsia="zh-CN"/>
        </w:rPr>
        <w:t>六</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sz w:val="28"/>
          <w:szCs w:val="28"/>
        </w:rPr>
        <w:t>月</w:t>
      </w:r>
      <w:bookmarkEnd w:id="2"/>
    </w:p>
    <w:p>
      <w:pPr>
        <w:rPr>
          <w:rFonts w:asciiTheme="minorEastAsia" w:hAnsiTheme="minorEastAsia" w:eastAsiaTheme="minorEastAsia" w:cstheme="minorEastAsia"/>
        </w:rPr>
        <w:sectPr>
          <w:footerReference r:id="rId3" w:type="default"/>
          <w:pgSz w:w="11910" w:h="16840"/>
          <w:pgMar w:top="1380" w:right="780" w:bottom="1380" w:left="940" w:header="882" w:footer="1181" w:gutter="0"/>
          <w:cols w:space="720" w:num="1"/>
        </w:sectPr>
      </w:pPr>
    </w:p>
    <w:p>
      <w:pPr>
        <w:pStyle w:val="7"/>
        <w:tabs>
          <w:tab w:val="left" w:pos="5546"/>
        </w:tabs>
        <w:spacing w:line="307" w:lineRule="exact"/>
        <w:rPr>
          <w:rFonts w:asciiTheme="minorEastAsia" w:hAnsiTheme="minorEastAsia" w:eastAsiaTheme="minorEastAsia" w:cstheme="minorEastAsia"/>
          <w:color w:val="FF0000"/>
          <w:sz w:val="24"/>
        </w:rPr>
      </w:pPr>
    </w:p>
    <w:p>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（参考格式，以双方最终签订合同为准）</w:t>
      </w:r>
    </w:p>
    <w:p>
      <w:pPr>
        <w:keepNext w:val="0"/>
        <w:keepLines w:val="0"/>
        <w:pageBreakBefore w:val="0"/>
        <w:kinsoku/>
        <w:wordWrap/>
        <w:overflowPunct/>
        <w:topLinePunct w:val="0"/>
        <w:bidi w:val="0"/>
        <w:adjustRightInd w:val="0"/>
        <w:snapToGrid w:val="0"/>
        <w:spacing w:line="360" w:lineRule="auto"/>
        <w:ind w:right="0" w:firstLine="480" w:firstLineChars="200"/>
        <w:jc w:val="left"/>
        <w:textAlignment w:val="auto"/>
        <w:rPr>
          <w:rFonts w:hint="eastAsia" w:ascii="宋体" w:hAnsi="宋体" w:eastAsia="宋体" w:cs="宋体"/>
          <w:kern w:val="0"/>
          <w:sz w:val="24"/>
          <w:szCs w:val="24"/>
          <w:highlight w:val="none"/>
        </w:rPr>
      </w:pPr>
    </w:p>
    <w:p>
      <w:pPr>
        <w:keepNext w:val="0"/>
        <w:keepLines w:val="0"/>
        <w:pageBreakBefore w:val="0"/>
        <w:kinsoku/>
        <w:wordWrap/>
        <w:overflowPunct/>
        <w:topLinePunct w:val="0"/>
        <w:bidi w:val="0"/>
        <w:adjustRightInd w:val="0"/>
        <w:snapToGrid w:val="0"/>
        <w:spacing w:line="360" w:lineRule="auto"/>
        <w:ind w:righ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根据《中华人民共和国民法典》《中华人民共和国政府采购法》与项目行业有关的法律法规，甲、乙双方同意签订本合同。</w:t>
      </w:r>
    </w:p>
    <w:p>
      <w:pPr>
        <w:spacing w:line="360" w:lineRule="auto"/>
        <w:rPr>
          <w:rFonts w:hint="eastAsia" w:asciiTheme="minorEastAsia" w:hAnsiTheme="minorEastAsia" w:eastAsiaTheme="minorEastAsia" w:cstheme="minorEastAsia"/>
          <w:b/>
          <w:sz w:val="24"/>
        </w:rPr>
      </w:pPr>
    </w:p>
    <w:p>
      <w:pPr>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第一条：合同单位</w:t>
      </w:r>
    </w:p>
    <w:p>
      <w:pPr>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甲方：</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b/>
          <w:sz w:val="24"/>
        </w:rPr>
        <w:t xml:space="preserve"> </w:t>
      </w:r>
    </w:p>
    <w:p>
      <w:pPr>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地址：</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b/>
          <w:sz w:val="24"/>
        </w:rPr>
        <w:t xml:space="preserve"> </w:t>
      </w:r>
    </w:p>
    <w:p>
      <w:pPr>
        <w:spacing w:line="360" w:lineRule="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电话：</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p>
    <w:p>
      <w:pPr>
        <w:spacing w:line="360" w:lineRule="auto"/>
        <w:rPr>
          <w:rFonts w:hint="eastAsia" w:asciiTheme="minorEastAsia" w:hAnsiTheme="minorEastAsia" w:eastAsiaTheme="minorEastAsia" w:cstheme="minorEastAsia"/>
          <w:b/>
          <w:sz w:val="24"/>
        </w:rPr>
      </w:pPr>
    </w:p>
    <w:p>
      <w:pPr>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乙方：</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b/>
          <w:sz w:val="24"/>
        </w:rPr>
        <w:t xml:space="preserve"> </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地址：</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p>
    <w:p>
      <w:pPr>
        <w:spacing w:line="360" w:lineRule="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电话：</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p>
    <w:p>
      <w:pPr>
        <w:spacing w:line="360" w:lineRule="auto"/>
        <w:rPr>
          <w:rFonts w:hint="eastAsia" w:asciiTheme="minorEastAsia" w:hAnsiTheme="minorEastAsia" w:eastAsiaTheme="minorEastAsia" w:cstheme="minorEastAsia"/>
          <w:b/>
          <w:sz w:val="24"/>
        </w:rPr>
      </w:pPr>
    </w:p>
    <w:p>
      <w:pPr>
        <w:spacing w:line="360" w:lineRule="auto"/>
        <w:rPr>
          <w:rFonts w:hint="eastAsia" w:asciiTheme="minorEastAsia" w:hAnsiTheme="minorEastAsia" w:eastAsiaTheme="minorEastAsia" w:cstheme="minorEastAsia"/>
          <w:w w:val="95"/>
          <w:u w:val="single"/>
          <w:lang w:eastAsia="zh-CN"/>
        </w:rPr>
      </w:pPr>
      <w:r>
        <w:rPr>
          <w:rFonts w:hint="eastAsia" w:asciiTheme="minorEastAsia" w:hAnsiTheme="minorEastAsia" w:eastAsiaTheme="minorEastAsia" w:cstheme="minorEastAsia"/>
          <w:b/>
          <w:sz w:val="24"/>
        </w:rPr>
        <w:t>第二条： 项目名称：</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p>
    <w:p>
      <w:pPr>
        <w:pStyle w:val="2"/>
        <w:numPr>
          <w:ilvl w:val="4"/>
          <w:numId w:val="0"/>
        </w:numPr>
        <w:ind w:leftChars="0" w:firstLine="1145" w:firstLineChars="500"/>
        <w:rPr>
          <w:rFonts w:hint="eastAsia" w:ascii="宋体" w:hAnsi="宋体" w:eastAsia="宋体" w:cs="宋体"/>
          <w:sz w:val="24"/>
          <w:szCs w:val="24"/>
          <w:u w:val="none"/>
          <w:lang w:eastAsia="zh-CN"/>
        </w:rPr>
      </w:pPr>
      <w:r>
        <w:rPr>
          <w:rFonts w:hint="eastAsia" w:ascii="宋体" w:hAnsi="宋体" w:eastAsia="宋体" w:cs="宋体"/>
          <w:w w:val="95"/>
          <w:sz w:val="24"/>
          <w:szCs w:val="24"/>
          <w:u w:val="none"/>
          <w:lang w:eastAsia="zh-CN"/>
        </w:rPr>
        <w:t>项目编号：</w:t>
      </w:r>
      <w:r>
        <w:rPr>
          <w:rFonts w:hint="eastAsia" w:ascii="宋体" w:hAnsi="宋体" w:eastAsia="宋体" w:cs="宋体"/>
          <w:w w:val="95"/>
          <w:sz w:val="24"/>
          <w:szCs w:val="24"/>
          <w:u w:val="single"/>
        </w:rPr>
        <w:t xml:space="preserve"> </w:t>
      </w:r>
      <w:r>
        <w:rPr>
          <w:rFonts w:hint="eastAsia" w:ascii="宋体" w:hAnsi="宋体" w:eastAsia="宋体" w:cs="宋体"/>
          <w:w w:val="95"/>
          <w:sz w:val="24"/>
          <w:szCs w:val="24"/>
          <w:u w:val="single"/>
        </w:rPr>
        <w:tab/>
      </w:r>
      <w:r>
        <w:rPr>
          <w:rFonts w:hint="eastAsia" w:ascii="宋体" w:hAnsi="宋体" w:eastAsia="宋体" w:cs="宋体"/>
          <w:w w:val="95"/>
          <w:sz w:val="24"/>
          <w:szCs w:val="24"/>
          <w:u w:val="single"/>
        </w:rPr>
        <w:t xml:space="preserve">           </w:t>
      </w:r>
      <w:r>
        <w:rPr>
          <w:rFonts w:hint="eastAsia" w:ascii="宋体" w:hAnsi="宋体" w:eastAsia="宋体" w:cs="宋体"/>
          <w:w w:val="95"/>
          <w:sz w:val="24"/>
          <w:szCs w:val="24"/>
          <w:u w:val="single"/>
        </w:rPr>
        <w:tab/>
      </w:r>
      <w:r>
        <w:rPr>
          <w:rFonts w:hint="eastAsia" w:ascii="宋体" w:hAnsi="宋体" w:eastAsia="宋体" w:cs="宋体"/>
          <w:w w:val="95"/>
          <w:sz w:val="24"/>
          <w:szCs w:val="24"/>
          <w:u w:val="single"/>
        </w:rPr>
        <w:t xml:space="preserve">  </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p>
    <w:p>
      <w:pPr>
        <w:spacing w:line="360" w:lineRule="auto"/>
        <w:ind w:left="1063" w:hanging="1063"/>
        <w:rPr>
          <w:rFonts w:hint="eastAsia" w:asciiTheme="minorEastAsia" w:hAnsiTheme="minorEastAsia" w:eastAsiaTheme="minorEastAsia" w:cstheme="minorEastAsia"/>
          <w:b/>
          <w:sz w:val="24"/>
        </w:rPr>
      </w:pPr>
    </w:p>
    <w:p>
      <w:pPr>
        <w:spacing w:line="360" w:lineRule="auto"/>
        <w:ind w:left="1063" w:hanging="1063"/>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第三条： 项目内容：</w:t>
      </w:r>
      <w:r>
        <w:rPr>
          <w:rFonts w:hint="eastAsia" w:asciiTheme="minorEastAsia" w:hAnsiTheme="minorEastAsia" w:eastAsiaTheme="minorEastAsia" w:cstheme="minorEastAsia"/>
          <w:sz w:val="24"/>
        </w:rPr>
        <w:t xml:space="preserve"> </w:t>
      </w:r>
    </w:p>
    <w:p>
      <w:pPr>
        <w:ind w:firstLine="480" w:firstLineChars="200"/>
        <w:rPr>
          <w:rFonts w:hint="eastAsia" w:ascii="宋体" w:hAnsi="宋体" w:eastAsia="宋体" w:cs="宋体"/>
          <w:sz w:val="24"/>
          <w:szCs w:val="24"/>
        </w:rPr>
      </w:pPr>
      <w:r>
        <w:rPr>
          <w:rFonts w:hint="eastAsia" w:ascii="宋体" w:hAnsi="宋体" w:eastAsia="宋体" w:cs="宋体"/>
          <w:b w:val="0"/>
          <w:bCs w:val="0"/>
          <w:color w:val="auto"/>
          <w:sz w:val="24"/>
          <w:szCs w:val="24"/>
          <w:highlight w:val="none"/>
        </w:rPr>
        <w:t>服务方需根据采购人要求，配置人员</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位</w:t>
      </w:r>
      <w:r>
        <w:rPr>
          <w:rFonts w:hint="eastAsia" w:ascii="宋体" w:hAnsi="宋体" w:eastAsia="宋体" w:cs="宋体"/>
          <w:b w:val="0"/>
          <w:bCs w:val="0"/>
          <w:color w:val="auto"/>
          <w:sz w:val="24"/>
          <w:szCs w:val="24"/>
          <w:highlight w:val="none"/>
        </w:rPr>
        <w:t>，实行专人专责、分岗协作</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000000"/>
          <w:sz w:val="24"/>
          <w:szCs w:val="24"/>
        </w:rPr>
        <w:t>包括但不限于：</w:t>
      </w:r>
      <w:r>
        <w:rPr>
          <w:rFonts w:hint="eastAsia" w:ascii="宋体" w:hAnsi="宋体" w:eastAsia="宋体" w:cs="宋体"/>
          <w:b w:val="0"/>
          <w:bCs w:val="0"/>
          <w:color w:val="000000"/>
          <w:sz w:val="24"/>
          <w:szCs w:val="24"/>
          <w:lang w:eastAsia="zh-CN"/>
        </w:rPr>
        <w:t>诉讼中心服务</w:t>
      </w:r>
      <w:r>
        <w:rPr>
          <w:rFonts w:hint="eastAsia" w:ascii="宋体" w:hAnsi="宋体" w:eastAsia="宋体" w:cs="宋体"/>
          <w:b w:val="0"/>
          <w:bCs w:val="0"/>
          <w:color w:val="000000"/>
          <w:sz w:val="24"/>
          <w:szCs w:val="24"/>
        </w:rPr>
        <w:t>事务外包服务人员招聘、工资支付、人员培训、</w:t>
      </w:r>
      <w:r>
        <w:rPr>
          <w:rFonts w:hint="eastAsia" w:ascii="宋体" w:hAnsi="宋体" w:eastAsia="宋体" w:cs="宋体"/>
          <w:b w:val="0"/>
          <w:bCs w:val="0"/>
          <w:sz w:val="24"/>
          <w:szCs w:val="24"/>
        </w:rPr>
        <w:t>涵盖大厅导诉接待、群众咨询引导、线上线下立案辅助、案件材料整理流转、电子卷宗扫描编目、信访登记对接、日常数据统计及档案辅助管理等综合性事务工作。</w:t>
      </w:r>
      <w:r>
        <w:rPr>
          <w:rFonts w:hint="eastAsia" w:ascii="宋体" w:hAnsi="宋体" w:eastAsia="宋体" w:cs="宋体"/>
          <w:b w:val="0"/>
          <w:bCs w:val="0"/>
          <w:color w:val="000000"/>
          <w:sz w:val="24"/>
          <w:szCs w:val="24"/>
        </w:rPr>
        <w:t>具体工作内容以甲方实际需求为准</w:t>
      </w:r>
      <w:r>
        <w:rPr>
          <w:rFonts w:hint="eastAsia" w:ascii="宋体" w:hAnsi="宋体" w:eastAsia="宋体" w:cs="宋体"/>
          <w:b w:val="0"/>
          <w:bCs w:val="0"/>
          <w:sz w:val="24"/>
          <w:szCs w:val="24"/>
        </w:rPr>
        <w:t>。</w:t>
      </w:r>
    </w:p>
    <w:p>
      <w:pPr>
        <w:spacing w:line="360" w:lineRule="auto"/>
        <w:rPr>
          <w:rFonts w:ascii="宋体" w:hAnsi="宋体" w:eastAsia="宋体" w:cs="宋体"/>
          <w:b/>
          <w:color w:val="000000"/>
          <w:sz w:val="24"/>
        </w:rPr>
      </w:pPr>
    </w:p>
    <w:p>
      <w:pPr>
        <w:keepNext w:val="0"/>
        <w:keepLines w:val="0"/>
        <w:pageBreakBefore w:val="0"/>
        <w:widowControl/>
        <w:kinsoku/>
        <w:wordWrap/>
        <w:overflowPunct/>
        <w:topLinePunct w:val="0"/>
        <w:bidi w:val="0"/>
        <w:adjustRightInd w:val="0"/>
        <w:snapToGrid w:val="0"/>
        <w:spacing w:line="360" w:lineRule="auto"/>
        <w:ind w:right="0"/>
        <w:jc w:val="left"/>
        <w:textAlignment w:val="auto"/>
        <w:outlineLvl w:val="1"/>
        <w:rPr>
          <w:rFonts w:hint="eastAsia" w:ascii="宋体" w:hAnsi="宋体" w:eastAsia="宋体" w:cs="宋体"/>
          <w:b/>
          <w:color w:val="000000"/>
          <w:sz w:val="24"/>
        </w:rPr>
      </w:pPr>
      <w:r>
        <w:rPr>
          <w:rFonts w:ascii="宋体" w:hAnsi="宋体" w:eastAsia="宋体" w:cs="宋体"/>
          <w:b/>
          <w:color w:val="000000"/>
          <w:sz w:val="24"/>
        </w:rPr>
        <w:t>第四条：</w:t>
      </w:r>
      <w:r>
        <w:rPr>
          <w:rFonts w:hint="eastAsia" w:ascii="宋体" w:hAnsi="宋体" w:eastAsia="宋体" w:cs="宋体"/>
          <w:b/>
          <w:color w:val="000000"/>
          <w:sz w:val="24"/>
        </w:rPr>
        <w:t>服务要求</w:t>
      </w:r>
    </w:p>
    <w:p>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outlineLvl w:val="1"/>
        <w:rPr>
          <w:rFonts w:hint="eastAsia" w:ascii="宋体" w:hAnsi="宋体" w:eastAsia="宋体" w:cs="宋体"/>
          <w:kern w:val="0"/>
          <w:sz w:val="24"/>
          <w:szCs w:val="24"/>
          <w:highlight w:val="none"/>
          <w:u w:val="none"/>
          <w:lang w:val="en-US" w:eastAsia="zh-CN"/>
        </w:rPr>
      </w:pPr>
      <w:r>
        <w:rPr>
          <w:rFonts w:hint="eastAsia" w:ascii="宋体" w:hAnsi="宋体" w:eastAsia="宋体" w:cs="宋体"/>
          <w:kern w:val="0"/>
          <w:sz w:val="24"/>
          <w:szCs w:val="24"/>
          <w:highlight w:val="none"/>
          <w:u w:val="none"/>
          <w:lang w:val="en-US" w:eastAsia="zh-CN"/>
        </w:rPr>
        <w:t>详见采购文件</w:t>
      </w:r>
    </w:p>
    <w:p>
      <w:pPr>
        <w:spacing w:line="360" w:lineRule="auto"/>
        <w:rPr>
          <w:rFonts w:hint="eastAsia"/>
        </w:rPr>
      </w:pPr>
    </w:p>
    <w:p>
      <w:pPr>
        <w:keepNext w:val="0"/>
        <w:keepLines w:val="0"/>
        <w:pageBreakBefore w:val="0"/>
        <w:kinsoku/>
        <w:wordWrap/>
        <w:overflowPunct/>
        <w:topLinePunct w:val="0"/>
        <w:bidi w:val="0"/>
        <w:adjustRightInd w:val="0"/>
        <w:snapToGrid w:val="0"/>
        <w:spacing w:line="360" w:lineRule="auto"/>
        <w:ind w:right="0"/>
        <w:textAlignment w:val="auto"/>
        <w:outlineLvl w:val="1"/>
        <w:rPr>
          <w:rFonts w:hint="eastAsia" w:ascii="宋体" w:hAnsi="宋体" w:eastAsia="宋体" w:cs="宋体"/>
          <w:kern w:val="0"/>
          <w:sz w:val="24"/>
          <w:szCs w:val="24"/>
          <w:highlight w:val="none"/>
          <w:lang w:val="en-US" w:eastAsia="zh-CN" w:bidi="ar-SA"/>
        </w:rPr>
      </w:pPr>
      <w:r>
        <w:rPr>
          <w:rFonts w:hint="eastAsia" w:ascii="宋体" w:hAnsi="宋体" w:eastAsia="宋体" w:cs="宋体"/>
          <w:b/>
          <w:bCs/>
          <w:color w:val="auto"/>
          <w:kern w:val="0"/>
          <w:sz w:val="24"/>
          <w:szCs w:val="24"/>
          <w:highlight w:val="none"/>
        </w:rPr>
        <w:t>第</w:t>
      </w:r>
      <w:r>
        <w:rPr>
          <w:rFonts w:hint="eastAsia" w:ascii="宋体" w:hAnsi="宋体" w:eastAsia="宋体" w:cs="宋体"/>
          <w:b/>
          <w:bCs/>
          <w:color w:val="auto"/>
          <w:kern w:val="0"/>
          <w:sz w:val="24"/>
          <w:szCs w:val="24"/>
          <w:highlight w:val="none"/>
          <w:lang w:eastAsia="zh-CN"/>
        </w:rPr>
        <w:t>五</w:t>
      </w:r>
      <w:r>
        <w:rPr>
          <w:rFonts w:hint="eastAsia" w:ascii="宋体" w:hAnsi="宋体" w:eastAsia="宋体" w:cs="宋体"/>
          <w:b/>
          <w:bCs/>
          <w:color w:val="auto"/>
          <w:kern w:val="0"/>
          <w:sz w:val="24"/>
          <w:szCs w:val="24"/>
          <w:highlight w:val="none"/>
        </w:rPr>
        <w:t xml:space="preserve">条 </w:t>
      </w:r>
      <w:bookmarkStart w:id="3" w:name="_Toc15153"/>
      <w:bookmarkStart w:id="4" w:name="_Toc14562"/>
      <w:bookmarkStart w:id="5" w:name="_Toc19804"/>
      <w:r>
        <w:rPr>
          <w:rFonts w:hint="eastAsia" w:ascii="宋体" w:hAnsi="宋体" w:eastAsia="宋体" w:cs="宋体"/>
          <w:b/>
          <w:bCs/>
          <w:color w:val="auto"/>
          <w:kern w:val="0"/>
          <w:sz w:val="24"/>
          <w:szCs w:val="24"/>
          <w:highlight w:val="none"/>
          <w:lang w:val="en-US" w:eastAsia="zh-CN"/>
        </w:rPr>
        <w:t>服务期限</w:t>
      </w:r>
    </w:p>
    <w:p>
      <w:pPr>
        <w:pStyle w:val="19"/>
        <w:keepNext w:val="0"/>
        <w:keepLines w:val="0"/>
        <w:pageBreakBefore w:val="0"/>
        <w:kinsoku/>
        <w:wordWrap/>
        <w:overflowPunct/>
        <w:topLinePunct w:val="0"/>
        <w:autoSpaceDE/>
        <w:autoSpaceDN/>
        <w:bidi w:val="0"/>
        <w:adjustRightInd/>
        <w:snapToGrid/>
        <w:spacing w:line="500" w:lineRule="exact"/>
        <w:ind w:firstLine="480" w:firstLineChars="200"/>
        <w:textAlignment w:val="auto"/>
        <w:outlineLvl w:val="3"/>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自合同签订之日起一年</w:t>
      </w:r>
    </w:p>
    <w:p>
      <w:pPr>
        <w:keepNext w:val="0"/>
        <w:keepLines w:val="0"/>
        <w:pageBreakBefore w:val="0"/>
        <w:kinsoku/>
        <w:wordWrap/>
        <w:overflowPunct/>
        <w:topLinePunct w:val="0"/>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p>
    <w:bookmarkEnd w:id="3"/>
    <w:bookmarkEnd w:id="4"/>
    <w:bookmarkEnd w:id="5"/>
    <w:p>
      <w:pPr>
        <w:spacing w:line="360" w:lineRule="auto"/>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lang w:eastAsia="zh-CN"/>
        </w:rPr>
        <w:t>六</w:t>
      </w:r>
      <w:r>
        <w:rPr>
          <w:rFonts w:ascii="宋体" w:hAnsi="宋体" w:eastAsia="宋体" w:cs="宋体"/>
          <w:b/>
          <w:sz w:val="24"/>
        </w:rPr>
        <w:t>条：合同价款</w:t>
      </w:r>
    </w:p>
    <w:p>
      <w:pPr>
        <w:spacing w:line="360" w:lineRule="auto"/>
        <w:ind w:firstLine="480" w:firstLineChars="200"/>
        <w:outlineLvl w:val="1"/>
        <w:rPr>
          <w:rFonts w:ascii="宋体" w:hAnsi="宋体" w:eastAsia="宋体" w:cs="宋体"/>
          <w:b/>
          <w:sz w:val="24"/>
        </w:rPr>
      </w:pPr>
      <w:r>
        <w:rPr>
          <w:rFonts w:hint="eastAsia" w:ascii="宋体" w:hAnsi="宋体" w:eastAsia="宋体" w:cs="宋体"/>
          <w:bCs/>
          <w:sz w:val="24"/>
          <w:szCs w:val="24"/>
        </w:rPr>
        <w:t>本项目为总价合同，</w:t>
      </w:r>
      <w:r>
        <w:rPr>
          <w:rFonts w:hint="eastAsia" w:ascii="宋体" w:hAnsi="宋体" w:eastAsia="宋体" w:cs="宋体"/>
          <w:sz w:val="24"/>
          <w:szCs w:val="24"/>
        </w:rPr>
        <w:t>合同总价为：</w:t>
      </w:r>
      <w:r>
        <w:rPr>
          <w:rFonts w:hint="eastAsia" w:ascii="宋体" w:hAnsi="宋体" w:eastAsia="宋体" w:cs="宋体"/>
          <w:sz w:val="24"/>
          <w:szCs w:val="24"/>
          <w:u w:val="single"/>
        </w:rPr>
        <w:t xml:space="preserve">       </w:t>
      </w:r>
      <w:r>
        <w:rPr>
          <w:rFonts w:hint="eastAsia" w:ascii="宋体" w:hAnsi="宋体" w:eastAsia="宋体" w:cs="宋体"/>
          <w:sz w:val="24"/>
          <w:szCs w:val="24"/>
        </w:rPr>
        <w:t>元（大写：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bCs/>
          <w:sz w:val="24"/>
          <w:szCs w:val="24"/>
        </w:rPr>
        <w:t>在合同履行期间不因为市场价格或其他任何原因而发生变动</w:t>
      </w:r>
      <w:r>
        <w:rPr>
          <w:rFonts w:ascii="宋体" w:hAnsi="宋体" w:eastAsia="宋体" w:cs="宋体"/>
          <w:bCs/>
          <w:spacing w:val="4"/>
          <w:sz w:val="24"/>
          <w:szCs w:val="24"/>
        </w:rPr>
        <w:t>。</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lang w:eastAsia="zh-CN"/>
        </w:rPr>
      </w:pPr>
      <w:r>
        <w:rPr>
          <w:rFonts w:hint="eastAsia" w:ascii="宋体" w:hAnsi="宋体" w:eastAsia="宋体" w:cs="宋体"/>
          <w:b/>
          <w:sz w:val="24"/>
        </w:rPr>
        <w:t>第</w:t>
      </w:r>
      <w:r>
        <w:rPr>
          <w:rFonts w:hint="eastAsia" w:ascii="宋体" w:hAnsi="宋体" w:eastAsia="宋体" w:cs="宋体"/>
          <w:b/>
          <w:sz w:val="24"/>
          <w:lang w:eastAsia="zh-CN"/>
        </w:rPr>
        <w:t>七</w:t>
      </w:r>
      <w:r>
        <w:rPr>
          <w:rFonts w:hint="eastAsia" w:ascii="宋体" w:hAnsi="宋体" w:eastAsia="宋体" w:cs="宋体"/>
          <w:b/>
          <w:sz w:val="24"/>
        </w:rPr>
        <w:t>条：</w:t>
      </w:r>
      <w:r>
        <w:rPr>
          <w:rFonts w:hint="eastAsia" w:ascii="宋体" w:hAnsi="宋体" w:eastAsia="宋体" w:cs="宋体"/>
          <w:b/>
          <w:sz w:val="24"/>
          <w:lang w:eastAsia="zh-CN"/>
        </w:rPr>
        <w:t>款项结算</w:t>
      </w:r>
    </w:p>
    <w:p>
      <w:pPr>
        <w:spacing w:line="360" w:lineRule="auto"/>
        <w:ind w:firstLine="48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color w:val="000000" w:themeColor="text1"/>
          <w:sz w:val="24"/>
          <w:highlight w:val="none"/>
          <w:lang w:eastAsia="zh-CN"/>
          <w14:textFill>
            <w14:solidFill>
              <w14:schemeClr w14:val="tx1"/>
            </w14:solidFill>
          </w14:textFill>
        </w:rPr>
        <w:t>自合同签订生效起</w:t>
      </w:r>
      <w:r>
        <w:rPr>
          <w:rFonts w:hint="eastAsia" w:ascii="宋体" w:hAnsi="宋体" w:eastAsia="宋体" w:cs="宋体"/>
          <w:color w:val="000000" w:themeColor="text1"/>
          <w:sz w:val="24"/>
          <w:highlight w:val="none"/>
          <w:lang w:val="en-US" w:eastAsia="zh-CN"/>
          <w14:textFill>
            <w14:solidFill>
              <w14:schemeClr w14:val="tx1"/>
            </w14:solidFill>
          </w14:textFill>
        </w:rPr>
        <w:t>15日内，甲方向乙方支付合同金额的50%;</w:t>
      </w:r>
      <w:r>
        <w:rPr>
          <w:rFonts w:hint="eastAsia" w:ascii="宋体" w:hAnsi="宋体" w:eastAsia="宋体" w:cs="宋体"/>
          <w:b w:val="0"/>
          <w:color w:val="000000" w:themeColor="text1"/>
          <w:kern w:val="2"/>
          <w:sz w:val="24"/>
          <w:szCs w:val="22"/>
          <w:highlight w:val="none"/>
          <w:lang w:val="en-US" w:eastAsia="zh-CN" w:bidi="ar-SA"/>
          <w14:textFill>
            <w14:solidFill>
              <w14:schemeClr w14:val="tx1"/>
            </w14:solidFill>
          </w14:textFill>
        </w:rPr>
        <w:t>项目实施过程中，根据实施进度验收，验收由乙方提出书面申请报告，甲方确认签字后进行结算，达到付款条件起15日内，支付合同金额剩余的50%。</w:t>
      </w:r>
    </w:p>
    <w:p>
      <w:pPr>
        <w:spacing w:before="156" w:after="156" w:line="360" w:lineRule="auto"/>
        <w:ind w:firstLine="420"/>
        <w:rPr>
          <w:rFonts w:ascii="宋体" w:hAnsi="宋体" w:eastAsia="宋体" w:cs="宋体"/>
          <w:sz w:val="24"/>
        </w:rPr>
      </w:pPr>
      <w:r>
        <w:rPr>
          <w:rFonts w:ascii="宋体" w:hAnsi="宋体" w:eastAsia="宋体" w:cs="宋体"/>
          <w:sz w:val="24"/>
        </w:rPr>
        <w:t xml:space="preserve"> 2. 支付方式：银行转账。</w:t>
      </w:r>
    </w:p>
    <w:p>
      <w:pPr>
        <w:spacing w:before="156" w:after="156" w:line="360" w:lineRule="auto"/>
        <w:ind w:firstLine="420"/>
        <w:rPr>
          <w:rFonts w:ascii="宋体" w:hAnsi="宋体" w:eastAsia="宋体" w:cs="宋体"/>
          <w:sz w:val="24"/>
        </w:rPr>
      </w:pPr>
      <w:r>
        <w:rPr>
          <w:rFonts w:ascii="宋体" w:hAnsi="宋体" w:eastAsia="宋体" w:cs="宋体"/>
          <w:sz w:val="24"/>
        </w:rPr>
        <w:t xml:space="preserve"> 3. 乙方需向甲方出具合法有效的完税发票，甲方进行支付结算。</w:t>
      </w:r>
    </w:p>
    <w:p>
      <w:pPr>
        <w:spacing w:line="360" w:lineRule="auto"/>
        <w:rPr>
          <w:rFonts w:hint="eastAsia" w:ascii="宋体" w:hAnsi="宋体" w:eastAsia="宋体" w:cs="宋体"/>
          <w:b/>
          <w:sz w:val="24"/>
          <w:lang w:eastAsia="zh-CN"/>
        </w:rPr>
      </w:pPr>
      <w:r>
        <w:rPr>
          <w:rFonts w:ascii="宋体" w:hAnsi="宋体" w:eastAsia="宋体" w:cs="宋体"/>
          <w:b/>
          <w:sz w:val="24"/>
        </w:rPr>
        <w:t>第</w:t>
      </w:r>
      <w:r>
        <w:rPr>
          <w:rFonts w:hint="eastAsia" w:ascii="宋体" w:hAnsi="宋体" w:eastAsia="宋体" w:cs="宋体"/>
          <w:b/>
          <w:sz w:val="24"/>
          <w:lang w:eastAsia="zh-CN"/>
        </w:rPr>
        <w:t>八</w:t>
      </w:r>
      <w:r>
        <w:rPr>
          <w:rFonts w:ascii="宋体" w:hAnsi="宋体" w:eastAsia="宋体" w:cs="宋体"/>
          <w:b/>
          <w:sz w:val="24"/>
        </w:rPr>
        <w:t>条：</w:t>
      </w:r>
      <w:r>
        <w:rPr>
          <w:rFonts w:hint="eastAsia" w:ascii="宋体" w:hAnsi="宋体" w:eastAsia="宋体" w:cs="宋体"/>
          <w:b/>
          <w:sz w:val="24"/>
          <w:lang w:eastAsia="zh-CN"/>
        </w:rPr>
        <w:t>甲方的</w:t>
      </w:r>
      <w:r>
        <w:rPr>
          <w:rFonts w:ascii="宋体" w:hAnsi="宋体" w:eastAsia="宋体" w:cs="宋体"/>
          <w:b/>
          <w:sz w:val="24"/>
        </w:rPr>
        <w:t>责任</w:t>
      </w:r>
      <w:r>
        <w:rPr>
          <w:rFonts w:hint="eastAsia" w:ascii="宋体" w:hAnsi="宋体" w:eastAsia="宋体" w:cs="宋体"/>
          <w:b/>
          <w:sz w:val="24"/>
          <w:lang w:eastAsia="zh-CN"/>
        </w:rPr>
        <w:t>与义务</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1、甲方负责协调各岗位相关部门配合开展工作，提供司法辅助综合事务咨询支持。</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2、甲方应配合乙方开展各项培训、员工管理等事项。</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3、对乙方提供的外包服务享有监督和检查权，并按约定时间向乙方支付项目服务费用。</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4、在服务期内甲方有权要求乙方对工作人员进行岗位调配。因各种原因导致临时脱岗、不能胜任或不符合业务要求的工作人员进行更换的，乙方须提前30日以书面形式通知甲方。</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5、若有项目变更或其他特殊情况，需要暂时调整项目工作安排的，甲方有义务提前一周以书面形式告知乙方，便于乙方进行妥善的人力和流程安排，并另行协商工作计划。</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6、应协助乙方完成甲方相关岗位服务设施设备的日常维护，出现异常时及时给予修复或指导，如因甲方未及时修复或指导修复设备，导致工作延误或经济损失的，由甲方全部承担。</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7、甲方有权保护乙方项目服务人员的合法利益，因甲方未经过乙方意擅自调整乙方项目服务人员工作时间或工作岗位，给乙方或乙方工作人员带来人身和财产损害的，由甲方承担责任。</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8、乙方在服务期内对工作人员进行管理等需要甲方配合的工作时，甲方应积极配合。</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9、因乙方项目服务人员的合法权益受到甲方侵犯而发生争议或诉讼的，由甲方承担最终的法律赔偿责任。</w:t>
      </w:r>
    </w:p>
    <w:p>
      <w:pPr>
        <w:spacing w:line="360" w:lineRule="auto"/>
        <w:rPr>
          <w:rFonts w:ascii="宋体" w:hAnsi="宋体" w:eastAsia="宋体" w:cs="宋体"/>
          <w:b/>
          <w:sz w:val="24"/>
        </w:rPr>
      </w:pPr>
    </w:p>
    <w:p>
      <w:pPr>
        <w:spacing w:line="360" w:lineRule="auto"/>
        <w:rPr>
          <w:rFonts w:hint="eastAsia" w:ascii="宋体" w:hAnsi="宋体" w:eastAsia="宋体" w:cs="宋体"/>
          <w:b/>
          <w:sz w:val="24"/>
          <w:lang w:eastAsia="zh-CN"/>
        </w:rPr>
      </w:pPr>
      <w:r>
        <w:rPr>
          <w:rFonts w:ascii="宋体" w:hAnsi="宋体" w:eastAsia="宋体" w:cs="宋体"/>
          <w:b/>
          <w:sz w:val="24"/>
        </w:rPr>
        <w:t>第</w:t>
      </w:r>
      <w:r>
        <w:rPr>
          <w:rFonts w:hint="eastAsia" w:ascii="宋体" w:hAnsi="宋体" w:eastAsia="宋体" w:cs="宋体"/>
          <w:b/>
          <w:sz w:val="24"/>
        </w:rPr>
        <w:t>九</w:t>
      </w:r>
      <w:r>
        <w:rPr>
          <w:rFonts w:ascii="宋体" w:hAnsi="宋体" w:eastAsia="宋体" w:cs="宋体"/>
          <w:b/>
          <w:sz w:val="24"/>
        </w:rPr>
        <w:t>条：</w:t>
      </w:r>
      <w:r>
        <w:rPr>
          <w:rFonts w:hint="eastAsia" w:ascii="宋体" w:hAnsi="宋体" w:eastAsia="宋体" w:cs="宋体"/>
          <w:b/>
          <w:sz w:val="24"/>
          <w:lang w:eastAsia="zh-CN"/>
        </w:rPr>
        <w:t>乙方的</w:t>
      </w:r>
      <w:r>
        <w:rPr>
          <w:rFonts w:ascii="宋体" w:hAnsi="宋体" w:eastAsia="宋体" w:cs="宋体"/>
          <w:b/>
          <w:sz w:val="24"/>
        </w:rPr>
        <w:t>责任</w:t>
      </w:r>
      <w:r>
        <w:rPr>
          <w:rFonts w:hint="eastAsia" w:ascii="宋体" w:hAnsi="宋体" w:eastAsia="宋体" w:cs="宋体"/>
          <w:b/>
          <w:sz w:val="24"/>
          <w:lang w:eastAsia="zh-CN"/>
        </w:rPr>
        <w:t>与义务</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1、应根据本项目的服务要求选聘合格的外包人员承担服务工作，乙方保证使用在甲方外包项目上的员工是经过合法录用和考核管理的，确保服务事项顺利开展。</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乙方应了解甲方的工作流程、工作内容、工作环境等状况，负责组建服务团队，提供高质量的司法辅助事务性工作，并按约定保质保量向甲方提供服务，保证提供服务的团队人员的数量和要求需满足履行本项目要求。</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3、服务期内乙方有权对工作人员的数量和工作标准按照甲方的要求进行合理地调整。乙方应积极寻求更有效的管理手段，不断优化流程标准和服务规范。</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4、乙方支付给工作人员的工资不得低于陕西省西安市规定的最低工资标准，遵守国家相关规定原则。乙方负责完善工作人员的各项专业管理工作，还应负责工作人员的工伤、人身意外、劳资纠纷等造成的责任。</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5、乙方应加强对工作人员的教育和管理，遵守甲方有关规章管理制度。乙方的用工要符合国家的相关规定，乙方必须与招聘人员及时签订用工合同，并按照国家相关法律规定为招聘人员缴纳各项保险等。</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6、因乙方工作人员在工作期间造成甲方工作人员人身或财产损失、或第三人的人身以及财产损失，导致甲方承担赔偿责任的，乙方应负责赔偿甲方的损失，乙方事后可根据实际情况向该工作人员进行追偿。</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7、乙方项目服务人员在工作期间造成工伤或其他人身损害的，甲乙方任一方应及时将项目服务人员送至医院救治；事发后24小时内以书面告知对方，乙方办理工伤申报、伤残鉴定申请、待遇理赔等事宜。</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8、乙方应协助、配合甲方对辅助事务工作人员开展安全排查工作。</w:t>
      </w:r>
    </w:p>
    <w:p>
      <w:pPr>
        <w:keepNext w:val="0"/>
        <w:keepLines w:val="0"/>
        <w:pageBreakBefore w:val="0"/>
        <w:widowControl/>
        <w:kinsoku/>
        <w:wordWrap/>
        <w:overflowPunct/>
        <w:topLinePunct w:val="0"/>
        <w:bidi w:val="0"/>
        <w:adjustRightInd w:val="0"/>
        <w:snapToGrid w:val="0"/>
        <w:spacing w:line="360" w:lineRule="auto"/>
        <w:ind w:right="0"/>
        <w:jc w:val="left"/>
        <w:textAlignment w:val="auto"/>
        <w:outlineLvl w:val="1"/>
        <w:rPr>
          <w:rFonts w:hint="eastAsia" w:ascii="宋体" w:hAnsi="宋体" w:eastAsia="宋体" w:cs="宋体"/>
          <w:b/>
          <w:bCs/>
          <w:kern w:val="0"/>
          <w:sz w:val="24"/>
          <w:szCs w:val="24"/>
          <w:highlight w:val="none"/>
          <w:lang w:val="en-US" w:eastAsia="zh-CN"/>
        </w:rPr>
      </w:pPr>
    </w:p>
    <w:p>
      <w:pPr>
        <w:keepNext w:val="0"/>
        <w:keepLines w:val="0"/>
        <w:pageBreakBefore w:val="0"/>
        <w:widowControl/>
        <w:kinsoku/>
        <w:wordWrap/>
        <w:overflowPunct/>
        <w:topLinePunct w:val="0"/>
        <w:bidi w:val="0"/>
        <w:adjustRightInd w:val="0"/>
        <w:snapToGrid w:val="0"/>
        <w:spacing w:line="360" w:lineRule="auto"/>
        <w:ind w:right="0"/>
        <w:jc w:val="left"/>
        <w:textAlignment w:val="auto"/>
        <w:outlineLvl w:val="1"/>
        <w:rPr>
          <w:rFonts w:hint="eastAsia" w:ascii="宋体" w:hAnsi="宋体" w:eastAsia="宋体" w:cs="宋体"/>
          <w:b/>
          <w:bCs/>
          <w:kern w:val="0"/>
          <w:sz w:val="24"/>
          <w:szCs w:val="24"/>
          <w:highlight w:val="none"/>
          <w:lang w:val="en-US" w:eastAsia="zh-CN"/>
        </w:rPr>
      </w:pPr>
    </w:p>
    <w:p>
      <w:pPr>
        <w:keepNext w:val="0"/>
        <w:keepLines w:val="0"/>
        <w:pageBreakBefore w:val="0"/>
        <w:widowControl/>
        <w:kinsoku/>
        <w:wordWrap/>
        <w:overflowPunct/>
        <w:topLinePunct w:val="0"/>
        <w:bidi w:val="0"/>
        <w:adjustRightInd w:val="0"/>
        <w:snapToGrid w:val="0"/>
        <w:spacing w:line="360" w:lineRule="auto"/>
        <w:ind w:right="0"/>
        <w:jc w:val="left"/>
        <w:textAlignment w:val="auto"/>
        <w:outlineLvl w:val="1"/>
        <w:rPr>
          <w:rFonts w:hint="eastAsia" w:ascii="宋体" w:hAnsi="宋体" w:eastAsia="宋体" w:cs="宋体"/>
          <w:b/>
          <w:bCs/>
          <w:kern w:val="0"/>
          <w:sz w:val="24"/>
          <w:szCs w:val="24"/>
          <w:highlight w:val="none"/>
          <w:lang w:val="en-US" w:eastAsia="zh-CN"/>
        </w:rPr>
      </w:pPr>
    </w:p>
    <w:p>
      <w:pPr>
        <w:keepNext w:val="0"/>
        <w:keepLines w:val="0"/>
        <w:pageBreakBefore w:val="0"/>
        <w:widowControl/>
        <w:kinsoku/>
        <w:wordWrap/>
        <w:overflowPunct/>
        <w:topLinePunct w:val="0"/>
        <w:bidi w:val="0"/>
        <w:adjustRightInd w:val="0"/>
        <w:snapToGrid w:val="0"/>
        <w:spacing w:line="360" w:lineRule="auto"/>
        <w:ind w:right="0"/>
        <w:jc w:val="left"/>
        <w:textAlignment w:val="auto"/>
        <w:outlineLvl w:val="1"/>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 xml:space="preserve">第十条 </w:t>
      </w:r>
      <w:r>
        <w:rPr>
          <w:rFonts w:hint="eastAsia" w:ascii="宋体" w:hAnsi="宋体" w:eastAsia="宋体" w:cs="宋体"/>
          <w:b/>
          <w:bCs/>
          <w:kern w:val="0"/>
          <w:sz w:val="24"/>
          <w:szCs w:val="24"/>
          <w:highlight w:val="none"/>
        </w:rPr>
        <w:t>保密责任</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乙方与甲方签订《保密协议》。乙方在进行服务过程中，必须确保甲方的信息安全，未经甲方不得擅自删除、修改和转移甲方业务系统中的信息，并为其保密。因乙方员工泄露甲方工作秘密造成甲方损失的，乙方应赔偿甲方损失，乙方事后可根据实际情况向该工作人员进行追偿。</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乙方及其工作人员应严守在履行本合同中通过各种方式知悉的甲方案件信息、技术秘密和其他业务信息，不得向甲方以外第三方以任何方式泄露，双方还需签订《保密协议》，并提交壹份西安市临潼区人民法院备案。</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3、服务结束后，乙方应返还甲方提供的相关资料和服务过程中取得的任何材料，不得存留原件或复制品。</w:t>
      </w:r>
    </w:p>
    <w:p>
      <w:pPr>
        <w:pStyle w:val="1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outlineLvl w:val="1"/>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w:t>
      </w:r>
      <w:r>
        <w:rPr>
          <w:rFonts w:hint="eastAsia" w:ascii="宋体" w:hAnsi="宋体" w:eastAsia="宋体" w:cs="宋体"/>
          <w:b/>
          <w:bCs/>
          <w:kern w:val="0"/>
          <w:sz w:val="24"/>
          <w:szCs w:val="24"/>
          <w:highlight w:val="none"/>
          <w:lang w:val="en-US" w:eastAsia="zh-CN"/>
        </w:rPr>
        <w:t>十一</w:t>
      </w:r>
      <w:r>
        <w:rPr>
          <w:rFonts w:hint="eastAsia" w:ascii="宋体" w:hAnsi="宋体" w:eastAsia="宋体" w:cs="宋体"/>
          <w:b/>
          <w:bCs/>
          <w:kern w:val="0"/>
          <w:sz w:val="24"/>
          <w:szCs w:val="24"/>
          <w:highlight w:val="none"/>
        </w:rPr>
        <w:t>条 验收</w:t>
      </w:r>
    </w:p>
    <w:p>
      <w:pPr>
        <w:pStyle w:val="19"/>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1、服务质量标准：乙方服务团队人员按甲方规定进行司法辅助事务性工作，所完成的工作质量需达到甲方要求。 </w:t>
      </w:r>
    </w:p>
    <w:p>
      <w:pPr>
        <w:pStyle w:val="19"/>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2、服务验收标准：乙方按甲方要求按时按质完成工作任务。 </w:t>
      </w:r>
    </w:p>
    <w:p>
      <w:pPr>
        <w:pStyle w:val="19"/>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3、如遇对业务整理流程的调整，则提前一个月向乙方提供最新验收标准，乙方应按新标准按时完成工作。</w:t>
      </w:r>
    </w:p>
    <w:p>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宋体" w:hAnsi="宋体" w:eastAsia="宋体" w:cs="宋体"/>
          <w:b/>
          <w:bCs/>
          <w:kern w:val="0"/>
          <w:sz w:val="24"/>
          <w:szCs w:val="24"/>
          <w:highlight w:val="none"/>
        </w:rPr>
      </w:pPr>
    </w:p>
    <w:p>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outlineLvl w:val="1"/>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w:t>
      </w:r>
      <w:r>
        <w:rPr>
          <w:rFonts w:hint="eastAsia" w:ascii="宋体" w:hAnsi="宋体" w:eastAsia="宋体" w:cs="宋体"/>
          <w:b/>
          <w:bCs/>
          <w:kern w:val="0"/>
          <w:sz w:val="24"/>
          <w:szCs w:val="24"/>
          <w:highlight w:val="none"/>
          <w:lang w:val="en-US" w:eastAsia="zh-CN"/>
        </w:rPr>
        <w:t>十二</w:t>
      </w:r>
      <w:r>
        <w:rPr>
          <w:rFonts w:hint="eastAsia" w:ascii="宋体" w:hAnsi="宋体" w:eastAsia="宋体" w:cs="宋体"/>
          <w:b/>
          <w:bCs/>
          <w:kern w:val="0"/>
          <w:sz w:val="24"/>
          <w:szCs w:val="24"/>
          <w:highlight w:val="none"/>
        </w:rPr>
        <w:t>条 违约责任</w:t>
      </w:r>
    </w:p>
    <w:p>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1.乙方应按合同约定时间完成各阶段合同义务，若发生延迟，乙方应向甲方支付合同总价款10%的违约金，且甲方有权单方解除本合同。但甲方书面同意延迟或因甲方原因导致延迟的，乙方不承担违约责任。</w:t>
      </w:r>
    </w:p>
    <w:p>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2.如甲方未能在本合同约定时间内支付款项，每延迟一天，甲方须向乙方承担迟延支付费用的0.5‰作为违约金，并将服务周期予以相应顺延。</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3.本次活动因乙方原因导致侵害甲方或第三方合法权益的，应由乙方承担相应赔偿责任，并向甲方支付合同总价款10%的违约金。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 xml:space="preserve">4.若乙方未经甲方同意泄露本合同约定的任何秘密信息的，乙方应按照合同总价款的10%向甲方支付违约金，并赔偿因此给甲方造成的损失。 </w:t>
      </w:r>
    </w:p>
    <w:p>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19"/>
        <w:ind w:firstLine="480" w:firstLineChars="200"/>
        <w:rPr>
          <w:rFonts w:hint="eastAsia" w:ascii="宋体" w:hAnsi="宋体" w:eastAsia="宋体" w:cs="宋体"/>
          <w:kern w:val="0"/>
          <w:sz w:val="24"/>
          <w:szCs w:val="24"/>
          <w:highlight w:val="none"/>
          <w:lang w:val="en-US" w:eastAsia="zh-CN" w:bidi="ar-SA"/>
        </w:rPr>
      </w:pPr>
    </w:p>
    <w:p>
      <w:pPr>
        <w:spacing w:line="360" w:lineRule="auto"/>
        <w:rPr>
          <w:rFonts w:ascii="宋体" w:hAnsi="宋体" w:eastAsia="宋体" w:cs="宋体"/>
          <w:sz w:val="24"/>
        </w:rPr>
      </w:pPr>
      <w:r>
        <w:rPr>
          <w:rFonts w:ascii="宋体" w:hAnsi="宋体" w:eastAsia="宋体" w:cs="宋体"/>
          <w:b/>
          <w:sz w:val="24"/>
        </w:rPr>
        <w:t>第</w:t>
      </w:r>
      <w:r>
        <w:rPr>
          <w:rFonts w:hint="eastAsia" w:ascii="宋体" w:hAnsi="宋体" w:eastAsia="宋体" w:cs="宋体"/>
          <w:b/>
          <w:sz w:val="24"/>
          <w:lang w:eastAsia="zh-CN"/>
        </w:rPr>
        <w:t>十三</w:t>
      </w:r>
      <w:r>
        <w:rPr>
          <w:rFonts w:ascii="宋体" w:hAnsi="宋体" w:eastAsia="宋体" w:cs="宋体"/>
          <w:b/>
          <w:sz w:val="24"/>
        </w:rPr>
        <w:t>条</w:t>
      </w:r>
      <w:r>
        <w:rPr>
          <w:rFonts w:ascii="宋体" w:hAnsi="宋体" w:eastAsia="宋体" w:cs="宋体"/>
          <w:sz w:val="24"/>
        </w:rPr>
        <w:t>：解决纠纷方式：出现纠纷时，首先双方协商解决，如果协商不能解决时，按有关法律程序解决；</w:t>
      </w:r>
    </w:p>
    <w:p>
      <w:pPr>
        <w:spacing w:line="360" w:lineRule="auto"/>
        <w:rPr>
          <w:rFonts w:ascii="宋体" w:hAnsi="宋体" w:eastAsia="宋体" w:cs="宋体"/>
          <w:b/>
          <w:sz w:val="24"/>
        </w:rPr>
      </w:pPr>
    </w:p>
    <w:p>
      <w:pPr>
        <w:spacing w:line="360" w:lineRule="auto"/>
        <w:rPr>
          <w:rFonts w:ascii="宋体" w:hAnsi="宋体" w:eastAsia="宋体" w:cs="宋体"/>
          <w:sz w:val="24"/>
          <w:u w:val="single"/>
        </w:rPr>
      </w:pPr>
      <w:r>
        <w:rPr>
          <w:rFonts w:ascii="宋体" w:hAnsi="宋体" w:eastAsia="宋体" w:cs="宋体"/>
          <w:b/>
          <w:sz w:val="24"/>
        </w:rPr>
        <w:t>第十</w:t>
      </w:r>
      <w:r>
        <w:rPr>
          <w:rFonts w:hint="eastAsia" w:ascii="宋体" w:hAnsi="宋体" w:eastAsia="宋体" w:cs="宋体"/>
          <w:b/>
          <w:sz w:val="24"/>
          <w:lang w:eastAsia="zh-CN"/>
        </w:rPr>
        <w:t>四</w:t>
      </w:r>
      <w:r>
        <w:rPr>
          <w:rFonts w:ascii="宋体" w:hAnsi="宋体" w:eastAsia="宋体" w:cs="宋体"/>
          <w:b/>
          <w:sz w:val="24"/>
        </w:rPr>
        <w:t>条：</w:t>
      </w:r>
      <w:r>
        <w:rPr>
          <w:rFonts w:ascii="宋体" w:hAnsi="宋体" w:eastAsia="宋体" w:cs="宋体"/>
          <w:sz w:val="24"/>
        </w:rPr>
        <w:t>其它约定事项：</w:t>
      </w:r>
      <w:r>
        <w:rPr>
          <w:rFonts w:ascii="宋体" w:hAnsi="宋体" w:eastAsia="宋体" w:cs="宋体"/>
          <w:sz w:val="24"/>
          <w:u w:val="single"/>
        </w:rPr>
        <w:t>未尽事宜双方协商解决；</w:t>
      </w:r>
    </w:p>
    <w:p>
      <w:pPr>
        <w:spacing w:line="360" w:lineRule="auto"/>
        <w:rPr>
          <w:rFonts w:ascii="宋体" w:hAnsi="宋体" w:eastAsia="宋体" w:cs="宋体"/>
          <w:b/>
          <w:sz w:val="24"/>
        </w:rPr>
      </w:pPr>
    </w:p>
    <w:p>
      <w:pPr>
        <w:spacing w:line="360" w:lineRule="auto"/>
        <w:rPr>
          <w:rFonts w:ascii="宋体" w:hAnsi="宋体" w:eastAsia="宋体" w:cs="宋体"/>
          <w:sz w:val="24"/>
        </w:rPr>
      </w:pPr>
      <w:r>
        <w:rPr>
          <w:rFonts w:ascii="宋体" w:hAnsi="宋体" w:eastAsia="宋体" w:cs="宋体"/>
          <w:b/>
          <w:sz w:val="24"/>
        </w:rPr>
        <w:t>第十</w:t>
      </w:r>
      <w:r>
        <w:rPr>
          <w:rFonts w:hint="eastAsia" w:ascii="宋体" w:hAnsi="宋体" w:eastAsia="宋体" w:cs="宋体"/>
          <w:b/>
          <w:sz w:val="24"/>
          <w:lang w:eastAsia="zh-CN"/>
        </w:rPr>
        <w:t>五</w:t>
      </w:r>
      <w:r>
        <w:rPr>
          <w:rFonts w:ascii="宋体" w:hAnsi="宋体" w:eastAsia="宋体" w:cs="宋体"/>
          <w:b/>
          <w:sz w:val="24"/>
        </w:rPr>
        <w:t>条：</w:t>
      </w:r>
      <w:r>
        <w:rPr>
          <w:rFonts w:ascii="宋体" w:hAnsi="宋体" w:eastAsia="宋体" w:cs="宋体"/>
          <w:sz w:val="24"/>
        </w:rPr>
        <w:t>本合同</w:t>
      </w:r>
      <w:r>
        <w:rPr>
          <w:rFonts w:hint="eastAsia" w:ascii="宋体" w:hAnsi="宋体" w:eastAsia="宋体" w:cs="宋体"/>
          <w:sz w:val="24"/>
        </w:rPr>
        <w:t>共一式肆份，甲乙双方各执贰份</w:t>
      </w:r>
      <w:r>
        <w:rPr>
          <w:rFonts w:ascii="宋体" w:hAnsi="宋体" w:eastAsia="宋体" w:cs="宋体"/>
          <w:sz w:val="24"/>
        </w:rPr>
        <w:t>。</w:t>
      </w:r>
    </w:p>
    <w:p>
      <w:pPr>
        <w:spacing w:line="360" w:lineRule="auto"/>
        <w:ind w:firstLine="480"/>
        <w:rPr>
          <w:rFonts w:ascii="宋体" w:hAnsi="宋体" w:eastAsia="宋体" w:cs="宋体"/>
          <w:sz w:val="24"/>
          <w:shd w:val="clear" w:color="auto" w:fill="FFFFFF"/>
        </w:rPr>
      </w:pPr>
    </w:p>
    <w:p>
      <w:pPr>
        <w:spacing w:line="360" w:lineRule="auto"/>
        <w:rPr>
          <w:rFonts w:ascii="宋体" w:hAnsi="宋体" w:eastAsia="宋体" w:cs="宋体"/>
          <w:sz w:val="24"/>
          <w:shd w:val="clear" w:color="auto" w:fill="FFFFFF"/>
        </w:rPr>
      </w:pPr>
    </w:p>
    <w:p>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（以下无正文）</w:t>
      </w:r>
    </w:p>
    <w:p>
      <w:pPr>
        <w:spacing w:line="360" w:lineRule="auto"/>
        <w:ind w:firstLine="480" w:firstLineChars="200"/>
        <w:rPr>
          <w:rFonts w:ascii="宋体" w:hAnsi="宋体" w:eastAsia="宋体" w:cs="宋体"/>
          <w:sz w:val="24"/>
          <w:shd w:val="clear" w:color="auto" w:fill="FFFFFF"/>
        </w:rPr>
      </w:pPr>
      <w:r>
        <w:rPr>
          <w:rFonts w:ascii="宋体" w:hAnsi="宋体" w:eastAsia="宋体" w:cs="宋体"/>
          <w:sz w:val="24"/>
          <w:shd w:val="clear" w:color="auto" w:fill="FFFFFF"/>
        </w:rPr>
        <w:t xml:space="preserve">甲方： </w:t>
      </w:r>
    </w:p>
    <w:p>
      <w:pPr>
        <w:spacing w:line="360" w:lineRule="auto"/>
        <w:ind w:firstLine="480"/>
        <w:rPr>
          <w:rFonts w:ascii="宋体" w:hAnsi="宋体" w:eastAsia="宋体" w:cs="宋体"/>
          <w:sz w:val="24"/>
          <w:shd w:val="clear" w:color="auto" w:fill="FFFFFF"/>
        </w:rPr>
      </w:pPr>
    </w:p>
    <w:p>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法人代表或授权代表：</w:t>
      </w:r>
    </w:p>
    <w:p>
      <w:pPr>
        <w:spacing w:line="360" w:lineRule="auto"/>
        <w:ind w:firstLine="480"/>
        <w:rPr>
          <w:rFonts w:ascii="宋体" w:hAnsi="宋体" w:eastAsia="宋体" w:cs="宋体"/>
          <w:sz w:val="24"/>
          <w:shd w:val="clear" w:color="auto" w:fill="FFFFFF"/>
        </w:rPr>
      </w:pPr>
    </w:p>
    <w:p>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签署日期：   年  月  日</w:t>
      </w:r>
    </w:p>
    <w:p>
      <w:pPr>
        <w:spacing w:line="360" w:lineRule="auto"/>
        <w:ind w:firstLine="480"/>
        <w:rPr>
          <w:rFonts w:ascii="宋体" w:hAnsi="宋体" w:eastAsia="宋体" w:cs="宋体"/>
          <w:sz w:val="24"/>
          <w:shd w:val="clear" w:color="auto" w:fill="FFFFFF"/>
        </w:rPr>
      </w:pPr>
    </w:p>
    <w:p>
      <w:pPr>
        <w:spacing w:line="360" w:lineRule="auto"/>
        <w:ind w:firstLine="480"/>
        <w:rPr>
          <w:rFonts w:ascii="宋体" w:hAnsi="宋体" w:eastAsia="宋体" w:cs="宋体"/>
          <w:sz w:val="24"/>
          <w:shd w:val="clear" w:color="auto" w:fill="FFFFFF"/>
        </w:rPr>
      </w:pPr>
    </w:p>
    <w:p>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乙方：</w:t>
      </w:r>
    </w:p>
    <w:p>
      <w:pPr>
        <w:spacing w:line="360" w:lineRule="auto"/>
        <w:ind w:firstLine="480"/>
        <w:rPr>
          <w:rFonts w:ascii="宋体" w:hAnsi="宋体" w:eastAsia="宋体" w:cs="宋体"/>
          <w:sz w:val="24"/>
          <w:shd w:val="clear" w:color="auto" w:fill="FFFFFF"/>
        </w:rPr>
      </w:pPr>
    </w:p>
    <w:p>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法人代表或授权代表：</w:t>
      </w:r>
    </w:p>
    <w:p>
      <w:pPr>
        <w:spacing w:line="360" w:lineRule="auto"/>
        <w:ind w:firstLine="480"/>
        <w:rPr>
          <w:rFonts w:ascii="宋体" w:hAnsi="宋体" w:eastAsia="宋体" w:cs="宋体"/>
          <w:sz w:val="24"/>
          <w:shd w:val="clear" w:color="auto" w:fill="FFFFFF"/>
        </w:rPr>
      </w:pPr>
    </w:p>
    <w:p>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签署日期：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single" w:color="auto" w:sz="4" w:space="1"/>
        <w:left w:val="none" w:color="auto" w:sz="0" w:space="4"/>
        <w:bottom w:val="none" w:color="auto" w:sz="0" w:space="1"/>
        <w:right w:val="none" w:color="auto" w:sz="0" w:space="4"/>
      </w:pBdr>
      <w:tabs>
        <w:tab w:val="left" w:pos="6015"/>
        <w:tab w:val="clear" w:pos="4153"/>
      </w:tabs>
      <w:rPr>
        <w:rFonts w:eastAsia="宋体"/>
        <w:i/>
        <w:iCs/>
      </w:rPr>
    </w:pPr>
    <w:r>
      <w:rPr>
        <w:rFonts w:hint="eastAsia" w:eastAsia="宋体"/>
        <w:b/>
        <w:bCs/>
        <w:i/>
        <w:iCs/>
      </w:rPr>
      <w:t xml:space="preserve">                               </w:t>
    </w:r>
    <w:r>
      <w:rPr>
        <w:rFonts w:hint="eastAsia" w:eastAsia="宋体"/>
        <w:i/>
        <w:iCs/>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chineseCountingThousand"/>
      <w:lvlText w:val="第%1部分"/>
      <w:lvlJc w:val="left"/>
      <w:pPr>
        <w:tabs>
          <w:tab w:val="left" w:pos="1800"/>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1080"/>
        </w:tabs>
        <w:ind w:left="340" w:hanging="340"/>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2"/>
      <w:lvlText w:val="%1.%2.%3.%4.%5"/>
      <w:lvlJc w:val="left"/>
      <w:pPr>
        <w:tabs>
          <w:tab w:val="left" w:pos="1080"/>
        </w:tabs>
        <w:ind w:left="992" w:hanging="992"/>
      </w:pPr>
      <w:rPr>
        <w:rFonts w:hint="eastAsia"/>
      </w:rPr>
    </w:lvl>
    <w:lvl w:ilvl="5" w:tentative="0">
      <w:start w:val="1"/>
      <w:numFmt w:val="decimal"/>
      <w:lvlText w:val="%1.%2.%3.%4.%5.%6"/>
      <w:lvlJc w:val="left"/>
      <w:pPr>
        <w:tabs>
          <w:tab w:val="left" w:pos="1440"/>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A5CA6"/>
    <w:rsid w:val="039C4CD0"/>
    <w:rsid w:val="051D420A"/>
    <w:rsid w:val="064F58BD"/>
    <w:rsid w:val="06D029D2"/>
    <w:rsid w:val="06DA7C4D"/>
    <w:rsid w:val="0EFE214A"/>
    <w:rsid w:val="124166EE"/>
    <w:rsid w:val="15E318CB"/>
    <w:rsid w:val="16A73102"/>
    <w:rsid w:val="177F0AEF"/>
    <w:rsid w:val="1A361669"/>
    <w:rsid w:val="21764CB3"/>
    <w:rsid w:val="24C70A51"/>
    <w:rsid w:val="25F24382"/>
    <w:rsid w:val="2DB06D08"/>
    <w:rsid w:val="2F8B5BED"/>
    <w:rsid w:val="32F65582"/>
    <w:rsid w:val="35FE10F7"/>
    <w:rsid w:val="421B1298"/>
    <w:rsid w:val="45F964A6"/>
    <w:rsid w:val="543E73A1"/>
    <w:rsid w:val="56931866"/>
    <w:rsid w:val="5AAA1D9C"/>
    <w:rsid w:val="5D7B5C49"/>
    <w:rsid w:val="5E88074C"/>
    <w:rsid w:val="5FE004C0"/>
    <w:rsid w:val="60ED2345"/>
    <w:rsid w:val="63FC64BF"/>
    <w:rsid w:val="65EC2E5A"/>
    <w:rsid w:val="679948A5"/>
    <w:rsid w:val="6981244D"/>
    <w:rsid w:val="6B225914"/>
    <w:rsid w:val="6DF00B71"/>
    <w:rsid w:val="79D83CC3"/>
    <w:rsid w:val="7CB96189"/>
    <w:rsid w:val="7E85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1"/>
    <w:basedOn w:val="1"/>
    <w:next w:val="1"/>
    <w:qFormat/>
    <w:uiPriority w:val="99"/>
    <w:pPr>
      <w:keepNext/>
      <w:keepLines/>
      <w:adjustRightInd w:val="0"/>
      <w:spacing w:before="240" w:after="240" w:line="578" w:lineRule="atLeast"/>
      <w:textAlignment w:val="baseline"/>
      <w:outlineLvl w:val="0"/>
    </w:pPr>
    <w:rPr>
      <w:rFonts w:ascii="Tahoma" w:hAnsi="Tahoma"/>
      <w:b/>
      <w:bCs/>
      <w:kern w:val="44"/>
      <w:sz w:val="24"/>
      <w:szCs w:val="44"/>
    </w:rPr>
  </w:style>
  <w:style w:type="paragraph" w:styleId="4">
    <w:name w:val="heading 2"/>
    <w:basedOn w:val="1"/>
    <w:next w:val="5"/>
    <w:qFormat/>
    <w:uiPriority w:val="99"/>
    <w:pPr>
      <w:spacing w:before="260" w:after="260" w:line="416" w:lineRule="atLeast"/>
      <w:outlineLvl w:val="1"/>
    </w:pPr>
    <w:rPr>
      <w:rFonts w:ascii="Cambria" w:hAnsi="Cambria"/>
      <w:sz w:val="32"/>
      <w:szCs w:val="32"/>
    </w:rPr>
  </w:style>
  <w:style w:type="character" w:default="1" w:styleId="14">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customStyle="1" w:styleId="2">
    <w:name w:val="标题 41"/>
    <w:basedOn w:val="1"/>
    <w:next w:val="1"/>
    <w:qFormat/>
    <w:uiPriority w:val="0"/>
    <w:pPr>
      <w:keepNext/>
      <w:keepLines/>
      <w:numPr>
        <w:ilvl w:val="4"/>
        <w:numId w:val="1"/>
      </w:numPr>
      <w:spacing w:before="280" w:after="290" w:line="376" w:lineRule="auto"/>
      <w:outlineLvl w:val="3"/>
    </w:pPr>
    <w:rPr>
      <w:rFonts w:ascii="Arial" w:hAnsi="Arial" w:eastAsia="黑体" w:cs="Times New Roman"/>
      <w:b/>
      <w:bCs/>
      <w:sz w:val="28"/>
      <w:szCs w:val="28"/>
    </w:rPr>
  </w:style>
  <w:style w:type="paragraph" w:styleId="5">
    <w:name w:val="Normal Indent"/>
    <w:basedOn w:val="1"/>
    <w:next w:val="6"/>
    <w:qFormat/>
    <w:uiPriority w:val="0"/>
    <w:pPr>
      <w:spacing w:line="360" w:lineRule="auto"/>
      <w:ind w:firstLine="200" w:firstLineChars="200"/>
    </w:pPr>
    <w:rPr>
      <w:sz w:val="24"/>
      <w:szCs w:val="20"/>
    </w:rPr>
  </w:style>
  <w:style w:type="paragraph" w:styleId="6">
    <w:name w:val="toc 4"/>
    <w:basedOn w:val="1"/>
    <w:next w:val="1"/>
    <w:qFormat/>
    <w:uiPriority w:val="39"/>
    <w:pPr>
      <w:spacing w:line="440" w:lineRule="exact"/>
      <w:ind w:left="840"/>
      <w:jc w:val="left"/>
    </w:pPr>
    <w:rPr>
      <w:rFonts w:ascii="Calibri" w:hAnsi="Calibri"/>
      <w:sz w:val="18"/>
      <w:szCs w:val="18"/>
    </w:rPr>
  </w:style>
  <w:style w:type="paragraph" w:styleId="7">
    <w:name w:val="Body Text"/>
    <w:basedOn w:val="1"/>
    <w:next w:val="1"/>
    <w:qFormat/>
    <w:uiPriority w:val="99"/>
    <w:pPr>
      <w:spacing w:line="360" w:lineRule="auto"/>
    </w:pPr>
    <w:rPr>
      <w:rFonts w:ascii="Tahoma" w:hAnsi="Tahoma"/>
    </w:rPr>
  </w:style>
  <w:style w:type="paragraph" w:styleId="8">
    <w:name w:val="List 2"/>
    <w:basedOn w:val="1"/>
    <w:unhideWhenUsed/>
    <w:qFormat/>
    <w:uiPriority w:val="99"/>
    <w:pPr>
      <w:ind w:left="100" w:leftChars="200" w:hanging="200" w:hangingChars="200"/>
      <w:contextualSpacing/>
    </w:pPr>
  </w:style>
  <w:style w:type="paragraph" w:styleId="9">
    <w:name w:val="footer"/>
    <w:basedOn w:val="1"/>
    <w:qFormat/>
    <w:uiPriority w:val="0"/>
    <w:pPr>
      <w:tabs>
        <w:tab w:val="center" w:pos="4153"/>
        <w:tab w:val="right" w:pos="8306"/>
      </w:tabs>
      <w:adjustRightInd w:val="0"/>
      <w:spacing w:line="240" w:lineRule="atLeast"/>
      <w:jc w:val="left"/>
      <w:textAlignment w:val="baseline"/>
    </w:pPr>
    <w:rPr>
      <w:rFonts w:ascii="Tahoma" w:hAnsi="Tahoma"/>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2">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15">
    <w:name w:val="标题 1 Char1"/>
    <w:qFormat/>
    <w:uiPriority w:val="99"/>
    <w:rPr>
      <w:rFonts w:ascii="黑体" w:eastAsia="黑体"/>
      <w:sz w:val="52"/>
      <w:lang w:bidi="ar-SA"/>
    </w:rPr>
  </w:style>
  <w:style w:type="paragraph" w:customStyle="1" w:styleId="16">
    <w:name w:val="_Style 3"/>
    <w:basedOn w:val="3"/>
    <w:next w:val="1"/>
    <w:qFormat/>
    <w:uiPriority w:val="0"/>
    <w:pPr>
      <w:keepLines w:val="0"/>
      <w:widowControl/>
      <w:spacing w:after="0" w:line="256" w:lineRule="auto"/>
      <w:jc w:val="left"/>
    </w:pPr>
    <w:rPr>
      <w:rFonts w:ascii="Calibri Light" w:hAnsi="Calibri Light" w:eastAsia="宋体"/>
      <w:color w:val="2E74B5"/>
      <w:kern w:val="0"/>
      <w:sz w:val="32"/>
      <w:szCs w:val="32"/>
    </w:rPr>
  </w:style>
  <w:style w:type="paragraph" w:styleId="17">
    <w:name w:val="List Paragraph"/>
    <w:basedOn w:val="1"/>
    <w:qFormat/>
    <w:uiPriority w:val="34"/>
    <w:pPr>
      <w:ind w:firstLine="420" w:firstLineChars="200"/>
    </w:pPr>
    <w:rPr>
      <w:rFonts w:ascii="Calibri" w:hAnsi="Calibri" w:eastAsia="宋体"/>
      <w:szCs w:val="22"/>
    </w:rPr>
  </w:style>
  <w:style w:type="paragraph" w:customStyle="1" w:styleId="18">
    <w:name w:val="Heading 6"/>
    <w:basedOn w:val="1"/>
    <w:qFormat/>
    <w:uiPriority w:val="1"/>
    <w:pPr>
      <w:spacing w:before="47"/>
      <w:ind w:left="962"/>
      <w:outlineLvl w:val="6"/>
    </w:pPr>
    <w:rPr>
      <w:b/>
      <w:bCs/>
      <w:sz w:val="28"/>
      <w:szCs w:val="28"/>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2025-06-10T16:31:00Z</dcterms:created>
  <dc:creator>xiaof</dc:creator>
  <cp:lastModifiedBy>Administrator</cp:lastModifiedBy>
  <dcterms:modified xsi:type="dcterms:W3CDTF">2026-07-10T01:19:31Z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