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版本号：ZCSP-临渭区-2026-0018120260722001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临渭区2026年中央农业防灾减灾资金农作物病虫害防控项目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ZCSP-临渭区-2026-00181</w:t>
      </w:r>
      <w:r>
        <w:br/>
      </w:r>
      <w:r>
        <w:br/>
      </w:r>
      <w:r>
        <w:br/>
      </w:r>
    </w:p>
    <w:p>
      <w:pPr>
        <w:pStyle w:val="null3"/>
        <w:jc w:val="center"/>
        <w:outlineLvl w:val="2"/>
      </w:pPr>
      <w:r>
        <w:rPr>
          <w:rFonts w:ascii="仿宋_GB2312" w:hAnsi="仿宋_GB2312" w:cs="仿宋_GB2312" w:eastAsia="仿宋_GB2312"/>
          <w:sz w:val="28"/>
          <w:b/>
        </w:rPr>
        <w:t>渭南市临渭区农业技术推广中心</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渭南市临渭区农业技术推广中心</w:t>
      </w:r>
      <w:r>
        <w:rPr>
          <w:rFonts w:ascii="仿宋_GB2312" w:hAnsi="仿宋_GB2312" w:cs="仿宋_GB2312" w:eastAsia="仿宋_GB2312"/>
        </w:rPr>
        <w:t>委托，拟对</w:t>
      </w:r>
      <w:r>
        <w:rPr>
          <w:rFonts w:ascii="仿宋_GB2312" w:hAnsi="仿宋_GB2312" w:cs="仿宋_GB2312" w:eastAsia="仿宋_GB2312"/>
        </w:rPr>
        <w:t>临渭区2026年中央农业防灾减灾资金农作物病虫害防控项目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ZCSP-临渭区-2026-00181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临渭区2026年中央农业防灾减灾资金农作物病虫害防控项目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围绕我区早发、常发、重发区域或吨粮镇的玉米重大病虫害、农区蝗虫以及农作物重大病虫疫情，科学采取必要的全面防控、生物防治等方式夯实粮食安全基础，确保重发区域病虫情得到有效控制，新发突发重大农业植物疫情得到有效处置，不出现大面积绝收成灾，有力保障粮食安全和农业生产安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采购包1（临渭区2026年中央农业防灾减灾资金农作物病虫害防控项目）：属于专门面向中小企业采购。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委托书/身份证明：投标人应授权合法的人员参加投标全过程，其中法定代表人（或负责人）直接参加投标的，须出具法定代表人（或负责人）身份证明，并与营业执照上信息一致。法定代表人（或负责人）授权代表参加投标的，须出具法定代表人（或负责人）授权书及授权代表身份证明；</w:t>
      </w:r>
    </w:p>
    <w:p>
      <w:pPr>
        <w:pStyle w:val="null3"/>
      </w:pPr>
      <w:r>
        <w:rPr>
          <w:rFonts w:ascii="仿宋_GB2312" w:hAnsi="仿宋_GB2312" w:cs="仿宋_GB2312" w:eastAsia="仿宋_GB2312"/>
        </w:rPr>
        <w:t>2、信用信息：投标人未列入“信用中国”网站(www.creditchina.gov.cn)失信被执行人、重大税收违法失信主体、政府采购严重违法失信行为记录名单和“中国政府采购网”(www.ccgp.gov.cn)政府采购严重违法失信行为记录名单;</w:t>
      </w:r>
    </w:p>
    <w:p>
      <w:pPr>
        <w:pStyle w:val="null3"/>
      </w:pPr>
      <w:r>
        <w:rPr>
          <w:rFonts w:ascii="仿宋_GB2312" w:hAnsi="仿宋_GB2312" w:cs="仿宋_GB2312" w:eastAsia="仿宋_GB2312"/>
        </w:rPr>
        <w:t>3、控股关系：单位负责人为同一人或者存在直接控股、管理关系的不同投标人，不得参加同一合同项下的政府采购活动。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渭南市民生北街245号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渭南市临渭区农业技术推广中心经办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0913-2167055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陕西省渭南市临渭区乐天大街碧桂园翡翠公馆北门11栋商铺2层208号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邵宝舟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0913-2185335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采购包1：634,200.00元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857号）的有关规定标准，成交供应商向采购代理机构一次付清采购代理服务费。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渭南市临渭区农业技术推广中心</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渭南市临渭区农业技术推广中心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知识产权侵权引发的一切法律、赔偿责任均由供应商承担。</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本项目由采购人及相关部门定期对项目进行阶段性验收。按采购文件、响应文件及澄清函、项目检查情况等综合指标进行验收。各项指标均应符合验收标准及要求。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地址：陕西省渭南市临渭区乐天大街碧桂园翡翠公馆北门11栋商铺2层208号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围绕我区早发、常发、重发区域或吨粮镇的玉米重大病虫害、农区蝗虫以及农作物重大病虫疫情，科学采取必要的全面防控、生物防治等方式夯实粮食安全基础，确保重发区域病虫情得到有效控制，新发突发重大农业植物疫情得到有效处置，不出现大面积绝收成灾，有力保障粮食安全和农业生产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634,200.00</w:t>
      </w:r>
    </w:p>
    <w:p>
      <w:pPr>
        <w:pStyle w:val="null3"/>
      </w:pPr>
      <w:r>
        <w:rPr>
          <w:rFonts w:ascii="仿宋_GB2312" w:hAnsi="仿宋_GB2312" w:cs="仿宋_GB2312" w:eastAsia="仿宋_GB2312"/>
        </w:rPr>
        <w:t>采购包最高限价（元）: 634,200.00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临渭区2026年中央农业防灾减灾资金农作物病虫害防控项目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634,200.00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标的名称：临渭区2026年中央农业防灾减灾资金农作物病虫害防控项目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left"/>
            </w:pPr>
            <w:r>
              <w:rPr>
                <w:rFonts w:ascii="仿宋_GB2312" w:hAnsi="仿宋_GB2312" w:cs="仿宋_GB2312" w:eastAsia="仿宋_GB2312"/>
                <w:sz w:val="21"/>
              </w:rPr>
              <w:t>1.目标任务</w:t>
            </w:r>
          </w:p>
          <w:p>
            <w:pPr>
              <w:pStyle w:val="null3"/>
              <w:ind w:firstLine="600"/>
              <w:jc w:val="both"/>
            </w:pPr>
            <w:r>
              <w:rPr>
                <w:rFonts w:ascii="仿宋_GB2312" w:hAnsi="仿宋_GB2312" w:cs="仿宋_GB2312" w:eastAsia="仿宋_GB2312"/>
                <w:sz w:val="21"/>
              </w:rPr>
              <w:t>开展粮食作物重大病虫害监测防控和蝗虫防控工作，提升防控效能。粮食作物病虫危害损失率控制在5%以内，病虫害防控处置率达到90%以上。加快推广绿色防控，农药减量持续推进，确保不因监测预警不及时错失最佳时期，确保不因防控措施不到位造成大面积成灾危害。</w:t>
            </w:r>
          </w:p>
          <w:p>
            <w:pPr>
              <w:pStyle w:val="null3"/>
              <w:ind w:firstLine="600"/>
              <w:jc w:val="both"/>
            </w:pPr>
            <w:r>
              <w:rPr>
                <w:rFonts w:ascii="仿宋_GB2312" w:hAnsi="仿宋_GB2312" w:cs="仿宋_GB2312" w:eastAsia="仿宋_GB2312"/>
                <w:sz w:val="21"/>
              </w:rPr>
              <w:t>2.实施内容</w:t>
            </w:r>
          </w:p>
          <w:p>
            <w:pPr>
              <w:pStyle w:val="null3"/>
              <w:ind w:firstLine="600"/>
              <w:jc w:val="left"/>
            </w:pPr>
            <w:r>
              <w:rPr>
                <w:rFonts w:ascii="仿宋_GB2312" w:hAnsi="仿宋_GB2312" w:cs="仿宋_GB2312" w:eastAsia="仿宋_GB2312"/>
                <w:sz w:val="21"/>
              </w:rPr>
              <w:t>粮食作物重大病虫防控。在玉米生长关键节点，在粮食主产区开展玉米螟、黏虫、草地贪夜蛾、玉米大斑病等流行性、迁飞性、暴发性重大病虫害的统防统治工作。建立核心示范区3.066万亩（实际防治亩数以最终防治亩数为准），辐射带动群防群治5.5万亩。</w:t>
            </w:r>
          </w:p>
          <w:p>
            <w:pPr>
              <w:pStyle w:val="null3"/>
              <w:ind w:firstLine="600"/>
              <w:jc w:val="left"/>
            </w:pPr>
            <w:r>
              <w:rPr>
                <w:rFonts w:ascii="仿宋_GB2312" w:hAnsi="仿宋_GB2312" w:cs="仿宋_GB2312" w:eastAsia="仿宋_GB2312"/>
                <w:sz w:val="21"/>
              </w:rPr>
              <w:t>蝗虫防控。重点对向阳办、双王办、孝义镇等农田周边、荒地、河流沿岸等蝗虫易滋生区域开展防控，实现蝗虫的科学、绿色防控，最大限度降低灾害损失，建立核心示范区0.1万亩（实际防治亩数以最终防治亩数为准），辐射带动群防群治0.3万亩。</w:t>
            </w:r>
          </w:p>
          <w:p>
            <w:pPr>
              <w:pStyle w:val="null3"/>
              <w:ind w:firstLine="600"/>
              <w:jc w:val="both"/>
            </w:pPr>
            <w:r>
              <w:rPr>
                <w:rFonts w:ascii="仿宋_GB2312" w:hAnsi="仿宋_GB2312" w:cs="仿宋_GB2312" w:eastAsia="仿宋_GB2312"/>
                <w:sz w:val="21"/>
              </w:rPr>
              <w:t>3.使用药剂要求</w:t>
            </w:r>
          </w:p>
          <w:p>
            <w:pPr>
              <w:pStyle w:val="null3"/>
              <w:ind w:firstLine="600"/>
              <w:jc w:val="both"/>
            </w:pPr>
            <w:r>
              <w:rPr>
                <w:rFonts w:ascii="仿宋_GB2312" w:hAnsi="仿宋_GB2312" w:cs="仿宋_GB2312" w:eastAsia="仿宋_GB2312"/>
                <w:sz w:val="21"/>
              </w:rPr>
              <w:t>粮食作物重大病虫防控：</w:t>
            </w:r>
          </w:p>
          <w:tbl>
            <w:tblPr>
              <w:tblBorders>
                <w:top w:val="none" w:color="000000" w:sz="4"/>
                <w:left w:val="none" w:color="000000" w:sz="4"/>
                <w:bottom w:val="none" w:color="000000" w:sz="4"/>
                <w:right w:val="none" w:color="000000" w:sz="4"/>
                <w:insideH w:val="none"/>
                <w:insideV w:val="none"/>
              </w:tblBorders>
            </w:tblPr>
            <w:tblGrid>
              <w:gridCol w:w="364"/>
              <w:gridCol w:w="523"/>
              <w:gridCol w:w="1190"/>
              <w:gridCol w:w="1742"/>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b/>
                    </w:rPr>
                    <w:t>序号</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b/>
                    </w:rPr>
                    <w:t>药剂</w:t>
                  </w:r>
                </w:p>
                <w:p>
                  <w:pPr>
                    <w:pStyle w:val="null3"/>
                    <w:spacing w:after="120"/>
                    <w:jc w:val="center"/>
                  </w:pPr>
                  <w:r>
                    <w:rPr>
                      <w:rFonts w:ascii="仿宋_GB2312" w:hAnsi="仿宋_GB2312" w:cs="仿宋_GB2312" w:eastAsia="仿宋_GB2312"/>
                      <w:sz w:val="21"/>
                      <w:b/>
                    </w:rPr>
                    <w:t>名称</w:t>
                  </w:r>
                </w:p>
              </w:tc>
              <w:tc>
                <w:tcPr>
                  <w:tcW w:type="dxa" w:w="1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b/>
                    </w:rPr>
                    <w:t>数量</w:t>
                  </w:r>
                </w:p>
              </w:tc>
              <w:tc>
                <w:tcPr>
                  <w:tcW w:type="dxa" w:w="1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b/>
                    </w:rPr>
                    <w:t>技术指标、参数</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杀虫剂</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按农业部登记药剂的推荐剂量</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防治玉米螟、黏虫、草地贪夜蛾、棉铃虫、蚜虫等害虫的混配或复配的杀虫剂。</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杀菌剂</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按农业部登记药剂的推荐剂量</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防治大斑病、褐斑病、茎腐病、南方锈病等病害的混配或复配的杀菌剂。</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叶面肥</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按农业部登记的推荐剂量。</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在作物上应用的水溶性肥料。</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植物生长调节剂</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按农业部登记的推荐剂量。</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调节植物生长、改善农产品品质，提高产量。</w:t>
                  </w:r>
                </w:p>
              </w:tc>
            </w:tr>
          </w:tbl>
          <w:p>
            <w:pPr>
              <w:pStyle w:val="null3"/>
              <w:ind w:firstLine="640"/>
              <w:jc w:val="both"/>
            </w:pPr>
            <w:r>
              <w:rPr>
                <w:rFonts w:ascii="仿宋_GB2312" w:hAnsi="仿宋_GB2312" w:cs="仿宋_GB2312" w:eastAsia="仿宋_GB2312"/>
                <w:sz w:val="21"/>
              </w:rPr>
              <w:t>蝗虫防控：</w:t>
            </w:r>
          </w:p>
          <w:tbl>
            <w:tblPr>
              <w:tblBorders>
                <w:top w:val="none" w:color="000000" w:sz="4"/>
                <w:left w:val="none" w:color="000000" w:sz="4"/>
                <w:bottom w:val="none" w:color="000000" w:sz="4"/>
                <w:right w:val="none" w:color="000000" w:sz="4"/>
                <w:insideH w:val="none"/>
                <w:insideV w:val="none"/>
              </w:tblBorders>
            </w:tblPr>
            <w:tblGrid>
              <w:gridCol w:w="364"/>
              <w:gridCol w:w="523"/>
              <w:gridCol w:w="1190"/>
              <w:gridCol w:w="1742"/>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b/>
                    </w:rPr>
                    <w:t>序号</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b/>
                    </w:rPr>
                    <w:t>药剂</w:t>
                  </w:r>
                </w:p>
                <w:p>
                  <w:pPr>
                    <w:pStyle w:val="null3"/>
                    <w:spacing w:after="120"/>
                    <w:jc w:val="center"/>
                  </w:pPr>
                  <w:r>
                    <w:rPr>
                      <w:rFonts w:ascii="仿宋_GB2312" w:hAnsi="仿宋_GB2312" w:cs="仿宋_GB2312" w:eastAsia="仿宋_GB2312"/>
                      <w:sz w:val="21"/>
                      <w:b/>
                    </w:rPr>
                    <w:t>名称</w:t>
                  </w:r>
                </w:p>
              </w:tc>
              <w:tc>
                <w:tcPr>
                  <w:tcW w:type="dxa" w:w="1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b/>
                    </w:rPr>
                    <w:t>数量</w:t>
                  </w:r>
                </w:p>
              </w:tc>
              <w:tc>
                <w:tcPr>
                  <w:tcW w:type="dxa" w:w="1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b/>
                    </w:rPr>
                    <w:t>技术指标、参数</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生物杀虫剂</w:t>
                  </w:r>
                </w:p>
              </w:tc>
              <w:tc>
                <w:tcPr>
                  <w:tcW w:type="dxa" w:w="1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按农业部登记药剂的推荐剂量</w:t>
                  </w:r>
                </w:p>
              </w:tc>
              <w:tc>
                <w:tcPr>
                  <w:tcW w:type="dxa" w:w="1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有效控制草地、农田蝗虫</w:t>
                  </w:r>
                </w:p>
              </w:tc>
            </w:tr>
          </w:tbl>
          <w:p>
            <w:pPr>
              <w:pStyle w:val="null3"/>
              <w:ind w:firstLine="600"/>
              <w:jc w:val="both"/>
            </w:pPr>
            <w:r>
              <w:rPr>
                <w:rFonts w:ascii="仿宋_GB2312" w:hAnsi="仿宋_GB2312" w:cs="仿宋_GB2312" w:eastAsia="仿宋_GB2312"/>
                <w:sz w:val="21"/>
              </w:rPr>
              <w:t>4.服务要求</w:t>
            </w:r>
          </w:p>
          <w:p>
            <w:pPr>
              <w:pStyle w:val="null3"/>
              <w:ind w:firstLine="600"/>
              <w:jc w:val="both"/>
            </w:pPr>
            <w:r>
              <w:rPr>
                <w:rFonts w:ascii="仿宋_GB2312" w:hAnsi="仿宋_GB2312" w:cs="仿宋_GB2312" w:eastAsia="仿宋_GB2312"/>
                <w:sz w:val="21"/>
              </w:rPr>
              <w:t>（1）粮食作物重大病虫防控以无人机为主的植保器械，蝗虫防控以风送式远程喷雾机为主的植保器械，作业能力强，制度健全，管理规范；</w:t>
            </w:r>
          </w:p>
          <w:p>
            <w:pPr>
              <w:pStyle w:val="null3"/>
              <w:ind w:firstLine="600"/>
              <w:jc w:val="both"/>
            </w:pPr>
            <w:r>
              <w:rPr>
                <w:rFonts w:ascii="仿宋_GB2312" w:hAnsi="仿宋_GB2312" w:cs="仿宋_GB2312" w:eastAsia="仿宋_GB2312"/>
                <w:sz w:val="21"/>
              </w:rPr>
              <w:t>（2）针对玉米中后期病虫和蝗虫发生特点，科学制定技术方案和工作方案；</w:t>
            </w:r>
          </w:p>
          <w:p>
            <w:pPr>
              <w:pStyle w:val="null3"/>
              <w:ind w:firstLine="600"/>
              <w:jc w:val="both"/>
            </w:pPr>
            <w:r>
              <w:rPr>
                <w:rFonts w:ascii="仿宋_GB2312" w:hAnsi="仿宋_GB2312" w:cs="仿宋_GB2312" w:eastAsia="仿宋_GB2312"/>
                <w:sz w:val="21"/>
              </w:rPr>
              <w:t>（3）主要防治对象：主要以防治玉米螟、黏虫、草地贪夜蛾、玉米大斑病等流行性、迁飞性、暴发性重大病虫害和蝗虫为主；</w:t>
            </w:r>
          </w:p>
          <w:p>
            <w:pPr>
              <w:pStyle w:val="null3"/>
              <w:ind w:firstLine="600"/>
              <w:jc w:val="both"/>
            </w:pPr>
            <w:r>
              <w:rPr>
                <w:rFonts w:ascii="仿宋_GB2312" w:hAnsi="仿宋_GB2312" w:cs="仿宋_GB2312" w:eastAsia="仿宋_GB2312"/>
                <w:sz w:val="21"/>
              </w:rPr>
              <w:t>（4）选择的药剂要符合国家标准，三证齐全，高效低毒、安全环保。</w:t>
            </w:r>
          </w:p>
          <w:p>
            <w:pPr>
              <w:pStyle w:val="null3"/>
              <w:ind w:firstLine="600"/>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根据项目需求配备相应人员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根据项目需求配备相应设备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成交后，供应商派驻一名项目经理和一名技术负责人，对作业过程中的作业进度、服务质量、作业人员管理进行总协调，确保技术措施的落实，按时参加采购人组织的相关会议和活动，服从采购人的工作制度和工作规范。 2.成交后，供应商向采购人提供项目作业计划和安全责任协议等，其内容包括管理机构的设置、各主要岗位的技术和管理员名单、资质、联系方式及各工种技术工人的安排、项目实施进度安排、技术措施等状况。 3.严格按照项目要求进行作业，作业前按项目要求筹备各项防治器械、材料、工具等，按技术规定进行作业。 4.协助采购人及时组织召开检查验收、防治效果评价和防治竣工验收工作会议。 5.成交供应商向采购人提交施工作业过程性资料和工作总结报告，按相关要求执行。 6.有各类突发事件的应急预案和措施，有明确具体的承诺。 7.供应商在服务过程中必须达到下述标准、规范（不限于）： 《农作物病虫害防治条例》（中华人民共和国国务院令(第725号)） 《农作物病虫害监测与预报管理办法》 《关于用好中央农业防灾减灾资金做好农作物病虫害防控工作的通知》（渭农发〔2026〕63号）。</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1.存在未防、漏防、防治效果未达到项目要求的，立即进行补防，如因未防、漏防未达到要求的或造成损失的，由供应商承担相应的法律责任。 2.本项目由采购人及相关部门定期对项目进行阶段性验收。 3.按采购文件、响应文件及澄清函、项目检查情况等综合指标进行验收。各项指标均应符合验收标准及要求。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进度款，服务结束后经采购人邀请相关部门验收合格后，达到付款条件起10个工作日内，支付合同总金额的100.0%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若双方发生争议，可协商或由有关部门调解解决，协商或调解不成的，由当事人依法向采购人所在地人民法院提起诉讼，维护其合法权益。</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1.粮食作物重大病虫防控，单价限价：20.00元/亩；蝗虫防控，单价限价：21.00元/亩。 2.合同结算方式为据实结算，合同最终结算价款=成交单价*最终实际服务亩数。 3.在服务范围内按工作内容和要求制定详细的方案，方案科学、合理、可靠。 4.人员配备合理。有针对本项目的专项服务小组，项目负责人、工作人员分工明确（应有具体成员名单，包括姓名、工作职责等） 5.供应商所拟派的工作人员，若在服务期间发生任何伤害，采购人概不负责，由供应商自行处理。6.中标供应商在中标结果公告发布后3个工作日内提供叁套纸质投标文件（经编标工具生成的文件直接打印并加盖公章），递交的纸质版文件内容确保与线上电子文件保持一致，不允许修改和补充。 7.投标人应根据《政府采购促进中小企业发展管理办法》、《关于印发中小企业划型标准规定的通知》(工信部联企业〔2011〕300号)要求和采购文件中明确的采购标的所属行业进行企业划型。 8.出具投标保证金交纳凭证或担保机构出具的保函（未按招标文件要求提供响应无效）。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投标人具备独立承担民事责任能力的法人、其他组织或自然人，提供合法有效的统一社会信用代码的营业执照副本（自然人提供身份证复印件）；1.2提供具有财务审计资质单位出具2025年度的财务报告或投标文件提交截止时间前六个月内其基本账户银行出具的资信证明；1.3提供投标文件提交截止时间前一年内任意一个月的依法缴纳税收的相关证明，依法免税需提供相关证明材料；1.4提供投标文件提交截止时间前一年内任意一个月的社会保障资金缴存证明或社保机构开具的社会保险参保缴费情况证明；1.5提供投标人参加政府采购活动前三年内经营活动中没有重大违法纪录的书面声明；1.6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法定代表人(负责人)授权委托书/身份证明</w:t>
            </w:r>
          </w:p>
        </w:tc>
        <w:tc>
          <w:tcPr>
            <w:tcW w:type="dxa" w:w="3322"/>
          </w:tcPr>
          <w:p>
            <w:pPr>
              <w:pStyle w:val="null3"/>
            </w:pPr>
            <w:r>
              <w:rPr>
                <w:rFonts w:ascii="仿宋_GB2312" w:hAnsi="仿宋_GB2312" w:cs="仿宋_GB2312" w:eastAsia="仿宋_GB2312"/>
              </w:rPr>
              <w:t>投标人应授权合法的人员参加投标全过程，其中法定代表人（或负责人）直接参加投标的，须出具法定代表人（或负责人）身份证明，并与营业执照上信息一致。法定代表人（或负责人）授权代表参加投标的，须出具法定代表人（或负责人）授权书及授权代表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投标人未列入“信用中国”网站(www.creditchina.gov.cn)失信被执行人、重大税收违法失信主体、政府采购严重违法失信行为记录名单和“中国政府采购网”(www.ccgp.gov.cn)政府采购严重违法失信行为记录名单;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投标文件签字和盖章满足招标文件的要求。</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标的清单 投标文件封面 服务内容及服务要求应答表.docx 商务应答表.docx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投标函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投标文件中对合同草案条款未附加采购人难以接受的条件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达到国家现行行业验收规范“合格”标准及第三章“招标项目技术、服务、商务及其他要求”。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投标人提供的货物(服务)无实质性遗漏。</w:t>
            </w:r>
          </w:p>
        </w:tc>
        <w:tc>
          <w:tcPr>
            <w:tcW w:type="dxa" w:w="1661"/>
          </w:tcPr>
          <w:p>
            <w:pPr>
              <w:pStyle w:val="null3"/>
            </w:pPr>
            <w:r>
              <w:rPr>
                <w:rFonts w:ascii="仿宋_GB2312" w:hAnsi="仿宋_GB2312" w:cs="仿宋_GB2312" w:eastAsia="仿宋_GB2312"/>
              </w:rPr>
              <w:t>商务应答表.docx 服务内容及服务要求应答表.docx 服务方案.docx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一、评审内容：①项目整体认知与防控思路；②玉米重大病虫害专项防控方案；③蝗虫专项防控方案；④作业面的划分；⑤药剂使用与技术合规保障；⑥进度计划安排及保障措施； ⑦整体管理措施；⑧针对重点部位、重点区域的作业计划；⑨应急保障措施；⑩灾情防控预案;⑪安全作业措施。 二、评审标准：以上11项，以序号①、②、③、④、⑤、⑥、⑦、⑧、⑩、⑪为项数，内容无缺项且无缺陷的得33分，其中每有一项内容存在缺项扣3分，每项内容中每有一处存在缺陷的扣0.5分，扣完为止，未提供不得分。 三、赋分说明：“缺陷”是指套用其他项目方案内容；未能体现出本项目的特点或与本项目实际需求不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一、评审内容：①服务作业中严格按照国家及行业标准进行作业；②配合采购人进行汇报、验收、必要的外勤配合等工作； ③及时响应本服务中采购人所需的远程指导及协助需求等。 二、评审标准：以上3项，以序号①、②、③为项数，内容无缺项且无缺陷的得6分，其中每有一项内容存在缺项扣2分，每项内容中每有一处存在缺陷的扣0.5分，扣完为止，未提供不得分。 三、赋分说明：“缺陷”是指套用其他项目方案内容；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药剂</w:t>
            </w:r>
          </w:p>
        </w:tc>
        <w:tc>
          <w:tcPr>
            <w:tcW w:type="dxa" w:w="2492"/>
          </w:tcPr>
          <w:p>
            <w:pPr>
              <w:pStyle w:val="null3"/>
            </w:pPr>
            <w:r>
              <w:rPr>
                <w:rFonts w:ascii="仿宋_GB2312" w:hAnsi="仿宋_GB2312" w:cs="仿宋_GB2312" w:eastAsia="仿宋_GB2312"/>
              </w:rPr>
              <w:t>一、评审内容： 防控药剂必须是适宜本项目要求作业标准的药剂；所选药剂符合国际、国家的标准和有关规定。 二、评审标准：药剂满足要求并提供证明材料得3分，不提供不得分。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设备物资保障</w:t>
            </w:r>
          </w:p>
        </w:tc>
        <w:tc>
          <w:tcPr>
            <w:tcW w:type="dxa" w:w="2492"/>
          </w:tcPr>
          <w:p>
            <w:pPr>
              <w:pStyle w:val="null3"/>
            </w:pPr>
            <w:r>
              <w:rPr>
                <w:rFonts w:ascii="仿宋_GB2312" w:hAnsi="仿宋_GB2312" w:cs="仿宋_GB2312" w:eastAsia="仿宋_GB2312"/>
              </w:rPr>
              <w:t>根据本项目内容提供相应的作业设备，①无人机、②喷雾机、③病虫害监测设备、④消杀设备、⑤运输设备等全套作业设备，提供证明材料（不限于检测报告、设备配置图、官网功能截图、彩页、说明书等相关资料）每提供一台设备满足本项目所需并提供证明材料，得2分，满分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①依据本项目服务内容及相关要求，提供项目人员配备清单、人员岗位职责分工；均完整提供得5分，缺少任意一项则本项不得分。 ②团队人员中具备农业病虫害防控相关工作经验的（近三年），提供相关证明材料，得2分，不提供不得分。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投标人可实现2小时内应急响应、快速处置突发病虫疫情及蝗虫灾害，得6分； 投标人可实现4小时内应急响应、快速处置突发病虫疫情及蝗虫灾害，得3分；需提供相关证明材料或承诺。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起农作物病虫害防控、蝗虫治理、粮食作物统防统治服务项目类似业绩，每提供1个有效业绩得3分，最高得15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