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6E7F8">
      <w:pPr>
        <w:pStyle w:val="2"/>
        <w:pageBreakBefore w:val="0"/>
        <w:kinsoku/>
        <w:wordWrap/>
        <w:overflowPunct/>
        <w:bidi w:val="0"/>
        <w:ind w:left="0" w:leftChars="0" w:firstLine="0" w:firstLineChars="0"/>
        <w:jc w:val="center"/>
        <w:outlineLvl w:val="9"/>
        <w:rPr>
          <w:rFonts w:hint="eastAsia"/>
          <w:b/>
          <w:bCs/>
          <w:color w:val="auto"/>
          <w:sz w:val="44"/>
          <w:szCs w:val="52"/>
          <w:lang w:eastAsia="zh-CN"/>
        </w:rPr>
      </w:pPr>
    </w:p>
    <w:p w14:paraId="7B5CF3AE">
      <w:pPr>
        <w:pStyle w:val="2"/>
        <w:pageBreakBefore w:val="0"/>
        <w:kinsoku/>
        <w:wordWrap/>
        <w:overflowPunct/>
        <w:bidi w:val="0"/>
        <w:jc w:val="center"/>
        <w:outlineLvl w:val="9"/>
        <w:rPr>
          <w:rFonts w:hint="eastAsia" w:ascii="宋体" w:hAnsi="宋体" w:eastAsia="宋体" w:cs="宋体"/>
          <w:color w:val="auto"/>
        </w:rPr>
      </w:pPr>
      <w:r>
        <w:rPr>
          <w:rFonts w:hint="eastAsia"/>
          <w:b/>
          <w:bCs/>
          <w:color w:val="auto"/>
          <w:sz w:val="44"/>
          <w:szCs w:val="52"/>
          <w:lang w:eastAsia="zh-CN"/>
        </w:rPr>
        <w:t>(项目名称)</w:t>
      </w:r>
    </w:p>
    <w:p w14:paraId="5C600ECC">
      <w:pPr>
        <w:pStyle w:val="2"/>
        <w:pageBreakBefore w:val="0"/>
        <w:kinsoku/>
        <w:wordWrap/>
        <w:overflowPunct/>
        <w:bidi w:val="0"/>
        <w:jc w:val="center"/>
        <w:outlineLvl w:val="9"/>
        <w:rPr>
          <w:rFonts w:hint="eastAsia" w:ascii="宋体" w:hAnsi="宋体" w:eastAsia="宋体" w:cs="宋体"/>
          <w:color w:val="auto"/>
        </w:rPr>
      </w:pPr>
    </w:p>
    <w:p w14:paraId="64D0DE5D">
      <w:pPr>
        <w:pageBreakBefore w:val="0"/>
        <w:kinsoku/>
        <w:wordWrap/>
        <w:overflowPunct/>
        <w:bidi w:val="0"/>
        <w:spacing w:line="360" w:lineRule="auto"/>
        <w:jc w:val="center"/>
        <w:outlineLvl w:val="9"/>
        <w:rPr>
          <w:rFonts w:hint="eastAsia" w:ascii="宋体" w:hAnsi="宋体" w:eastAsia="宋体" w:cs="宋体"/>
          <w:b/>
          <w:bCs/>
          <w:color w:val="auto"/>
          <w:spacing w:val="12"/>
          <w:sz w:val="44"/>
          <w:szCs w:val="44"/>
        </w:rPr>
      </w:pPr>
      <w:r>
        <w:rPr>
          <w:rFonts w:hint="eastAsia" w:ascii="宋体" w:hAnsi="宋体" w:eastAsia="宋体" w:cs="宋体"/>
          <w:b/>
          <w:bCs/>
          <w:color w:val="auto"/>
          <w:spacing w:val="12"/>
          <w:sz w:val="44"/>
          <w:szCs w:val="44"/>
        </w:rPr>
        <w:t>政府采购合同书</w:t>
      </w:r>
    </w:p>
    <w:p w14:paraId="5849F7AD">
      <w:pPr>
        <w:pageBreakBefore w:val="0"/>
        <w:kinsoku/>
        <w:wordWrap/>
        <w:overflowPunct/>
        <w:bidi w:val="0"/>
        <w:spacing w:line="360" w:lineRule="auto"/>
        <w:jc w:val="center"/>
        <w:outlineLvl w:val="9"/>
        <w:rPr>
          <w:rFonts w:hint="eastAsia" w:ascii="宋体" w:hAnsi="宋体" w:eastAsia="宋体" w:cs="宋体"/>
          <w:color w:val="auto"/>
          <w:spacing w:val="12"/>
          <w:sz w:val="32"/>
          <w:szCs w:val="32"/>
        </w:rPr>
      </w:pPr>
      <w:r>
        <w:rPr>
          <w:rFonts w:hint="eastAsia" w:ascii="宋体" w:hAnsi="宋体" w:eastAsia="宋体" w:cs="宋体"/>
          <w:color w:val="auto"/>
          <w:spacing w:val="12"/>
          <w:sz w:val="32"/>
          <w:szCs w:val="32"/>
        </w:rPr>
        <w:t xml:space="preserve">                   </w:t>
      </w:r>
    </w:p>
    <w:p w14:paraId="2D323935">
      <w:pPr>
        <w:pStyle w:val="2"/>
        <w:pageBreakBefore w:val="0"/>
        <w:kinsoku/>
        <w:wordWrap/>
        <w:overflowPunct/>
        <w:bidi w:val="0"/>
        <w:outlineLvl w:val="9"/>
        <w:rPr>
          <w:rFonts w:hint="eastAsia" w:ascii="宋体" w:hAnsi="宋体" w:eastAsia="宋体" w:cs="宋体"/>
          <w:color w:val="auto"/>
          <w:spacing w:val="12"/>
        </w:rPr>
      </w:pPr>
    </w:p>
    <w:p w14:paraId="06F5B0AD">
      <w:pPr>
        <w:pStyle w:val="2"/>
        <w:pageBreakBefore w:val="0"/>
        <w:kinsoku/>
        <w:wordWrap/>
        <w:overflowPunct/>
        <w:bidi w:val="0"/>
        <w:outlineLvl w:val="9"/>
        <w:rPr>
          <w:rFonts w:hint="eastAsia" w:ascii="宋体" w:hAnsi="宋体" w:eastAsia="宋体" w:cs="宋体"/>
          <w:color w:val="auto"/>
          <w:spacing w:val="12"/>
        </w:rPr>
      </w:pPr>
    </w:p>
    <w:p w14:paraId="4F440AF6">
      <w:pPr>
        <w:pStyle w:val="4"/>
        <w:pageBreakBefore w:val="0"/>
        <w:kinsoku/>
        <w:wordWrap/>
        <w:overflowPunct/>
        <w:bidi w:val="0"/>
        <w:ind w:firstLine="0"/>
        <w:outlineLvl w:val="9"/>
        <w:rPr>
          <w:rFonts w:hint="eastAsia" w:ascii="宋体" w:hAnsi="宋体" w:eastAsia="宋体" w:cs="宋体"/>
          <w:color w:val="auto"/>
          <w:spacing w:val="12"/>
          <w:sz w:val="32"/>
          <w:szCs w:val="32"/>
        </w:rPr>
      </w:pPr>
    </w:p>
    <w:p w14:paraId="4D2B39CB">
      <w:pPr>
        <w:pageBreakBefore w:val="0"/>
        <w:kinsoku/>
        <w:wordWrap/>
        <w:overflowPunct/>
        <w:bidi w:val="0"/>
        <w:outlineLvl w:val="9"/>
        <w:rPr>
          <w:rFonts w:hint="eastAsia" w:ascii="宋体" w:hAnsi="宋体" w:eastAsia="宋体" w:cs="宋体"/>
          <w:color w:val="auto"/>
        </w:rPr>
      </w:pPr>
    </w:p>
    <w:p w14:paraId="521E49A4">
      <w:pPr>
        <w:pStyle w:val="2"/>
        <w:pageBreakBefore w:val="0"/>
        <w:kinsoku/>
        <w:wordWrap/>
        <w:overflowPunct/>
        <w:bidi w:val="0"/>
        <w:ind w:left="0" w:leftChars="0" w:firstLine="0" w:firstLineChars="0"/>
        <w:outlineLvl w:val="9"/>
        <w:rPr>
          <w:rFonts w:hint="eastAsia" w:ascii="宋体" w:hAnsi="宋体" w:eastAsia="宋体" w:cs="宋体"/>
          <w:color w:val="auto"/>
        </w:rPr>
      </w:pPr>
    </w:p>
    <w:p w14:paraId="5F948B5F">
      <w:pPr>
        <w:pStyle w:val="2"/>
        <w:pageBreakBefore w:val="0"/>
        <w:kinsoku/>
        <w:wordWrap/>
        <w:overflowPunct/>
        <w:bidi w:val="0"/>
        <w:ind w:left="0" w:leftChars="0" w:firstLine="0" w:firstLineChars="0"/>
        <w:outlineLvl w:val="9"/>
        <w:rPr>
          <w:rFonts w:hint="eastAsia" w:ascii="宋体" w:hAnsi="宋体" w:eastAsia="宋体" w:cs="宋体"/>
          <w:color w:val="auto"/>
        </w:rPr>
      </w:pPr>
    </w:p>
    <w:p w14:paraId="5581BE97">
      <w:pPr>
        <w:pageBreakBefore w:val="0"/>
        <w:kinsoku/>
        <w:wordWrap/>
        <w:overflowPunct/>
        <w:bidi w:val="0"/>
        <w:outlineLvl w:val="9"/>
        <w:rPr>
          <w:rFonts w:hint="eastAsia" w:ascii="宋体" w:hAnsi="宋体" w:eastAsia="宋体" w:cs="宋体"/>
          <w:color w:val="auto"/>
        </w:rPr>
      </w:pPr>
    </w:p>
    <w:p w14:paraId="2AA0570F">
      <w:pPr>
        <w:pageBreakBefore w:val="0"/>
        <w:kinsoku/>
        <w:wordWrap/>
        <w:overflowPunct/>
        <w:bidi w:val="0"/>
        <w:spacing w:line="360" w:lineRule="auto"/>
        <w:ind w:firstLine="2114" w:firstLineChars="693"/>
        <w:jc w:val="left"/>
        <w:outlineLvl w:val="9"/>
        <w:rPr>
          <w:rFonts w:hint="default" w:ascii="宋体" w:hAnsi="宋体" w:eastAsia="宋体" w:cs="宋体"/>
          <w:b/>
          <w:bCs/>
          <w:color w:val="auto"/>
          <w:spacing w:val="12"/>
          <w:sz w:val="28"/>
          <w:szCs w:val="28"/>
          <w:lang w:val="en-US" w:eastAsia="zh-CN"/>
        </w:rPr>
      </w:pPr>
      <w:r>
        <w:rPr>
          <w:rFonts w:hint="eastAsia" w:ascii="宋体" w:hAnsi="宋体" w:eastAsia="宋体" w:cs="宋体"/>
          <w:b/>
          <w:bCs/>
          <w:color w:val="auto"/>
          <w:spacing w:val="12"/>
          <w:sz w:val="28"/>
          <w:szCs w:val="28"/>
        </w:rPr>
        <w:t>采购人：</w:t>
      </w:r>
      <w:r>
        <w:rPr>
          <w:rFonts w:hint="eastAsia" w:ascii="宋体" w:hAnsi="宋体" w:cs="宋体"/>
          <w:b/>
          <w:bCs/>
          <w:color w:val="auto"/>
          <w:spacing w:val="12"/>
          <w:sz w:val="28"/>
          <w:szCs w:val="28"/>
          <w:lang w:eastAsia="zh-CN"/>
        </w:rPr>
        <w:t>(项目名称)</w:t>
      </w:r>
    </w:p>
    <w:p w14:paraId="78102D99">
      <w:pPr>
        <w:pageBreakBefore w:val="0"/>
        <w:kinsoku/>
        <w:wordWrap/>
        <w:overflowPunct/>
        <w:bidi w:val="0"/>
        <w:spacing w:line="360" w:lineRule="auto"/>
        <w:ind w:firstLine="2114" w:firstLineChars="693"/>
        <w:outlineLvl w:val="9"/>
        <w:rPr>
          <w:rFonts w:hint="eastAsia" w:ascii="宋体" w:hAnsi="宋体" w:eastAsia="宋体" w:cs="宋体"/>
          <w:b/>
          <w:bCs/>
          <w:color w:val="auto"/>
          <w:spacing w:val="12"/>
          <w:sz w:val="28"/>
          <w:szCs w:val="28"/>
        </w:rPr>
      </w:pPr>
      <w:r>
        <w:rPr>
          <w:rFonts w:hint="eastAsia" w:ascii="宋体" w:hAnsi="宋体" w:eastAsia="宋体" w:cs="宋体"/>
          <w:b/>
          <w:bCs/>
          <w:color w:val="auto"/>
          <w:spacing w:val="12"/>
          <w:sz w:val="28"/>
          <w:szCs w:val="28"/>
        </w:rPr>
        <w:t>供应商：</w:t>
      </w:r>
    </w:p>
    <w:p w14:paraId="54F1C178">
      <w:pPr>
        <w:pageBreakBefore w:val="0"/>
        <w:kinsoku/>
        <w:wordWrap/>
        <w:overflowPunct/>
        <w:bidi w:val="0"/>
        <w:spacing w:line="360" w:lineRule="auto"/>
        <w:outlineLvl w:val="9"/>
        <w:rPr>
          <w:rFonts w:hint="eastAsia"/>
          <w:color w:val="auto"/>
          <w:sz w:val="24"/>
        </w:rPr>
      </w:pPr>
      <w:r>
        <w:rPr>
          <w:rFonts w:hint="eastAsia"/>
          <w:color w:val="auto"/>
          <w:sz w:val="24"/>
          <w:lang w:val="en-US" w:eastAsia="zh-CN"/>
        </w:rPr>
        <w:br w:type="page"/>
      </w:r>
      <w:r>
        <w:rPr>
          <w:rFonts w:hint="eastAsia"/>
          <w:color w:val="auto"/>
          <w:sz w:val="24"/>
          <w:lang w:val="en-US" w:eastAsia="zh-CN"/>
        </w:rPr>
        <w:t>签</w:t>
      </w:r>
      <w:r>
        <w:rPr>
          <w:rFonts w:hint="eastAsia"/>
          <w:color w:val="auto"/>
          <w:sz w:val="24"/>
        </w:rPr>
        <w:t xml:space="preserve">订地点：  </w:t>
      </w:r>
    </w:p>
    <w:p w14:paraId="3BBB5A2F">
      <w:pPr>
        <w:pageBreakBefore w:val="0"/>
        <w:kinsoku/>
        <w:wordWrap/>
        <w:overflowPunct/>
        <w:bidi w:val="0"/>
        <w:spacing w:line="360" w:lineRule="auto"/>
        <w:outlineLvl w:val="9"/>
        <w:rPr>
          <w:rFonts w:hint="eastAsia"/>
          <w:color w:val="auto"/>
          <w:sz w:val="24"/>
        </w:rPr>
      </w:pPr>
      <w:r>
        <w:rPr>
          <w:rFonts w:hint="eastAsia"/>
          <w:color w:val="auto"/>
          <w:sz w:val="24"/>
        </w:rPr>
        <w:t xml:space="preserve">项目编号：                   </w:t>
      </w:r>
      <w:r>
        <w:rPr>
          <w:color w:val="auto"/>
          <w:sz w:val="24"/>
        </w:rPr>
        <w:t xml:space="preserve">            </w:t>
      </w:r>
      <w:r>
        <w:rPr>
          <w:rFonts w:hint="eastAsia"/>
          <w:color w:val="auto"/>
          <w:sz w:val="24"/>
          <w:lang w:val="en-US" w:eastAsia="zh-CN"/>
        </w:rPr>
        <w:t xml:space="preserve">  </w:t>
      </w:r>
      <w:r>
        <w:rPr>
          <w:color w:val="auto"/>
          <w:sz w:val="24"/>
        </w:rPr>
        <w:t xml:space="preserve"> </w:t>
      </w:r>
      <w:r>
        <w:rPr>
          <w:rFonts w:hint="eastAsia"/>
          <w:color w:val="auto"/>
          <w:sz w:val="24"/>
        </w:rPr>
        <w:t xml:space="preserve">签订时间： </w:t>
      </w:r>
      <w:r>
        <w:rPr>
          <w:color w:val="auto"/>
          <w:sz w:val="24"/>
        </w:rPr>
        <w:t xml:space="preserve">  </w:t>
      </w:r>
      <w:r>
        <w:rPr>
          <w:rFonts w:hint="eastAsia"/>
          <w:color w:val="auto"/>
          <w:sz w:val="24"/>
        </w:rPr>
        <w:t xml:space="preserve">年 </w:t>
      </w:r>
      <w:r>
        <w:rPr>
          <w:rFonts w:hint="eastAsia"/>
          <w:color w:val="auto"/>
          <w:sz w:val="24"/>
          <w:lang w:val="en-US" w:eastAsia="zh-CN"/>
        </w:rPr>
        <w:t xml:space="preserve"> </w:t>
      </w:r>
      <w:r>
        <w:rPr>
          <w:rFonts w:hint="eastAsia"/>
          <w:color w:val="auto"/>
          <w:sz w:val="24"/>
        </w:rPr>
        <w:t xml:space="preserve"> 月  日</w:t>
      </w:r>
    </w:p>
    <w:p w14:paraId="60C0C5E3">
      <w:pPr>
        <w:pageBreakBefore w:val="0"/>
        <w:kinsoku/>
        <w:wordWrap/>
        <w:overflowPunct/>
        <w:bidi w:val="0"/>
        <w:spacing w:line="360" w:lineRule="auto"/>
        <w:outlineLvl w:val="9"/>
        <w:rPr>
          <w:rFonts w:hint="eastAsia" w:eastAsia="宋体"/>
          <w:color w:val="auto"/>
          <w:sz w:val="24"/>
          <w:lang w:eastAsia="zh-CN"/>
        </w:rPr>
      </w:pPr>
      <w:r>
        <w:rPr>
          <w:rFonts w:hint="eastAsia"/>
          <w:color w:val="auto"/>
          <w:sz w:val="24"/>
        </w:rPr>
        <w:t>采购人：</w:t>
      </w:r>
    </w:p>
    <w:p w14:paraId="240D587F">
      <w:pPr>
        <w:pageBreakBefore w:val="0"/>
        <w:kinsoku/>
        <w:wordWrap/>
        <w:overflowPunct/>
        <w:bidi w:val="0"/>
        <w:spacing w:line="360" w:lineRule="auto"/>
        <w:outlineLvl w:val="9"/>
        <w:rPr>
          <w:rFonts w:hint="eastAsia"/>
          <w:color w:val="auto"/>
          <w:sz w:val="24"/>
        </w:rPr>
      </w:pPr>
      <w:r>
        <w:rPr>
          <w:rFonts w:hint="eastAsia"/>
          <w:color w:val="auto"/>
          <w:sz w:val="24"/>
        </w:rPr>
        <w:t>供应商：</w:t>
      </w:r>
    </w:p>
    <w:p w14:paraId="0E416FAE">
      <w:pPr>
        <w:pageBreakBefore w:val="0"/>
        <w:kinsoku/>
        <w:wordWrap/>
        <w:overflowPunct/>
        <w:bidi w:val="0"/>
        <w:spacing w:line="360" w:lineRule="auto"/>
        <w:outlineLvl w:val="9"/>
        <w:rPr>
          <w:rFonts w:hint="eastAsia"/>
          <w:color w:val="auto"/>
          <w:sz w:val="24"/>
        </w:rPr>
      </w:pPr>
    </w:p>
    <w:p w14:paraId="68BF76DC">
      <w:pPr>
        <w:pageBreakBefore w:val="0"/>
        <w:kinsoku/>
        <w:wordWrap/>
        <w:overflowPunct/>
        <w:bidi w:val="0"/>
        <w:spacing w:line="360" w:lineRule="auto"/>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根据</w:t>
      </w:r>
      <w:r>
        <w:rPr>
          <w:rFonts w:hint="eastAsia" w:ascii="宋体" w:hAnsi="宋体" w:cs="宋体"/>
          <w:b/>
          <w:bCs/>
          <w:color w:val="auto"/>
          <w:sz w:val="24"/>
          <w:u w:val="single"/>
          <w:lang w:eastAsia="zh-CN"/>
        </w:rPr>
        <w:t>(项目名称)</w:t>
      </w:r>
      <w:r>
        <w:rPr>
          <w:rFonts w:hint="eastAsia" w:ascii="宋体" w:hAnsi="宋体" w:eastAsia="宋体" w:cs="宋体"/>
          <w:color w:val="auto"/>
          <w:sz w:val="24"/>
        </w:rPr>
        <w:t>的采购结果，按照《中华人民共和国政府采购法》、《中华人民共和国民法典》等规定，经双方协商，本着平等互利和诚实信用的原则，一致同意签订本合同如下。</w:t>
      </w:r>
    </w:p>
    <w:p w14:paraId="1704674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outlineLvl w:val="9"/>
        <w:rPr>
          <w:rFonts w:hint="eastAsia" w:ascii="宋体" w:hAnsi="宋体" w:eastAsia="宋体" w:cs="宋体"/>
          <w:b/>
          <w:bCs/>
          <w:color w:val="auto"/>
          <w:sz w:val="24"/>
        </w:rPr>
      </w:pPr>
      <w:r>
        <w:rPr>
          <w:rFonts w:hint="eastAsia" w:ascii="宋体" w:hAnsi="宋体" w:eastAsia="宋体" w:cs="宋体"/>
          <w:b/>
          <w:bCs/>
          <w:color w:val="auto"/>
          <w:sz w:val="24"/>
        </w:rPr>
        <w:t>一、合同文件</w:t>
      </w:r>
    </w:p>
    <w:p w14:paraId="3952473E">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bookmarkStart w:id="0" w:name="_Toc9090"/>
      <w:r>
        <w:rPr>
          <w:rFonts w:hint="eastAsia" w:ascii="宋体" w:hAnsi="宋体" w:eastAsia="宋体" w:cs="宋体"/>
          <w:color w:val="auto"/>
          <w:kern w:val="0"/>
          <w:sz w:val="24"/>
          <w:szCs w:val="21"/>
        </w:rPr>
        <w:t>下列文件互为补充、构成完整合同体系；文件内容存在矛盾、歧义时，按以下顺序优先解释：</w:t>
      </w:r>
    </w:p>
    <w:p w14:paraId="6311C254">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1.</w:t>
      </w:r>
      <w:r>
        <w:rPr>
          <w:rFonts w:hint="eastAsia" w:ascii="宋体" w:hAnsi="宋体" w:eastAsia="宋体" w:cs="宋体"/>
          <w:color w:val="auto"/>
          <w:kern w:val="0"/>
          <w:sz w:val="24"/>
          <w:szCs w:val="21"/>
        </w:rPr>
        <w:t>本合同协议书；</w:t>
      </w:r>
    </w:p>
    <w:p w14:paraId="0C8527CB">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2.</w:t>
      </w:r>
      <w:r>
        <w:rPr>
          <w:rFonts w:hint="eastAsia" w:ascii="宋体" w:hAnsi="宋体" w:eastAsia="宋体" w:cs="宋体"/>
          <w:color w:val="auto"/>
          <w:kern w:val="0"/>
          <w:sz w:val="24"/>
          <w:szCs w:val="21"/>
        </w:rPr>
        <w:t>招标文件</w:t>
      </w:r>
    </w:p>
    <w:p w14:paraId="06A6D8C7">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3.</w:t>
      </w:r>
      <w:r>
        <w:rPr>
          <w:rFonts w:hint="eastAsia" w:ascii="宋体" w:hAnsi="宋体" w:eastAsia="宋体" w:cs="宋体"/>
          <w:color w:val="auto"/>
          <w:kern w:val="0"/>
          <w:sz w:val="24"/>
          <w:szCs w:val="21"/>
        </w:rPr>
        <w:t>中标人投标文件、全套技术实施方案、服务承诺、报价资料；</w:t>
      </w:r>
    </w:p>
    <w:p w14:paraId="6E5374E3">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4.</w:t>
      </w:r>
      <w:r>
        <w:rPr>
          <w:rFonts w:hint="eastAsia" w:ascii="宋体" w:hAnsi="宋体" w:eastAsia="宋体" w:cs="宋体"/>
          <w:color w:val="auto"/>
          <w:kern w:val="0"/>
          <w:sz w:val="24"/>
          <w:szCs w:val="21"/>
        </w:rPr>
        <w:t>中标通知书；</w:t>
      </w:r>
    </w:p>
    <w:p w14:paraId="05DFAD86">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5.</w:t>
      </w:r>
      <w:r>
        <w:rPr>
          <w:rFonts w:hint="eastAsia" w:ascii="宋体" w:hAnsi="宋体" w:eastAsia="宋体" w:cs="宋体"/>
          <w:color w:val="auto"/>
          <w:kern w:val="0"/>
          <w:sz w:val="24"/>
          <w:szCs w:val="21"/>
        </w:rPr>
        <w:t>双方共同签字确认的作业台账、地块验收单、补充书面协议；</w:t>
      </w:r>
    </w:p>
    <w:p w14:paraId="55593EEF">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6.</w:t>
      </w:r>
      <w:r>
        <w:rPr>
          <w:rFonts w:hint="eastAsia" w:ascii="宋体" w:hAnsi="宋体" w:eastAsia="宋体" w:cs="宋体"/>
          <w:color w:val="auto"/>
          <w:kern w:val="0"/>
          <w:sz w:val="24"/>
          <w:szCs w:val="21"/>
        </w:rPr>
        <w:t>国家、省、市植保、农药使用相关规范标准。</w:t>
      </w:r>
    </w:p>
    <w:p w14:paraId="486639A8">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双方不得签订背离招标文件、投标文件实质性内容的补充协议。</w:t>
      </w:r>
    </w:p>
    <w:p w14:paraId="51AC6631">
      <w:pPr>
        <w:pageBreakBefore w:val="0"/>
        <w:kinsoku/>
        <w:wordWrap/>
        <w:overflowPunct/>
        <w:bidi w:val="0"/>
        <w:spacing w:line="360" w:lineRule="auto"/>
        <w:ind w:firstLine="482" w:firstLineChars="200"/>
        <w:outlineLvl w:val="9"/>
        <w:rPr>
          <w:rFonts w:hint="eastAsia" w:ascii="宋体" w:hAnsi="宋体" w:eastAsia="宋体" w:cs="宋体"/>
          <w:b/>
          <w:bCs/>
          <w:color w:val="auto"/>
          <w:sz w:val="24"/>
        </w:rPr>
      </w:pPr>
      <w:r>
        <w:rPr>
          <w:rFonts w:hint="eastAsia" w:ascii="宋体" w:hAnsi="宋体" w:eastAsia="宋体" w:cs="宋体"/>
          <w:b/>
          <w:bCs/>
          <w:color w:val="auto"/>
          <w:sz w:val="24"/>
        </w:rPr>
        <w:t>二、合同价款</w:t>
      </w:r>
      <w:bookmarkEnd w:id="0"/>
    </w:p>
    <w:p w14:paraId="31FFA9E7">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bookmarkStart w:id="1" w:name="_Toc5628"/>
      <w:r>
        <w:rPr>
          <w:rFonts w:hint="eastAsia" w:ascii="宋体" w:hAnsi="宋体" w:eastAsia="宋体" w:cs="宋体"/>
          <w:color w:val="auto"/>
          <w:kern w:val="0"/>
          <w:sz w:val="24"/>
          <w:szCs w:val="21"/>
          <w:lang w:val="en-US" w:eastAsia="zh-CN"/>
        </w:rPr>
        <w:t>1.</w:t>
      </w:r>
      <w:r>
        <w:rPr>
          <w:rFonts w:hint="eastAsia" w:ascii="宋体" w:hAnsi="宋体" w:eastAsia="宋体" w:cs="宋体"/>
          <w:color w:val="auto"/>
          <w:kern w:val="0"/>
          <w:sz w:val="24"/>
          <w:szCs w:val="21"/>
        </w:rPr>
        <w:t>计价方式：固定综合单价合同，粮食作物重大病虫防控</w:t>
      </w:r>
      <w:r>
        <w:rPr>
          <w:rFonts w:hint="eastAsia" w:ascii="宋体" w:hAnsi="宋体" w:cs="宋体"/>
          <w:color w:val="auto"/>
          <w:kern w:val="0"/>
          <w:sz w:val="24"/>
          <w:szCs w:val="21"/>
          <w:lang w:val="en-US" w:eastAsia="zh-CN"/>
        </w:rPr>
        <w:t>,</w:t>
      </w:r>
      <w:r>
        <w:rPr>
          <w:rFonts w:hint="eastAsia" w:ascii="宋体" w:hAnsi="宋体" w:eastAsia="宋体" w:cs="宋体"/>
          <w:color w:val="auto"/>
          <w:kern w:val="0"/>
          <w:sz w:val="24"/>
          <w:szCs w:val="21"/>
        </w:rPr>
        <w:t>中标综合单价：______元/亩，</w:t>
      </w:r>
      <w:r>
        <w:rPr>
          <w:rFonts w:hint="eastAsia" w:ascii="宋体" w:hAnsi="宋体" w:eastAsia="宋体" w:cs="宋体"/>
          <w:color w:val="auto"/>
          <w:kern w:val="0"/>
          <w:sz w:val="24"/>
          <w:szCs w:val="21"/>
        </w:rPr>
        <w:t>蝗虫防控</w:t>
      </w:r>
      <w:r>
        <w:rPr>
          <w:rFonts w:hint="eastAsia" w:ascii="宋体" w:hAnsi="宋体" w:cs="宋体"/>
          <w:color w:val="auto"/>
          <w:kern w:val="0"/>
          <w:sz w:val="24"/>
          <w:szCs w:val="21"/>
          <w:lang w:val="en-US" w:eastAsia="zh-CN"/>
        </w:rPr>
        <w:t>,</w:t>
      </w:r>
      <w:r>
        <w:rPr>
          <w:rFonts w:hint="eastAsia" w:ascii="宋体" w:hAnsi="宋体" w:eastAsia="宋体" w:cs="宋体"/>
          <w:color w:val="auto"/>
          <w:kern w:val="0"/>
          <w:sz w:val="24"/>
          <w:szCs w:val="21"/>
        </w:rPr>
        <w:t>中标综合单价：______元/亩</w:t>
      </w:r>
      <w:r>
        <w:rPr>
          <w:rFonts w:hint="eastAsia" w:ascii="宋体" w:hAnsi="宋体" w:eastAsia="宋体" w:cs="宋体"/>
          <w:color w:val="auto"/>
          <w:kern w:val="0"/>
          <w:sz w:val="24"/>
          <w:szCs w:val="21"/>
          <w:lang w:val="en-US" w:eastAsia="zh-CN"/>
        </w:rPr>
        <w:t>;</w:t>
      </w:r>
      <w:r>
        <w:rPr>
          <w:rFonts w:hint="eastAsia" w:ascii="宋体" w:hAnsi="宋体" w:eastAsia="宋体" w:cs="宋体"/>
          <w:color w:val="auto"/>
          <w:kern w:val="0"/>
          <w:sz w:val="24"/>
          <w:szCs w:val="21"/>
        </w:rPr>
        <w:t>单价全程固定不变，不受人工、农药、燃油、运输等市场价格波动影响。</w:t>
      </w:r>
    </w:p>
    <w:p w14:paraId="260BA917">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2.</w:t>
      </w:r>
      <w:r>
        <w:rPr>
          <w:rFonts w:hint="eastAsia" w:ascii="宋体" w:hAnsi="宋体" w:eastAsia="宋体" w:cs="宋体"/>
          <w:color w:val="auto"/>
          <w:kern w:val="0"/>
          <w:sz w:val="24"/>
          <w:szCs w:val="21"/>
        </w:rPr>
        <w:t>预估防治面积：玉米病虫防控核心示范区3.066万亩、辐射群防群治5.5 万亩；蝗虫防控核心示范区0.1万亩、辐射群防群治0.3万亩；仅作预算参考，不作为结算依据。</w:t>
      </w:r>
    </w:p>
    <w:p w14:paraId="14490D0D">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3.</w:t>
      </w:r>
      <w:r>
        <w:rPr>
          <w:rFonts w:hint="eastAsia" w:ascii="宋体" w:hAnsi="宋体" w:eastAsia="宋体" w:cs="宋体"/>
          <w:color w:val="auto"/>
          <w:kern w:val="0"/>
          <w:sz w:val="24"/>
          <w:szCs w:val="21"/>
        </w:rPr>
        <w:t>结算规则：最终结算总价款=甲乙双方现场验收合格的实际防治亩数×中标综合单价。未达标、漏防、虚报面积一律不计入结算面积。</w:t>
      </w:r>
    </w:p>
    <w:p w14:paraId="316CE017">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4.</w:t>
      </w:r>
      <w:r>
        <w:rPr>
          <w:rFonts w:hint="eastAsia" w:ascii="宋体" w:hAnsi="宋体" w:eastAsia="宋体" w:cs="宋体"/>
          <w:color w:val="auto"/>
          <w:kern w:val="0"/>
          <w:sz w:val="24"/>
          <w:szCs w:val="21"/>
        </w:rPr>
        <w:t>综合单价为全包干含税价，包含人工费、植保设备租赁/使用、各类药剂（杀虫剂、杀菌剂、叶面肥、调节剂、生物杀虫剂）、运输、田间病虫监测、安全防护、现场协调、台账影像资料、保险、应急处置、后期复查、管理费、税金、全部风险及所有配套服务费用，采购人不再支付任何额外费用。</w:t>
      </w:r>
    </w:p>
    <w:p w14:paraId="7E8B7E51">
      <w:pPr>
        <w:pageBreakBefore w:val="0"/>
        <w:kinsoku/>
        <w:wordWrap/>
        <w:overflowPunct/>
        <w:bidi w:val="0"/>
        <w:spacing w:line="360" w:lineRule="auto"/>
        <w:ind w:firstLine="482" w:firstLineChars="200"/>
        <w:outlineLvl w:val="9"/>
        <w:rPr>
          <w:b/>
          <w:color w:val="auto"/>
          <w:sz w:val="24"/>
          <w:highlight w:val="none"/>
        </w:rPr>
      </w:pPr>
      <w:r>
        <w:rPr>
          <w:rFonts w:hint="eastAsia"/>
          <w:b/>
          <w:color w:val="auto"/>
          <w:sz w:val="24"/>
          <w:highlight w:val="none"/>
        </w:rPr>
        <w:t>三、款项结算</w:t>
      </w:r>
      <w:bookmarkEnd w:id="1"/>
    </w:p>
    <w:p w14:paraId="1DA1FEAA">
      <w:pPr>
        <w:pageBreakBefore w:val="0"/>
        <w:kinsoku/>
        <w:wordWrap/>
        <w:overflowPunct/>
        <w:bidi w:val="0"/>
        <w:spacing w:line="360" w:lineRule="auto"/>
        <w:ind w:firstLine="480" w:firstLineChars="200"/>
        <w:outlineLvl w:val="9"/>
        <w:rPr>
          <w:rFonts w:hint="eastAsia" w:ascii="宋体" w:hAnsi="宋体" w:eastAsia="宋体" w:cs="宋体"/>
          <w:color w:val="auto"/>
          <w:sz w:val="24"/>
          <w:lang w:val="en-US" w:eastAsia="zh-CN"/>
        </w:rPr>
      </w:pPr>
      <w:r>
        <w:rPr>
          <w:rFonts w:hint="eastAsia" w:ascii="宋体" w:hAnsi="宋体" w:cs="宋体"/>
          <w:color w:val="auto"/>
          <w:kern w:val="0"/>
          <w:sz w:val="24"/>
          <w:szCs w:val="21"/>
          <w:highlight w:val="none"/>
          <w:lang w:val="en-US" w:eastAsia="zh-CN"/>
        </w:rPr>
        <w:t>1.</w:t>
      </w:r>
      <w:r>
        <w:rPr>
          <w:rFonts w:hint="eastAsia" w:ascii="宋体" w:hAnsi="宋体" w:cs="宋体"/>
          <w:color w:val="auto"/>
          <w:kern w:val="0"/>
          <w:sz w:val="24"/>
          <w:szCs w:val="21"/>
          <w:highlight w:val="none"/>
        </w:rPr>
        <w:t>合同</w:t>
      </w:r>
      <w:r>
        <w:rPr>
          <w:rFonts w:hint="eastAsia" w:ascii="宋体" w:hAnsi="宋体" w:eastAsia="宋体" w:cs="宋体"/>
          <w:color w:val="auto"/>
          <w:sz w:val="24"/>
        </w:rPr>
        <w:t>价款的支付：</w:t>
      </w:r>
      <w:r>
        <w:rPr>
          <w:rFonts w:hint="eastAsia" w:ascii="宋体" w:hAnsi="宋体" w:eastAsia="宋体" w:cs="宋体"/>
          <w:color w:val="auto"/>
          <w:sz w:val="24"/>
          <w:lang w:val="en-US" w:eastAsia="zh-CN"/>
        </w:rPr>
        <w:t>服务结束后经采购人邀请相关部门验收合格后，一次性付支付合同总价款的100%。</w:t>
      </w:r>
    </w:p>
    <w:p w14:paraId="2CA1366C">
      <w:pPr>
        <w:pageBreakBefore w:val="0"/>
        <w:kinsoku/>
        <w:wordWrap/>
        <w:overflowPunct/>
        <w:bidi w:val="0"/>
        <w:spacing w:line="360" w:lineRule="auto"/>
        <w:ind w:firstLine="480" w:firstLineChars="200"/>
        <w:outlineLvl w:val="9"/>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w:t>
      </w:r>
      <w:r>
        <w:rPr>
          <w:rFonts w:hint="eastAsia" w:ascii="宋体" w:hAnsi="宋体" w:cs="宋体"/>
          <w:color w:val="auto"/>
          <w:sz w:val="24"/>
          <w:lang w:val="en-US" w:eastAsia="zh-CN"/>
        </w:rPr>
        <w:t>.</w:t>
      </w:r>
      <w:r>
        <w:rPr>
          <w:rFonts w:hint="eastAsia" w:ascii="宋体" w:hAnsi="宋体" w:eastAsia="宋体" w:cs="宋体"/>
          <w:color w:val="auto"/>
          <w:sz w:val="24"/>
          <w:lang w:val="en-US" w:eastAsia="zh-CN"/>
        </w:rPr>
        <w:t>结算方式：银行转账。</w:t>
      </w:r>
    </w:p>
    <w:p w14:paraId="7969733C">
      <w:pPr>
        <w:pageBreakBefore w:val="0"/>
        <w:kinsoku/>
        <w:wordWrap/>
        <w:overflowPunct/>
        <w:bidi w:val="0"/>
        <w:spacing w:line="360" w:lineRule="auto"/>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lang w:val="en-US" w:eastAsia="zh-CN"/>
        </w:rPr>
        <w:t>3</w:t>
      </w:r>
      <w:r>
        <w:rPr>
          <w:rFonts w:hint="eastAsia" w:ascii="宋体" w:hAnsi="宋体" w:cs="宋体"/>
          <w:color w:val="auto"/>
          <w:sz w:val="24"/>
          <w:lang w:val="en-US" w:eastAsia="zh-CN"/>
        </w:rPr>
        <w:t>.</w:t>
      </w:r>
      <w:r>
        <w:rPr>
          <w:rFonts w:hint="eastAsia" w:ascii="宋体" w:hAnsi="宋体" w:eastAsia="宋体" w:cs="宋体"/>
          <w:color w:val="auto"/>
          <w:sz w:val="24"/>
        </w:rPr>
        <w:t>支付方式：由采购人负责结算，合同签订后，供应商在接受付款前，开具等额发票给采购人。</w:t>
      </w:r>
    </w:p>
    <w:p w14:paraId="1C070539">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420" w:leftChars="0"/>
        <w:jc w:val="left"/>
        <w:textAlignment w:val="auto"/>
        <w:outlineLvl w:val="9"/>
        <w:rPr>
          <w:rFonts w:hint="default" w:ascii="宋体" w:hAnsi="宋体" w:cs="宋体"/>
          <w:color w:val="auto"/>
          <w:kern w:val="0"/>
          <w:sz w:val="24"/>
          <w:szCs w:val="21"/>
          <w:lang w:val="en-US"/>
        </w:rPr>
      </w:pPr>
      <w:r>
        <w:rPr>
          <w:rFonts w:hint="eastAsia" w:ascii="宋体" w:hAnsi="宋体" w:cs="宋体"/>
          <w:color w:val="auto"/>
          <w:kern w:val="0"/>
          <w:sz w:val="24"/>
          <w:szCs w:val="21"/>
          <w:lang w:val="en-US" w:eastAsia="zh-CN"/>
        </w:rPr>
        <w:t>4.供应商银行账户信息</w:t>
      </w:r>
    </w:p>
    <w:p w14:paraId="4CE37E55">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jc w:val="left"/>
        <w:textAlignment w:val="auto"/>
        <w:outlineLvl w:val="9"/>
        <w:rPr>
          <w:rFonts w:hint="default" w:ascii="宋体" w:hAnsi="宋体" w:cs="宋体"/>
          <w:color w:val="auto"/>
          <w:kern w:val="0"/>
          <w:sz w:val="24"/>
          <w:szCs w:val="21"/>
          <w:lang w:val="en-US" w:eastAsia="zh-CN"/>
        </w:rPr>
      </w:pPr>
      <w:r>
        <w:rPr>
          <w:rFonts w:hint="eastAsia" w:ascii="宋体" w:hAnsi="宋体" w:cs="宋体"/>
          <w:color w:val="auto"/>
          <w:kern w:val="0"/>
          <w:sz w:val="24"/>
          <w:szCs w:val="21"/>
          <w:lang w:val="en-US" w:eastAsia="zh-CN"/>
        </w:rPr>
        <w:tab/>
      </w:r>
      <w:r>
        <w:rPr>
          <w:rFonts w:hint="eastAsia" w:ascii="宋体" w:hAnsi="宋体" w:cs="宋体"/>
          <w:color w:val="auto"/>
          <w:kern w:val="0"/>
          <w:sz w:val="24"/>
          <w:szCs w:val="21"/>
          <w:lang w:val="en-US" w:eastAsia="zh-CN"/>
        </w:rPr>
        <w:t>开户银行：</w:t>
      </w:r>
    </w:p>
    <w:p w14:paraId="17B17E9B">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jc w:val="left"/>
        <w:textAlignment w:val="auto"/>
        <w:outlineLvl w:val="9"/>
        <w:rPr>
          <w:rFonts w:hint="eastAsia" w:ascii="宋体" w:hAnsi="宋体" w:cs="宋体"/>
          <w:color w:val="auto"/>
          <w:kern w:val="0"/>
          <w:sz w:val="24"/>
          <w:szCs w:val="21"/>
          <w:lang w:val="en-US" w:eastAsia="zh-CN"/>
        </w:rPr>
      </w:pPr>
      <w:r>
        <w:rPr>
          <w:rFonts w:hint="eastAsia" w:ascii="宋体" w:hAnsi="宋体" w:cs="宋体"/>
          <w:color w:val="auto"/>
          <w:kern w:val="0"/>
          <w:sz w:val="24"/>
          <w:szCs w:val="21"/>
          <w:lang w:val="en-US" w:eastAsia="zh-CN"/>
        </w:rPr>
        <w:tab/>
      </w:r>
      <w:r>
        <w:rPr>
          <w:rFonts w:hint="eastAsia" w:ascii="宋体" w:hAnsi="宋体" w:cs="宋体"/>
          <w:color w:val="auto"/>
          <w:kern w:val="0"/>
          <w:sz w:val="24"/>
          <w:szCs w:val="21"/>
          <w:lang w:val="en-US" w:eastAsia="zh-CN"/>
        </w:rPr>
        <w:t>银行账号：</w:t>
      </w:r>
    </w:p>
    <w:p w14:paraId="03BD8A0E">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default" w:ascii="宋体" w:hAnsi="宋体" w:cs="宋体"/>
          <w:color w:val="auto"/>
          <w:kern w:val="0"/>
          <w:sz w:val="24"/>
          <w:szCs w:val="21"/>
          <w:lang w:val="en-US" w:eastAsia="zh-CN"/>
        </w:rPr>
      </w:pPr>
      <w:r>
        <w:rPr>
          <w:rFonts w:hint="eastAsia" w:ascii="宋体" w:hAnsi="宋体" w:cs="宋体"/>
          <w:color w:val="auto"/>
          <w:kern w:val="0"/>
          <w:sz w:val="24"/>
          <w:szCs w:val="21"/>
          <w:lang w:val="en-US" w:eastAsia="zh-CN"/>
        </w:rPr>
        <w:t>银行户名：</w:t>
      </w:r>
    </w:p>
    <w:p w14:paraId="556E8044">
      <w:pPr>
        <w:pageBreakBefore w:val="0"/>
        <w:kinsoku/>
        <w:wordWrap/>
        <w:overflowPunct/>
        <w:bidi w:val="0"/>
        <w:spacing w:line="360" w:lineRule="auto"/>
        <w:ind w:firstLine="482" w:firstLineChars="200"/>
        <w:outlineLvl w:val="9"/>
        <w:rPr>
          <w:rFonts w:hint="default" w:eastAsia="宋体"/>
          <w:b/>
          <w:color w:val="auto"/>
          <w:sz w:val="24"/>
          <w:lang w:val="en-US" w:eastAsia="zh-CN"/>
        </w:rPr>
      </w:pPr>
      <w:bookmarkStart w:id="2" w:name="_Toc12029"/>
      <w:r>
        <w:rPr>
          <w:rFonts w:hint="eastAsia"/>
          <w:b/>
          <w:color w:val="auto"/>
          <w:sz w:val="24"/>
        </w:rPr>
        <w:t>四、服务</w:t>
      </w:r>
      <w:r>
        <w:rPr>
          <w:rFonts w:hint="eastAsia"/>
          <w:b/>
          <w:color w:val="auto"/>
          <w:sz w:val="24"/>
          <w:lang w:val="en-US" w:eastAsia="zh-CN"/>
        </w:rPr>
        <w:t>面积</w:t>
      </w:r>
      <w:r>
        <w:rPr>
          <w:rFonts w:hint="eastAsia"/>
          <w:b/>
          <w:color w:val="auto"/>
          <w:sz w:val="24"/>
          <w:lang w:eastAsia="zh-CN"/>
        </w:rPr>
        <w:t>、</w:t>
      </w:r>
      <w:r>
        <w:rPr>
          <w:rFonts w:hint="eastAsia"/>
          <w:b/>
          <w:color w:val="auto"/>
          <w:sz w:val="24"/>
          <w:lang w:val="en-US" w:eastAsia="zh-CN"/>
        </w:rPr>
        <w:t>服务</w:t>
      </w:r>
      <w:r>
        <w:rPr>
          <w:rFonts w:hint="eastAsia"/>
          <w:b/>
          <w:color w:val="auto"/>
          <w:sz w:val="24"/>
        </w:rPr>
        <w:t>期</w:t>
      </w:r>
      <w:bookmarkEnd w:id="2"/>
      <w:r>
        <w:rPr>
          <w:rFonts w:hint="eastAsia"/>
          <w:b/>
          <w:color w:val="auto"/>
          <w:sz w:val="24"/>
          <w:lang w:val="en-US" w:eastAsia="zh-CN"/>
        </w:rPr>
        <w:t>及服务地点</w:t>
      </w:r>
    </w:p>
    <w:p w14:paraId="2C7CFDF8">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lang w:eastAsia="zh-CN"/>
        </w:rPr>
      </w:pPr>
      <w:r>
        <w:rPr>
          <w:rFonts w:hint="eastAsia" w:ascii="宋体" w:hAnsi="宋体" w:eastAsia="宋体" w:cs="宋体"/>
          <w:color w:val="auto"/>
          <w:kern w:val="0"/>
          <w:sz w:val="24"/>
          <w:szCs w:val="21"/>
          <w:lang w:val="en-US" w:eastAsia="zh-CN"/>
        </w:rPr>
        <w:t>1</w:t>
      </w:r>
      <w:r>
        <w:rPr>
          <w:rFonts w:hint="eastAsia" w:ascii="宋体" w:hAnsi="宋体" w:cs="宋体"/>
          <w:color w:val="auto"/>
          <w:kern w:val="0"/>
          <w:sz w:val="24"/>
          <w:szCs w:val="21"/>
          <w:lang w:val="en-US" w:eastAsia="zh-CN"/>
        </w:rPr>
        <w:t>.</w:t>
      </w:r>
      <w:r>
        <w:rPr>
          <w:rFonts w:hint="eastAsia" w:ascii="宋体" w:hAnsi="宋体" w:eastAsia="宋体" w:cs="宋体"/>
          <w:color w:val="auto"/>
          <w:kern w:val="0"/>
          <w:sz w:val="24"/>
          <w:szCs w:val="21"/>
        </w:rPr>
        <w:t>服务</w:t>
      </w:r>
      <w:r>
        <w:rPr>
          <w:rFonts w:hint="eastAsia" w:ascii="宋体" w:hAnsi="宋体" w:cs="宋体"/>
          <w:color w:val="auto"/>
          <w:kern w:val="0"/>
          <w:sz w:val="24"/>
          <w:szCs w:val="21"/>
          <w:lang w:val="en-US" w:eastAsia="zh-CN"/>
        </w:rPr>
        <w:t>面积</w:t>
      </w:r>
      <w:r>
        <w:rPr>
          <w:rFonts w:hint="eastAsia" w:ascii="宋体" w:hAnsi="宋体" w:eastAsia="宋体" w:cs="宋体"/>
          <w:color w:val="auto"/>
          <w:kern w:val="0"/>
          <w:sz w:val="24"/>
          <w:szCs w:val="21"/>
        </w:rPr>
        <w:t>：</w:t>
      </w:r>
    </w:p>
    <w:p w14:paraId="0AC7C4F3">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lang w:val="en-US" w:eastAsia="zh-CN"/>
        </w:rPr>
        <w:t>2</w:t>
      </w:r>
      <w:r>
        <w:rPr>
          <w:rFonts w:hint="eastAsia" w:ascii="宋体" w:hAnsi="宋体" w:cs="宋体"/>
          <w:color w:val="auto"/>
          <w:kern w:val="0"/>
          <w:sz w:val="24"/>
          <w:szCs w:val="21"/>
          <w:lang w:val="en-US" w:eastAsia="zh-CN"/>
        </w:rPr>
        <w:t>.</w:t>
      </w:r>
      <w:r>
        <w:rPr>
          <w:rFonts w:hint="eastAsia" w:ascii="宋体" w:hAnsi="宋体" w:eastAsia="宋体" w:cs="宋体"/>
          <w:color w:val="auto"/>
          <w:kern w:val="0"/>
          <w:sz w:val="24"/>
          <w:szCs w:val="21"/>
          <w:lang w:val="en-US" w:eastAsia="zh-CN"/>
        </w:rPr>
        <w:t>服务期：</w:t>
      </w:r>
    </w:p>
    <w:p w14:paraId="588438EE">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default" w:ascii="宋体" w:hAnsi="宋体" w:eastAsia="宋体" w:cs="宋体"/>
          <w:color w:val="auto"/>
          <w:kern w:val="0"/>
          <w:sz w:val="24"/>
          <w:szCs w:val="21"/>
          <w:lang w:val="en-US" w:eastAsia="zh-CN"/>
        </w:rPr>
      </w:pPr>
      <w:r>
        <w:rPr>
          <w:rFonts w:hint="eastAsia" w:ascii="宋体" w:hAnsi="宋体" w:cs="宋体"/>
          <w:color w:val="auto"/>
          <w:kern w:val="0"/>
          <w:sz w:val="24"/>
          <w:szCs w:val="21"/>
          <w:lang w:val="en-US" w:eastAsia="zh-CN"/>
        </w:rPr>
        <w:t>3.服务地点：</w:t>
      </w:r>
    </w:p>
    <w:p w14:paraId="0FC4AD9A">
      <w:pPr>
        <w:pageBreakBefore w:val="0"/>
        <w:widowControl/>
        <w:tabs>
          <w:tab w:val="left" w:pos="0"/>
          <w:tab w:val="left" w:pos="437"/>
          <w:tab w:val="left" w:pos="1311"/>
        </w:tabs>
        <w:kinsoku/>
        <w:wordWrap/>
        <w:overflowPunct/>
        <w:bidi w:val="0"/>
        <w:adjustRightInd w:val="0"/>
        <w:snapToGrid w:val="0"/>
        <w:spacing w:line="440" w:lineRule="exact"/>
        <w:ind w:firstLine="482" w:firstLineChars="200"/>
        <w:jc w:val="left"/>
        <w:outlineLvl w:val="9"/>
        <w:rPr>
          <w:rFonts w:hint="eastAsia" w:ascii="宋体" w:hAnsi="宋体" w:eastAsia="宋体" w:cs="宋体"/>
          <w:b/>
          <w:bCs/>
          <w:color w:val="auto"/>
          <w:kern w:val="0"/>
          <w:sz w:val="24"/>
          <w:szCs w:val="21"/>
          <w:highlight w:val="none"/>
        </w:rPr>
      </w:pPr>
      <w:r>
        <w:rPr>
          <w:rFonts w:hint="eastAsia" w:ascii="宋体" w:hAnsi="宋体" w:eastAsia="宋体" w:cs="宋体"/>
          <w:b/>
          <w:bCs/>
          <w:color w:val="auto"/>
          <w:kern w:val="0"/>
          <w:sz w:val="24"/>
          <w:szCs w:val="21"/>
          <w:highlight w:val="none"/>
        </w:rPr>
        <w:t>五、技术资料</w:t>
      </w:r>
    </w:p>
    <w:p w14:paraId="3859F156">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供应商应按采购文件响应的时间向采购人提供完成项目的有关服务资料。</w:t>
      </w:r>
    </w:p>
    <w:p w14:paraId="1D0B356F">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没有采购人事先书面同意，供应商不得将由采购人提供的有关合同或任何合同条文、规格、计划、样品或资料提供给与履行本合同无关的其他任何人。即使向履行本合同有关的人员提供，也应注意保密并限于履行合同的必需范围。</w:t>
      </w:r>
    </w:p>
    <w:p w14:paraId="06C9ED6F">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六、技术情报的保密</w:t>
      </w:r>
    </w:p>
    <w:p w14:paraId="33028145">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甲乙双方商定，供应商取得的所有原始技术资料在工作结束后交还采购人，供应商不得对外泄露。</w:t>
      </w:r>
    </w:p>
    <w:p w14:paraId="3E0DD94F">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lang w:val="en-US" w:eastAsia="zh-CN"/>
        </w:rPr>
        <w:t>工作</w:t>
      </w:r>
      <w:r>
        <w:rPr>
          <w:rFonts w:hint="eastAsia" w:ascii="宋体" w:hAnsi="宋体" w:eastAsia="宋体" w:cs="宋体"/>
          <w:color w:val="auto"/>
          <w:kern w:val="0"/>
          <w:sz w:val="24"/>
          <w:szCs w:val="21"/>
        </w:rPr>
        <w:t>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79E4FA61">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bCs/>
          <w:color w:val="auto"/>
          <w:kern w:val="0"/>
          <w:sz w:val="24"/>
          <w:szCs w:val="21"/>
        </w:rPr>
      </w:pPr>
      <w:r>
        <w:rPr>
          <w:rFonts w:hint="eastAsia" w:ascii="宋体" w:hAnsi="宋体" w:eastAsia="宋体" w:cs="宋体"/>
          <w:b/>
          <w:bCs/>
          <w:color w:val="auto"/>
          <w:kern w:val="0"/>
          <w:sz w:val="24"/>
          <w:szCs w:val="21"/>
        </w:rPr>
        <w:t>七、转</w:t>
      </w:r>
      <w:r>
        <w:rPr>
          <w:rFonts w:hint="eastAsia" w:ascii="宋体" w:hAnsi="宋体" w:cs="宋体"/>
          <w:b/>
          <w:bCs/>
          <w:color w:val="auto"/>
          <w:kern w:val="0"/>
          <w:sz w:val="24"/>
          <w:szCs w:val="21"/>
          <w:lang w:val="en-US" w:eastAsia="zh-CN"/>
        </w:rPr>
        <w:t>包</w:t>
      </w:r>
      <w:r>
        <w:rPr>
          <w:rFonts w:hint="eastAsia" w:ascii="宋体" w:hAnsi="宋体" w:eastAsia="宋体" w:cs="宋体"/>
          <w:b/>
          <w:bCs/>
          <w:color w:val="auto"/>
          <w:kern w:val="0"/>
          <w:sz w:val="24"/>
          <w:szCs w:val="21"/>
        </w:rPr>
        <w:t>或分包</w:t>
      </w:r>
    </w:p>
    <w:p w14:paraId="06ABFE70">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本合同范围的项目服务内容，应由供应商直接服务，不得转让他人；</w:t>
      </w:r>
    </w:p>
    <w:p w14:paraId="7D446BC2">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如有转让和未经采购人同意的分包行为，采购人有权解除合同，并追究供应商的违约责任。</w:t>
      </w:r>
    </w:p>
    <w:p w14:paraId="6CE1EE0F">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八、采购人的权利及义务</w:t>
      </w:r>
    </w:p>
    <w:p w14:paraId="26B5CAA8">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（一）采购人的权利</w:t>
      </w:r>
    </w:p>
    <w:p w14:paraId="3336C56B">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采购人有权向供应商询问工作进展情况及相关的内容。</w:t>
      </w:r>
    </w:p>
    <w:p w14:paraId="417A3F91">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采购人有权阐述对具体问题的意见和建议。</w:t>
      </w:r>
    </w:p>
    <w:p w14:paraId="717C5C4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3</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采购人有权根据项目的具体情况，要求供应商按期到项目现场勘探解决争议。</w:t>
      </w:r>
    </w:p>
    <w:p w14:paraId="0AB033EE">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4</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当采购人认定供应商专业人员不按合同履行其职责，或与第三人串通给采购人造成经济损失的，采购人有权要求更换专业人员，直至终止合同并要求供应商承担相应的赔偿责任。</w:t>
      </w:r>
    </w:p>
    <w:p w14:paraId="109DB409">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（二）采购人的义务</w:t>
      </w:r>
    </w:p>
    <w:p w14:paraId="787D0EC2">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default" w:ascii="宋体" w:hAnsi="宋体" w:eastAsia="宋体" w:cs="宋体"/>
          <w:color w:val="auto"/>
          <w:kern w:val="0"/>
          <w:sz w:val="24"/>
          <w:szCs w:val="21"/>
          <w:highlight w:val="none"/>
          <w:lang w:val="en-US"/>
        </w:rPr>
      </w:pPr>
      <w:r>
        <w:rPr>
          <w:rFonts w:hint="eastAsia" w:ascii="宋体" w:hAnsi="宋体" w:cs="宋体"/>
          <w:color w:val="auto"/>
          <w:kern w:val="0"/>
          <w:sz w:val="24"/>
          <w:szCs w:val="21"/>
          <w:highlight w:val="none"/>
          <w:lang w:val="en-US" w:eastAsia="zh-CN"/>
        </w:rPr>
        <w:t>1.服务完成后，由采购人组织专家评审会议，服务成果未达到采购人要求，供应商继续完善至符合采购人要求。</w:t>
      </w:r>
    </w:p>
    <w:p w14:paraId="207530DE">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default" w:ascii="宋体" w:hAnsi="宋体" w:eastAsia="宋体" w:cs="宋体"/>
          <w:b w:val="0"/>
          <w:bCs/>
          <w:color w:val="auto"/>
          <w:kern w:val="0"/>
          <w:sz w:val="24"/>
          <w:szCs w:val="21"/>
          <w:highlight w:val="none"/>
          <w:lang w:val="en-US" w:eastAsia="zh-CN"/>
        </w:rPr>
      </w:pPr>
      <w:r>
        <w:rPr>
          <w:rFonts w:hint="eastAsia" w:ascii="宋体" w:hAnsi="宋体" w:cs="宋体"/>
          <w:b w:val="0"/>
          <w:bCs/>
          <w:color w:val="auto"/>
          <w:kern w:val="0"/>
          <w:sz w:val="24"/>
          <w:szCs w:val="21"/>
          <w:highlight w:val="none"/>
          <w:lang w:val="en-US" w:eastAsia="zh-CN"/>
        </w:rPr>
        <w:t>2.对供应商的</w:t>
      </w:r>
      <w:r>
        <w:rPr>
          <w:rFonts w:hint="eastAsia" w:ascii="宋体" w:hAnsi="宋体" w:cs="宋体"/>
          <w:color w:val="auto"/>
          <w:kern w:val="0"/>
          <w:sz w:val="24"/>
          <w:szCs w:val="21"/>
          <w:highlight w:val="none"/>
          <w:lang w:val="en-US" w:eastAsia="zh-CN"/>
        </w:rPr>
        <w:t>服务</w:t>
      </w:r>
      <w:r>
        <w:rPr>
          <w:rFonts w:hint="eastAsia" w:ascii="宋体" w:hAnsi="宋体" w:cs="宋体"/>
          <w:b w:val="0"/>
          <w:bCs/>
          <w:color w:val="auto"/>
          <w:kern w:val="0"/>
          <w:sz w:val="24"/>
          <w:szCs w:val="21"/>
          <w:highlight w:val="none"/>
          <w:lang w:val="en-US" w:eastAsia="zh-CN"/>
        </w:rPr>
        <w:t>进度、阶段性成果进行监督、检查。</w:t>
      </w:r>
    </w:p>
    <w:p w14:paraId="55AAFEBD">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color w:val="auto"/>
          <w:kern w:val="0"/>
          <w:sz w:val="24"/>
          <w:szCs w:val="21"/>
          <w:highlight w:val="none"/>
        </w:rPr>
      </w:pPr>
      <w:r>
        <w:rPr>
          <w:rFonts w:hint="eastAsia" w:ascii="宋体" w:hAnsi="宋体" w:eastAsia="宋体" w:cs="宋体"/>
          <w:b/>
          <w:color w:val="auto"/>
          <w:kern w:val="0"/>
          <w:sz w:val="24"/>
          <w:szCs w:val="21"/>
          <w:highlight w:val="none"/>
        </w:rPr>
        <w:t>九、供应商的权利及义务</w:t>
      </w:r>
    </w:p>
    <w:p w14:paraId="19D07FDA">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（一）供应商的权利</w:t>
      </w:r>
    </w:p>
    <w:p w14:paraId="22406562">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default" w:ascii="宋体" w:hAnsi="宋体" w:eastAsia="宋体" w:cs="宋体"/>
          <w:color w:val="auto"/>
          <w:kern w:val="0"/>
          <w:sz w:val="24"/>
          <w:szCs w:val="21"/>
          <w:highlight w:val="none"/>
          <w:lang w:val="en-US" w:eastAsia="zh-CN"/>
        </w:rPr>
      </w:pPr>
      <w:r>
        <w:rPr>
          <w:rFonts w:hint="eastAsia" w:ascii="宋体" w:hAnsi="宋体" w:eastAsia="宋体" w:cs="宋体"/>
          <w:color w:val="auto"/>
          <w:kern w:val="0"/>
          <w:sz w:val="24"/>
          <w:szCs w:val="21"/>
          <w:highlight w:val="none"/>
        </w:rPr>
        <w:t>1</w:t>
      </w:r>
      <w:r>
        <w:rPr>
          <w:rFonts w:hint="eastAsia" w:ascii="宋体" w:hAnsi="宋体" w:cs="宋体"/>
          <w:color w:val="auto"/>
          <w:kern w:val="0"/>
          <w:sz w:val="24"/>
          <w:szCs w:val="21"/>
          <w:highlight w:val="none"/>
          <w:lang w:eastAsia="zh-CN"/>
        </w:rPr>
        <w:t>.</w:t>
      </w:r>
      <w:r>
        <w:rPr>
          <w:rFonts w:hint="eastAsia" w:ascii="宋体" w:hAnsi="宋体" w:eastAsia="宋体" w:cs="宋体"/>
          <w:color w:val="auto"/>
          <w:kern w:val="0"/>
          <w:sz w:val="24"/>
          <w:szCs w:val="21"/>
          <w:highlight w:val="none"/>
        </w:rPr>
        <w:t>供应商</w:t>
      </w:r>
      <w:r>
        <w:rPr>
          <w:rFonts w:hint="eastAsia" w:ascii="宋体" w:hAnsi="宋体" w:cs="宋体"/>
          <w:color w:val="auto"/>
          <w:kern w:val="0"/>
          <w:sz w:val="24"/>
          <w:szCs w:val="21"/>
          <w:highlight w:val="none"/>
          <w:lang w:val="en-US" w:eastAsia="zh-CN"/>
        </w:rPr>
        <w:t>享有研究成果的署名权。</w:t>
      </w:r>
    </w:p>
    <w:p w14:paraId="376113E3">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供应商在项目实施过程中，有到项目现场勘察的权利。</w:t>
      </w:r>
    </w:p>
    <w:p w14:paraId="394258AF">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（二）供应商的义务</w:t>
      </w:r>
    </w:p>
    <w:p w14:paraId="6A62387A">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向采购人提供与本项目有关的资料，包括</w:t>
      </w:r>
      <w:r>
        <w:rPr>
          <w:rFonts w:hint="eastAsia" w:ascii="宋体" w:hAnsi="宋体" w:eastAsia="宋体" w:cs="宋体"/>
          <w:color w:val="auto"/>
          <w:kern w:val="0"/>
          <w:sz w:val="24"/>
          <w:szCs w:val="21"/>
          <w:lang w:val="en-US" w:eastAsia="zh-CN"/>
        </w:rPr>
        <w:t>服务</w:t>
      </w:r>
      <w:r>
        <w:rPr>
          <w:rFonts w:hint="eastAsia" w:ascii="宋体" w:hAnsi="宋体" w:eastAsia="宋体" w:cs="宋体"/>
          <w:color w:val="auto"/>
          <w:kern w:val="0"/>
          <w:sz w:val="24"/>
          <w:szCs w:val="21"/>
        </w:rPr>
        <w:t>项目人员的资质证书及承担本业务的专业人员名单、编制工作计划等，并按合同专用条件中约定的范围实施业务。</w:t>
      </w:r>
    </w:p>
    <w:p w14:paraId="74F26433">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供应商在履行本合同期间，向采购人提供与本项目有关的一切服务。</w:t>
      </w:r>
    </w:p>
    <w:p w14:paraId="16DE471B">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3</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在服务范围内按工作内容和要求制定详细的方案，建立服务质量标准、保证项目高质量、高标准完成。</w:t>
      </w:r>
    </w:p>
    <w:p w14:paraId="4AABAF27">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4</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在项目评审期间，供应商应按照采购人的要求保证及时到项目现场实施勘验。同时，针对项目出现较大争议的情况，供应商能有效提出解决争议的方案，获得相关主管部门批复通过。</w:t>
      </w:r>
    </w:p>
    <w:p w14:paraId="685B761A">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5</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项目完成后，供应商应及时向采购人提供成果资料及相关文件。</w:t>
      </w:r>
    </w:p>
    <w:p w14:paraId="5960FBD5">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rPr>
        <w:t>十、服务</w:t>
      </w:r>
      <w:r>
        <w:rPr>
          <w:rFonts w:hint="eastAsia" w:ascii="宋体" w:hAnsi="宋体" w:eastAsia="宋体" w:cs="宋体"/>
          <w:b/>
          <w:color w:val="auto"/>
          <w:kern w:val="0"/>
          <w:sz w:val="24"/>
          <w:szCs w:val="21"/>
          <w:lang w:val="en-US" w:eastAsia="zh-CN"/>
        </w:rPr>
        <w:t>质量标准</w:t>
      </w:r>
    </w:p>
    <w:p w14:paraId="1623B959">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1.</w:t>
      </w:r>
      <w:r>
        <w:rPr>
          <w:rFonts w:hint="eastAsia" w:ascii="宋体" w:hAnsi="宋体" w:eastAsia="宋体" w:cs="宋体"/>
          <w:color w:val="auto"/>
          <w:kern w:val="0"/>
          <w:sz w:val="24"/>
          <w:szCs w:val="21"/>
        </w:rPr>
        <w:t>严格执行《农药合理使用准则》《农作物病虫害专业化统防统治管理办法》及省、市植保技术规范；</w:t>
      </w:r>
    </w:p>
    <w:p w14:paraId="6217C24B">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2.</w:t>
      </w:r>
      <w:r>
        <w:rPr>
          <w:rFonts w:hint="eastAsia" w:ascii="宋体" w:hAnsi="宋体" w:eastAsia="宋体" w:cs="宋体"/>
          <w:color w:val="auto"/>
          <w:kern w:val="0"/>
          <w:sz w:val="24"/>
          <w:szCs w:val="21"/>
        </w:rPr>
        <w:t>杀虫剂、杀菌剂、叶面肥、植物生长调节剂、蝗虫专用生物杀虫剂均具备国家合规登记手续，配比、施用剂量符合登记推荐标准；</w:t>
      </w:r>
    </w:p>
    <w:p w14:paraId="39808C24">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3.</w:t>
      </w:r>
      <w:r>
        <w:rPr>
          <w:rFonts w:hint="eastAsia" w:ascii="宋体" w:hAnsi="宋体" w:eastAsia="宋体" w:cs="宋体"/>
          <w:color w:val="auto"/>
          <w:kern w:val="0"/>
          <w:sz w:val="24"/>
          <w:szCs w:val="21"/>
        </w:rPr>
        <w:t>标准化示范区建设规范，统防统治全覆盖，大面积漏防地块须无偿补防，补防地块不计入结算面积；</w:t>
      </w:r>
    </w:p>
    <w:p w14:paraId="17C7AD2D">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4.</w:t>
      </w:r>
      <w:r>
        <w:rPr>
          <w:rFonts w:hint="eastAsia" w:ascii="宋体" w:hAnsi="宋体" w:eastAsia="宋体" w:cs="宋体"/>
          <w:color w:val="auto"/>
          <w:kern w:val="0"/>
          <w:sz w:val="24"/>
          <w:szCs w:val="21"/>
        </w:rPr>
        <w:t>灾情处置及时到位，无连片减产、绝收情况；</w:t>
      </w:r>
    </w:p>
    <w:p w14:paraId="0F1EA345">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5.</w:t>
      </w:r>
      <w:r>
        <w:rPr>
          <w:rFonts w:hint="eastAsia" w:ascii="宋体" w:hAnsi="宋体" w:eastAsia="宋体" w:cs="宋体"/>
          <w:color w:val="auto"/>
          <w:kern w:val="0"/>
          <w:sz w:val="24"/>
          <w:szCs w:val="21"/>
        </w:rPr>
        <w:t>完整交付全部纸质、电子作业档案，台账、影像、地块数据真实可追溯，作为据实结算法定依据。</w:t>
      </w:r>
    </w:p>
    <w:p w14:paraId="58244FD5">
      <w:pPr>
        <w:pageBreakBefore w:val="0"/>
        <w:kinsoku/>
        <w:wordWrap/>
        <w:overflowPunct/>
        <w:bidi w:val="0"/>
        <w:spacing w:line="500" w:lineRule="exact"/>
        <w:ind w:firstLine="482" w:firstLineChars="200"/>
        <w:outlineLvl w:val="9"/>
        <w:rPr>
          <w:rFonts w:hint="eastAsia" w:ascii="宋体" w:hAnsi="宋体" w:eastAsia="宋体" w:cs="宋体"/>
          <w:b/>
          <w:color w:val="auto"/>
          <w:sz w:val="24"/>
        </w:rPr>
      </w:pPr>
      <w:r>
        <w:rPr>
          <w:rFonts w:hint="eastAsia" w:ascii="宋体" w:hAnsi="宋体" w:eastAsia="宋体" w:cs="宋体"/>
          <w:b/>
          <w:color w:val="auto"/>
          <w:sz w:val="24"/>
        </w:rPr>
        <w:t>十一、违约责任</w:t>
      </w:r>
    </w:p>
    <w:p w14:paraId="5F9EBA75">
      <w:pPr>
        <w:pageBreakBefore w:val="0"/>
        <w:kinsoku/>
        <w:wordWrap/>
        <w:overflowPunct/>
        <w:autoSpaceDE w:val="0"/>
        <w:autoSpaceDN w:val="0"/>
        <w:bidi w:val="0"/>
        <w:adjustRightInd w:val="0"/>
        <w:snapToGrid w:val="0"/>
        <w:spacing w:line="500" w:lineRule="exact"/>
        <w:ind w:firstLine="480" w:firstLineChars="200"/>
        <w:outlineLvl w:val="9"/>
        <w:rPr>
          <w:rFonts w:hint="eastAsia" w:ascii="宋体" w:hAnsi="宋体" w:eastAsia="宋体" w:cs="宋体"/>
          <w:bCs/>
          <w:color w:val="auto"/>
          <w:sz w:val="24"/>
        </w:rPr>
      </w:pPr>
      <w:r>
        <w:rPr>
          <w:rFonts w:hint="eastAsia" w:ascii="宋体" w:hAnsi="宋体" w:eastAsia="宋体" w:cs="宋体"/>
          <w:bCs/>
          <w:color w:val="auto"/>
          <w:sz w:val="24"/>
        </w:rPr>
        <w:t>（一）</w:t>
      </w:r>
      <w:r>
        <w:rPr>
          <w:rFonts w:hint="eastAsia" w:ascii="宋体" w:hAnsi="宋体" w:eastAsia="宋体" w:cs="宋体"/>
          <w:color w:val="auto"/>
          <w:kern w:val="2"/>
          <w:sz w:val="24"/>
          <w:szCs w:val="24"/>
          <w:highlight w:val="none"/>
          <w:lang w:val="en-US" w:eastAsia="zh-CN" w:bidi="ar-SA"/>
        </w:rPr>
        <w:t>采购人因未及时向供应商提供项目启动所需资料、协调地方关系造成服务期延误，每延误1日则本合同服务期限延长1日，以此类推；因资料真实性给供应商造成损失和产生相关连带责任时，采购人除按供应商要求进行赔偿外还需承担因连带责任产生的所有责任</w:t>
      </w:r>
      <w:r>
        <w:rPr>
          <w:rFonts w:hint="eastAsia" w:ascii="宋体" w:hAnsi="宋体" w:eastAsia="宋体" w:cs="宋体"/>
          <w:bCs/>
          <w:color w:val="auto"/>
          <w:sz w:val="24"/>
        </w:rPr>
        <w:t>。</w:t>
      </w:r>
    </w:p>
    <w:p w14:paraId="6E516A02">
      <w:pPr>
        <w:pageBreakBefore w:val="0"/>
        <w:kinsoku/>
        <w:wordWrap/>
        <w:overflowPunct/>
        <w:autoSpaceDE w:val="0"/>
        <w:autoSpaceDN w:val="0"/>
        <w:bidi w:val="0"/>
        <w:adjustRightInd w:val="0"/>
        <w:snapToGrid w:val="0"/>
        <w:spacing w:line="500" w:lineRule="exact"/>
        <w:ind w:firstLine="480" w:firstLineChars="200"/>
        <w:outlineLvl w:val="9"/>
        <w:rPr>
          <w:rFonts w:hint="eastAsia" w:ascii="宋体" w:hAnsi="宋体" w:eastAsia="宋体" w:cs="宋体"/>
          <w:bCs/>
          <w:color w:val="auto"/>
          <w:sz w:val="24"/>
        </w:rPr>
      </w:pPr>
      <w:r>
        <w:rPr>
          <w:rFonts w:hint="eastAsia" w:ascii="宋体" w:hAnsi="宋体" w:eastAsia="宋体" w:cs="宋体"/>
          <w:bCs/>
          <w:color w:val="auto"/>
          <w:sz w:val="24"/>
        </w:rPr>
        <w:t>（二）因供应商原因造成</w:t>
      </w:r>
      <w:r>
        <w:rPr>
          <w:rFonts w:hint="eastAsia" w:ascii="宋体" w:hAnsi="宋体" w:cs="宋体"/>
          <w:bCs/>
          <w:color w:val="auto"/>
          <w:sz w:val="24"/>
          <w:lang w:val="en-US" w:eastAsia="zh-CN"/>
        </w:rPr>
        <w:t>服务期</w:t>
      </w:r>
      <w:r>
        <w:rPr>
          <w:rFonts w:hint="eastAsia" w:ascii="宋体" w:hAnsi="宋体" w:eastAsia="宋体" w:cs="宋体"/>
          <w:bCs/>
          <w:color w:val="auto"/>
          <w:sz w:val="24"/>
        </w:rPr>
        <w:t>延误（自然灾害等不可抗力除外），采购人有权从未付款项中按每日</w:t>
      </w:r>
      <w:r>
        <w:rPr>
          <w:rFonts w:hint="eastAsia" w:ascii="宋体" w:hAnsi="宋体" w:eastAsia="宋体" w:cs="宋体"/>
          <w:bCs/>
          <w:color w:val="auto"/>
          <w:sz w:val="24"/>
          <w:lang w:val="en-US" w:eastAsia="zh-CN"/>
        </w:rPr>
        <w:t>0.5</w:t>
      </w:r>
      <w:r>
        <w:rPr>
          <w:rFonts w:hint="eastAsia" w:ascii="宋体" w:hAnsi="宋体" w:eastAsia="宋体" w:cs="宋体"/>
          <w:bCs/>
          <w:color w:val="auto"/>
          <w:sz w:val="24"/>
        </w:rPr>
        <w:t>‰合同价款扣除违约金，此违约以30日为限；若采购人未按约定时间付款，则供应商有权按每日</w:t>
      </w:r>
      <w:r>
        <w:rPr>
          <w:rFonts w:hint="eastAsia" w:ascii="宋体" w:hAnsi="宋体" w:eastAsia="宋体" w:cs="宋体"/>
          <w:bCs/>
          <w:color w:val="auto"/>
          <w:sz w:val="24"/>
          <w:lang w:val="en-US" w:eastAsia="zh-CN"/>
        </w:rPr>
        <w:t>0.5</w:t>
      </w:r>
      <w:r>
        <w:rPr>
          <w:rFonts w:hint="eastAsia" w:ascii="宋体" w:hAnsi="宋体" w:eastAsia="宋体" w:cs="宋体"/>
          <w:bCs/>
          <w:color w:val="auto"/>
          <w:sz w:val="24"/>
        </w:rPr>
        <w:t>‰合同价款收取违约金。</w:t>
      </w:r>
    </w:p>
    <w:p w14:paraId="7BB747BE">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bCs/>
          <w:color w:val="auto"/>
          <w:kern w:val="0"/>
          <w:sz w:val="24"/>
          <w:szCs w:val="21"/>
        </w:rPr>
      </w:pPr>
      <w:r>
        <w:rPr>
          <w:rFonts w:hint="eastAsia" w:ascii="宋体" w:hAnsi="宋体" w:eastAsia="宋体" w:cs="宋体"/>
          <w:b/>
          <w:bCs/>
          <w:color w:val="auto"/>
          <w:kern w:val="0"/>
          <w:sz w:val="24"/>
          <w:szCs w:val="21"/>
        </w:rPr>
        <w:t>十二、不可抗力事件处理</w:t>
      </w:r>
    </w:p>
    <w:p w14:paraId="60AA97F1">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eastAsia="宋体" w:cs="宋体"/>
          <w:color w:val="auto"/>
          <w:kern w:val="0"/>
          <w:sz w:val="24"/>
          <w:szCs w:val="21"/>
          <w:lang w:eastAsia="zh-CN"/>
        </w:rPr>
        <w:t>、</w:t>
      </w:r>
      <w:r>
        <w:rPr>
          <w:rFonts w:hint="eastAsia" w:ascii="宋体" w:hAnsi="宋体" w:eastAsia="宋体" w:cs="宋体"/>
          <w:color w:val="auto"/>
          <w:kern w:val="0"/>
          <w:sz w:val="24"/>
          <w:szCs w:val="21"/>
        </w:rPr>
        <w:t>在合同有效期内，任何一方因不可抗力事件导致不能履行合同，则合同履行期可延长，其延长期与不可抗力影响期相同。</w:t>
      </w:r>
    </w:p>
    <w:p w14:paraId="2E091CF6">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eastAsia="宋体" w:cs="宋体"/>
          <w:color w:val="auto"/>
          <w:kern w:val="0"/>
          <w:sz w:val="24"/>
          <w:szCs w:val="21"/>
          <w:lang w:eastAsia="zh-CN"/>
        </w:rPr>
        <w:t>、</w:t>
      </w:r>
      <w:r>
        <w:rPr>
          <w:rFonts w:hint="eastAsia" w:ascii="宋体" w:hAnsi="宋体" w:eastAsia="宋体" w:cs="宋体"/>
          <w:color w:val="auto"/>
          <w:kern w:val="0"/>
          <w:sz w:val="24"/>
          <w:szCs w:val="21"/>
        </w:rPr>
        <w:t>不可抗力事件发生后，应立即通知对方，并寄送有关权威机构出具的证明。</w:t>
      </w:r>
    </w:p>
    <w:p w14:paraId="3B485416">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3</w:t>
      </w:r>
      <w:r>
        <w:rPr>
          <w:rFonts w:hint="eastAsia" w:ascii="宋体" w:hAnsi="宋体" w:eastAsia="宋体" w:cs="宋体"/>
          <w:color w:val="auto"/>
          <w:kern w:val="0"/>
          <w:sz w:val="24"/>
          <w:szCs w:val="21"/>
          <w:lang w:eastAsia="zh-CN"/>
        </w:rPr>
        <w:t>、</w:t>
      </w:r>
      <w:r>
        <w:rPr>
          <w:rFonts w:hint="eastAsia" w:ascii="宋体" w:hAnsi="宋体" w:eastAsia="宋体" w:cs="宋体"/>
          <w:color w:val="auto"/>
          <w:kern w:val="2"/>
          <w:sz w:val="24"/>
          <w:szCs w:val="24"/>
          <w:highlight w:val="none"/>
          <w:lang w:val="en-US" w:eastAsia="zh-CN" w:bidi="ar-SA"/>
        </w:rPr>
        <w:t>不可抗力事件延续120天以上，双方应通过友好协商，确定是否继续履行合同</w:t>
      </w:r>
      <w:r>
        <w:rPr>
          <w:rFonts w:hint="eastAsia" w:ascii="宋体" w:hAnsi="宋体" w:eastAsia="宋体" w:cs="宋体"/>
          <w:color w:val="auto"/>
          <w:kern w:val="0"/>
          <w:sz w:val="24"/>
          <w:szCs w:val="21"/>
        </w:rPr>
        <w:t>。</w:t>
      </w:r>
    </w:p>
    <w:p w14:paraId="6025F00B">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bCs/>
          <w:color w:val="auto"/>
          <w:kern w:val="0"/>
          <w:sz w:val="24"/>
          <w:szCs w:val="21"/>
        </w:rPr>
      </w:pPr>
      <w:r>
        <w:rPr>
          <w:rFonts w:hint="eastAsia" w:ascii="宋体" w:hAnsi="宋体" w:eastAsia="宋体" w:cs="宋体"/>
          <w:b/>
          <w:bCs/>
          <w:color w:val="auto"/>
          <w:kern w:val="0"/>
          <w:sz w:val="24"/>
          <w:szCs w:val="21"/>
        </w:rPr>
        <w:t>十三、诉讼</w:t>
      </w:r>
    </w:p>
    <w:p w14:paraId="386F6909">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spacing w:val="-8"/>
          <w:kern w:val="0"/>
          <w:sz w:val="24"/>
          <w:szCs w:val="21"/>
        </w:rPr>
      </w:pPr>
      <w:r>
        <w:rPr>
          <w:rFonts w:hint="eastAsia" w:ascii="宋体" w:hAnsi="宋体" w:eastAsia="宋体" w:cs="宋体"/>
          <w:color w:val="auto"/>
          <w:kern w:val="2"/>
          <w:sz w:val="24"/>
          <w:szCs w:val="24"/>
          <w:highlight w:val="none"/>
          <w:lang w:val="en-US" w:eastAsia="zh-CN" w:bidi="ar-SA"/>
        </w:rPr>
        <w:t>双方在执行合同中所发生的一切争议，应通过协商解决。如协商不成，可向采购人所在地法院起诉</w:t>
      </w:r>
      <w:r>
        <w:rPr>
          <w:rFonts w:hint="eastAsia" w:ascii="宋体" w:hAnsi="宋体" w:eastAsia="宋体" w:cs="宋体"/>
          <w:color w:val="auto"/>
          <w:spacing w:val="-8"/>
          <w:kern w:val="0"/>
          <w:sz w:val="24"/>
          <w:szCs w:val="21"/>
        </w:rPr>
        <w:t>。</w:t>
      </w:r>
    </w:p>
    <w:p w14:paraId="75DAD702">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bCs/>
          <w:color w:val="auto"/>
          <w:kern w:val="0"/>
          <w:sz w:val="24"/>
          <w:szCs w:val="21"/>
        </w:rPr>
      </w:pPr>
      <w:r>
        <w:rPr>
          <w:rFonts w:hint="eastAsia" w:ascii="宋体" w:hAnsi="宋体" w:eastAsia="宋体" w:cs="宋体"/>
          <w:b/>
          <w:bCs/>
          <w:color w:val="auto"/>
          <w:kern w:val="0"/>
          <w:sz w:val="24"/>
          <w:szCs w:val="21"/>
        </w:rPr>
        <w:t>十四、合同生效及其它</w:t>
      </w:r>
    </w:p>
    <w:p w14:paraId="1205F67E">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eastAsia="宋体" w:cs="宋体"/>
          <w:color w:val="auto"/>
          <w:kern w:val="2"/>
          <w:sz w:val="24"/>
          <w:szCs w:val="24"/>
          <w:highlight w:val="none"/>
          <w:lang w:val="en-US" w:eastAsia="zh-CN" w:bidi="ar-SA"/>
        </w:rPr>
        <w:t>本合同经采购人、供应商法定代表人或其委托人签字并加盖公章后生效</w:t>
      </w:r>
      <w:r>
        <w:rPr>
          <w:rFonts w:hint="eastAsia" w:ascii="宋体" w:hAnsi="宋体" w:eastAsia="宋体" w:cs="宋体"/>
          <w:color w:val="auto"/>
          <w:kern w:val="0"/>
          <w:sz w:val="24"/>
          <w:szCs w:val="21"/>
        </w:rPr>
        <w:t>。</w:t>
      </w:r>
    </w:p>
    <w:p w14:paraId="3A5DFC08">
      <w:pPr>
        <w:pageBreakBefore w:val="0"/>
        <w:widowControl/>
        <w:tabs>
          <w:tab w:val="left" w:pos="0"/>
          <w:tab w:val="left" w:pos="437"/>
          <w:tab w:val="left" w:pos="1311"/>
        </w:tabs>
        <w:kinsoku/>
        <w:wordWrap/>
        <w:overflowPunct/>
        <w:bidi w:val="0"/>
        <w:adjustRightInd w:val="0"/>
        <w:snapToGrid w:val="0"/>
        <w:spacing w:line="500" w:lineRule="exact"/>
        <w:ind w:firstLine="448"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spacing w:val="-8"/>
          <w:kern w:val="0"/>
          <w:sz w:val="24"/>
          <w:szCs w:val="21"/>
        </w:rPr>
        <w:t>2、</w:t>
      </w:r>
      <w:r>
        <w:rPr>
          <w:rFonts w:hint="eastAsia" w:ascii="宋体" w:hAnsi="宋体" w:eastAsia="宋体" w:cs="宋体"/>
          <w:color w:val="auto"/>
          <w:kern w:val="2"/>
          <w:sz w:val="24"/>
          <w:szCs w:val="24"/>
          <w:highlight w:val="none"/>
          <w:lang w:val="en-US" w:eastAsia="zh-CN" w:bidi="ar-SA"/>
        </w:rPr>
        <w:t>本合同一式陆份，采购人、供应商各执贰份，其余相关部门各壹份</w:t>
      </w:r>
      <w:r>
        <w:rPr>
          <w:rFonts w:hint="eastAsia" w:ascii="宋体" w:hAnsi="宋体" w:eastAsia="宋体" w:cs="宋体"/>
          <w:color w:val="auto"/>
          <w:spacing w:val="-8"/>
          <w:kern w:val="0"/>
          <w:sz w:val="24"/>
          <w:szCs w:val="21"/>
        </w:rPr>
        <w:t>。</w:t>
      </w:r>
    </w:p>
    <w:p w14:paraId="4A414300">
      <w:pPr>
        <w:pStyle w:val="3"/>
        <w:pageBreakBefore w:val="0"/>
        <w:kinsoku/>
        <w:wordWrap/>
        <w:overflowPunct/>
        <w:bidi w:val="0"/>
        <w:spacing w:line="360" w:lineRule="auto"/>
        <w:ind w:firstLine="240" w:firstLineChars="100"/>
        <w:outlineLvl w:val="9"/>
        <w:rPr>
          <w:rFonts w:hint="eastAsia" w:ascii="宋体" w:hAnsi="宋体" w:cs="宋体"/>
          <w:color w:val="auto"/>
          <w:kern w:val="0"/>
          <w:szCs w:val="21"/>
        </w:rPr>
      </w:pPr>
    </w:p>
    <w:p w14:paraId="5392365D">
      <w:pPr>
        <w:pStyle w:val="3"/>
        <w:pageBreakBefore w:val="0"/>
        <w:kinsoku/>
        <w:wordWrap/>
        <w:overflowPunct/>
        <w:bidi w:val="0"/>
        <w:spacing w:line="360" w:lineRule="auto"/>
        <w:ind w:firstLine="240" w:firstLineChars="100"/>
        <w:outlineLvl w:val="9"/>
        <w:rPr>
          <w:rFonts w:ascii="宋体" w:hAnsi="宋体" w:cs="宋体"/>
          <w:color w:val="auto"/>
          <w:kern w:val="0"/>
          <w:szCs w:val="21"/>
        </w:rPr>
      </w:pPr>
      <w:r>
        <w:rPr>
          <w:rFonts w:hint="eastAsia" w:ascii="宋体" w:hAnsi="宋体" w:cs="宋体"/>
          <w:color w:val="auto"/>
          <w:kern w:val="0"/>
          <w:szCs w:val="21"/>
        </w:rPr>
        <w:t xml:space="preserve">采购人（章）：                     </w:t>
      </w:r>
      <w:r>
        <w:rPr>
          <w:rFonts w:ascii="宋体" w:hAnsi="宋体" w:cs="宋体"/>
          <w:color w:val="auto"/>
          <w:kern w:val="0"/>
          <w:szCs w:val="21"/>
        </w:rPr>
        <w:t xml:space="preserve"> </w:t>
      </w:r>
      <w:r>
        <w:rPr>
          <w:rFonts w:hint="eastAsia" w:ascii="宋体" w:hAnsi="宋体" w:cs="宋体"/>
          <w:color w:val="auto"/>
          <w:kern w:val="0"/>
          <w:szCs w:val="21"/>
        </w:rPr>
        <w:t xml:space="preserve">         供应商（章）：         </w:t>
      </w:r>
    </w:p>
    <w:p w14:paraId="02EE2E80">
      <w:pPr>
        <w:pStyle w:val="3"/>
        <w:pageBreakBefore w:val="0"/>
        <w:kinsoku/>
        <w:wordWrap/>
        <w:overflowPunct/>
        <w:bidi w:val="0"/>
        <w:spacing w:line="360" w:lineRule="auto"/>
        <w:ind w:firstLine="240" w:firstLineChars="100"/>
        <w:outlineLvl w:val="9"/>
        <w:rPr>
          <w:rFonts w:hint="eastAsia" w:ascii="宋体" w:hAnsi="宋体" w:cs="宋体"/>
          <w:color w:val="auto"/>
          <w:kern w:val="0"/>
          <w:szCs w:val="21"/>
        </w:rPr>
      </w:pPr>
    </w:p>
    <w:p w14:paraId="2B7FC1D6">
      <w:pPr>
        <w:pStyle w:val="3"/>
        <w:pageBreakBefore w:val="0"/>
        <w:kinsoku/>
        <w:wordWrap/>
        <w:overflowPunct/>
        <w:bidi w:val="0"/>
        <w:spacing w:line="360" w:lineRule="auto"/>
        <w:ind w:firstLine="240" w:firstLineChars="100"/>
        <w:outlineLvl w:val="9"/>
        <w:rPr>
          <w:rFonts w:hint="eastAsia" w:ascii="宋体" w:hAnsi="宋体" w:cs="宋体"/>
          <w:color w:val="auto"/>
          <w:kern w:val="0"/>
          <w:szCs w:val="21"/>
        </w:rPr>
      </w:pPr>
      <w:r>
        <w:rPr>
          <w:rFonts w:hint="eastAsia" w:ascii="宋体" w:hAnsi="宋体" w:cs="宋体"/>
          <w:color w:val="auto"/>
          <w:kern w:val="0"/>
          <w:szCs w:val="21"/>
        </w:rPr>
        <w:t>法定代表人</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法定代表人</w:t>
      </w:r>
    </w:p>
    <w:p w14:paraId="45EC6BF7">
      <w:pPr>
        <w:pStyle w:val="3"/>
        <w:pageBreakBefore w:val="0"/>
        <w:kinsoku/>
        <w:wordWrap/>
        <w:overflowPunct/>
        <w:bidi w:val="0"/>
        <w:spacing w:line="360" w:lineRule="auto"/>
        <w:ind w:firstLine="240" w:firstLineChars="100"/>
        <w:outlineLvl w:val="9"/>
        <w:rPr>
          <w:rFonts w:hint="eastAsia" w:ascii="宋体" w:hAnsi="宋体" w:cs="宋体"/>
          <w:color w:val="auto"/>
          <w:kern w:val="0"/>
          <w:szCs w:val="21"/>
        </w:rPr>
      </w:pPr>
      <w:r>
        <w:rPr>
          <w:rFonts w:hint="eastAsia" w:ascii="宋体" w:hAnsi="宋体" w:cs="宋体"/>
          <w:color w:val="auto"/>
          <w:kern w:val="0"/>
          <w:szCs w:val="21"/>
        </w:rPr>
        <w:t>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r>
        <w:rPr>
          <w:rFonts w:ascii="宋体" w:hAnsi="宋体" w:cs="宋体"/>
          <w:color w:val="auto"/>
          <w:kern w:val="0"/>
          <w:szCs w:val="21"/>
        </w:rPr>
        <w:t xml:space="preserve">   </w:t>
      </w:r>
      <w:r>
        <w:rPr>
          <w:rFonts w:hint="eastAsia" w:ascii="宋体" w:hAnsi="宋体" w:cs="宋体"/>
          <w:color w:val="auto"/>
          <w:kern w:val="0"/>
          <w:szCs w:val="21"/>
        </w:rPr>
        <w:t xml:space="preserve">    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p>
    <w:p w14:paraId="2758A018">
      <w:pPr>
        <w:pageBreakBefore w:val="0"/>
        <w:kinsoku/>
        <w:wordWrap/>
        <w:overflowPunct/>
        <w:bidi w:val="0"/>
        <w:spacing w:line="360" w:lineRule="auto"/>
        <w:jc w:val="center"/>
        <w:outlineLvl w:val="9"/>
        <w:rPr>
          <w:rFonts w:hint="eastAsia" w:ascii="宋体" w:hAnsi="宋体" w:eastAsia="宋体" w:cs="宋体"/>
          <w:color w:val="auto"/>
          <w:kern w:val="0"/>
          <w:sz w:val="24"/>
          <w:szCs w:val="21"/>
          <w:lang w:val="en-US" w:eastAsia="zh-CN" w:bidi="ar-SA"/>
        </w:rPr>
      </w:pPr>
    </w:p>
    <w:p w14:paraId="64E25005">
      <w:pPr>
        <w:pageBreakBefore w:val="0"/>
        <w:kinsoku/>
        <w:wordWrap/>
        <w:overflowPunct/>
        <w:bidi w:val="0"/>
        <w:spacing w:line="360" w:lineRule="auto"/>
        <w:jc w:val="center"/>
        <w:outlineLvl w:val="9"/>
        <w:rPr>
          <w:rFonts w:hint="eastAsia" w:ascii="宋体" w:hAnsi="宋体" w:eastAsia="宋体" w:cs="宋体"/>
          <w:b/>
          <w:bCs/>
          <w:color w:val="auto"/>
          <w:sz w:val="32"/>
          <w:szCs w:val="20"/>
        </w:rPr>
      </w:pPr>
      <w:r>
        <w:rPr>
          <w:rFonts w:hint="eastAsia" w:ascii="宋体" w:hAnsi="宋体" w:eastAsia="宋体" w:cs="宋体"/>
          <w:color w:val="auto"/>
          <w:kern w:val="0"/>
          <w:sz w:val="24"/>
          <w:szCs w:val="21"/>
          <w:lang w:val="en-US" w:eastAsia="zh-CN" w:bidi="ar-SA"/>
        </w:rPr>
        <w:t>年   月   日                                 年   月   日</w:t>
      </w:r>
    </w:p>
    <w:p w14:paraId="2823B003">
      <w:pPr>
        <w:pageBreakBefore w:val="0"/>
        <w:kinsoku/>
        <w:wordWrap/>
        <w:overflowPunct/>
        <w:bidi w:val="0"/>
        <w:spacing w:line="360" w:lineRule="auto"/>
        <w:jc w:val="center"/>
        <w:outlineLvl w:val="9"/>
        <w:rPr>
          <w:rFonts w:hint="eastAsia" w:ascii="宋体" w:hAnsi="宋体" w:eastAsia="宋体" w:cs="宋体"/>
          <w:b/>
          <w:bCs/>
          <w:color w:val="auto"/>
          <w:sz w:val="32"/>
          <w:szCs w:val="20"/>
        </w:rPr>
      </w:pPr>
    </w:p>
    <w:p w14:paraId="28E3A793">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Symbol">
    <w:panose1 w:val="050501020107060205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006596"/>
    <w:rsid w:val="15006596"/>
    <w:rsid w:val="53A112CB"/>
    <w:rsid w:val="64B17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table of figures"/>
    <w:basedOn w:val="1"/>
    <w:next w:val="1"/>
    <w:qFormat/>
    <w:uiPriority w:val="0"/>
    <w:pPr>
      <w:spacing w:line="360" w:lineRule="auto"/>
      <w:ind w:hanging="200"/>
    </w:pPr>
    <w:rPr>
      <w:rFonts w:ascii="宋体"/>
      <w:kern w:val="0"/>
      <w:sz w:val="20"/>
      <w:szCs w:val="20"/>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2087</Words>
  <Characters>2100</Characters>
  <Lines>0</Lines>
  <Paragraphs>0</Paragraphs>
  <TotalTime>1</TotalTime>
  <ScaleCrop>false</ScaleCrop>
  <LinksUpToDate>false</LinksUpToDate>
  <CharactersWithSpaces>2330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2025-08-11T12:02:00Z</dcterms:created>
  <dc:creator>琥珀</dc:creator>
  <cp:lastModifiedBy>WPS_1694750927</cp:lastModifiedBy>
  <dcterms:modified xsi:type="dcterms:W3CDTF">2026-07-22T16:38:17Z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8C795491A6574B009F975A1094BD5821_11</vt:lpwstr>
  </property>
  <property fmtid="{D5CDD505-2E9C-101B-9397-08002B2CF9AE}" pid="4" name="KSOTemplateDocerSaveRecord">
    <vt:lpwstr>eyJoZGlkIjoiZjFmZWIzNDg2MmIzZjExOTIzMmViNTBmYTMwYTk0ZWYiLCJ1c2VySWQiOiIxNTMyNTc4MzYyIn0=</vt:lpwstr>
  </property>
</Properties>
</file>