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版本号：ZZSD20260920260806001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2026年勉县武侯镇艾草种苗繁育及种植示范基地项目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ZZSD202609</w:t>
      </w:r>
      <w:r>
        <w:br/>
      </w:r>
      <w:r>
        <w:br/>
      </w:r>
      <w:r>
        <w:br/>
      </w:r>
    </w:p>
    <w:p>
      <w:pPr>
        <w:pStyle w:val="null3"/>
        <w:jc w:val="center"/>
        <w:outlineLvl w:val="2"/>
      </w:pPr>
      <w:r>
        <w:rPr>
          <w:rFonts w:ascii="仿宋_GB2312" w:hAnsi="仿宋_GB2312" w:cs="仿宋_GB2312" w:eastAsia="仿宋_GB2312"/>
          <w:sz w:val="28"/>
          <w:b/>
        </w:rPr>
        <w:t>勉县武侯镇人民政府</w:t>
      </w:r>
    </w:p>
    <w:p>
      <w:pPr>
        <w:pStyle w:val="null3"/>
        <w:jc w:val="center"/>
        <w:outlineLvl w:val="2"/>
      </w:pPr>
      <w:r>
        <w:rPr>
          <w:rFonts w:ascii="仿宋_GB2312" w:hAnsi="仿宋_GB2312" w:cs="仿宋_GB2312" w:eastAsia="仿宋_GB2312"/>
          <w:sz w:val="28"/>
          <w:b/>
        </w:rPr>
        <w:t>陕西中筑晟达项目管理有限公司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陕西中筑晟达项目管理有限公司</w:t>
      </w:r>
      <w:r>
        <w:rPr>
          <w:rFonts w:ascii="仿宋_GB2312" w:hAnsi="仿宋_GB2312" w:cs="仿宋_GB2312" w:eastAsia="仿宋_GB2312"/>
        </w:rPr>
        <w:t>（以下简称“代理机构”）受</w:t>
      </w:r>
      <w:r>
        <w:rPr>
          <w:rFonts w:ascii="仿宋_GB2312" w:hAnsi="仿宋_GB2312" w:cs="仿宋_GB2312" w:eastAsia="仿宋_GB2312"/>
        </w:rPr>
        <w:t>勉县武侯镇人民政府</w:t>
      </w:r>
      <w:r>
        <w:rPr>
          <w:rFonts w:ascii="仿宋_GB2312" w:hAnsi="仿宋_GB2312" w:cs="仿宋_GB2312" w:eastAsia="仿宋_GB2312"/>
        </w:rPr>
        <w:t>委托，拟对</w:t>
      </w:r>
      <w:r>
        <w:rPr>
          <w:rFonts w:ascii="仿宋_GB2312" w:hAnsi="仿宋_GB2312" w:cs="仿宋_GB2312" w:eastAsia="仿宋_GB2312"/>
        </w:rPr>
        <w:t>2026年勉县武侯镇艾草种苗繁育及种植示范基地项目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ZZSD202609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2026年勉县武侯镇艾草种苗繁育及种植示范基地项目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本次采购项⽬需购置艾草捡拾打捆机两台、艾草联合脱叶机⼀台、抓草机⼀台、⽴式艾叶打捆机两台。满⾜2026年勉县武侯镇艾草种苗繁育及种植⽰范基地项⽬设备采购需求。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采购包1（2026年勉县武侯镇艾草种苗繁育及种植示范基地项目）：属于专门面向中小企业采购。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企业法人或其他组织或自然人，供应商需在项目电子化交易系统中按要求上传相应证明文件并进行电子签章。：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法人身份证或法定代表人授权书及授权代表身份证，供应商需在项目电子化交易系统中按要求上传相应证明文件并进行电子签章。：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需在项目电子化交易系统中按要求上传相应证明文件并进行电子签章。：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供应商提供《汉中市政府采购供应商资格承诺函》。</w:t>
      </w:r>
    </w:p>
    <w:p>
      <w:pPr>
        <w:pStyle w:val="null3"/>
      </w:pPr>
      <w:r>
        <w:rPr>
          <w:rFonts w:ascii="仿宋_GB2312" w:hAnsi="仿宋_GB2312" w:cs="仿宋_GB2312" w:eastAsia="仿宋_GB2312"/>
        </w:rPr>
        <w:t>4、本项目不接受联合体投标，供应商需在项目电子化交易系统中上传非联合体投标声明并进行电子签章。：本项目不接受联合体投标，供应商须提供非联合体投标声明。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勉县武侯镇人民政府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陕西省汉中市勉县武侯镇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张有军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0916-3296117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陕西中筑晟达项目管理有限公司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汉中市汉台区七里街道办新桥花卉市场A栋2-2号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欧阳兵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0916-2228232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采购包1：611,000.00元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开户名称：陕西中筑晟达项目管理有限公司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银行账号：103723074970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勉县武侯镇人民政府</w:t>
      </w:r>
      <w:r>
        <w:rPr>
          <w:rFonts w:ascii="仿宋_GB2312" w:hAnsi="仿宋_GB2312" w:cs="仿宋_GB2312" w:eastAsia="仿宋_GB2312"/>
        </w:rPr>
        <w:t>和</w:t>
      </w:r>
      <w:r>
        <w:rPr>
          <w:rFonts w:ascii="仿宋_GB2312" w:hAnsi="仿宋_GB2312" w:cs="仿宋_GB2312" w:eastAsia="仿宋_GB2312"/>
        </w:rPr>
        <w:t>陕西中筑晟达项目管理有限公司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勉县武侯镇人民政府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陕西中筑晟达项目管理有限公司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勉县武侯镇人民政府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陕西中筑晟达项目管理有限公司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符合国家相关标准、产品质量标准，及项目需求清单约定的验收要求。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陕西中筑晟达项目管理有限公司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陕西中筑晟达项目管理有限公司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陕西中筑晟达项目管理有限公司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联系人：欧阳兵</w:t>
      </w:r>
    </w:p>
    <w:p>
      <w:pPr>
        <w:pStyle w:val="null3"/>
      </w:pPr>
      <w:r>
        <w:rPr>
          <w:rFonts w:ascii="仿宋_GB2312" w:hAnsi="仿宋_GB2312" w:cs="仿宋_GB2312" w:eastAsia="仿宋_GB2312"/>
        </w:rPr>
        <w:t>联系电话：18291833015</w:t>
      </w:r>
    </w:p>
    <w:p>
      <w:pPr>
        <w:pStyle w:val="null3"/>
      </w:pPr>
      <w:r>
        <w:rPr>
          <w:rFonts w:ascii="仿宋_GB2312" w:hAnsi="仿宋_GB2312" w:cs="仿宋_GB2312" w:eastAsia="仿宋_GB2312"/>
        </w:rPr>
        <w:t>地址：汉中市汉台区七里街道办新桥花卉市场A栋2-2号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本次采购项目需购置全棵艾草秸秆捡拾机两台、艾草联合脱叶机一台、装车夹子机一台、立式艾叶打包机两台。满足2026年勉县武侯镇艾草种苗繁育及种植示范基地项目设备采购需求。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611,000.00</w:t>
      </w:r>
    </w:p>
    <w:p>
      <w:pPr>
        <w:pStyle w:val="null3"/>
      </w:pPr>
      <w:r>
        <w:rPr>
          <w:rFonts w:ascii="仿宋_GB2312" w:hAnsi="仿宋_GB2312" w:cs="仿宋_GB2312" w:eastAsia="仿宋_GB2312"/>
        </w:rPr>
        <w:t>采购包最高限价（元）: 611,000.00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立式打捆机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自行式脱叶机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捡拾打捆机（不含拖拉机）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190,000.00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抓草机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标的名称：立式打捆机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液压，压力≥20吨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三开门</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电机功率≥7.5kw，380V/50HZ</w:t>
            </w:r>
          </w:p>
        </w:tc>
      </w:tr>
    </w:tbl>
    <w:p>
      <w:pPr>
        <w:pStyle w:val="null3"/>
      </w:pPr>
      <w:r>
        <w:rPr>
          <w:rFonts w:ascii="仿宋_GB2312" w:hAnsi="仿宋_GB2312" w:cs="仿宋_GB2312" w:eastAsia="仿宋_GB2312"/>
        </w:rPr>
        <w:t>标的名称：自行式脱叶机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结构型式：自走式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配套发动机：国四</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额定功率:≥108kw</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额定转速:≤2400r/min</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工作状态外形尺寸(长x宽x高):7900x2400x3300mm±10%</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驾驶室型式:普通式</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工作行数:不分行</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工作幅宽:≥2200mm</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最小离地间隙:≥360mm</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摘板机构型式:弹齿式</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艾叶升运器:布置位置:中置;结构型式:输送带式</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变速方式:机械式</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卸载方式:升降翻转</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轴距:≥3000mm</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轮距:导向轮:≥1700mm;驱动轮:≥1700mm</w:t>
            </w:r>
          </w:p>
        </w:tc>
      </w:tr>
    </w:tbl>
    <w:p>
      <w:pPr>
        <w:pStyle w:val="null3"/>
      </w:pPr>
      <w:r>
        <w:rPr>
          <w:rFonts w:ascii="仿宋_GB2312" w:hAnsi="仿宋_GB2312" w:cs="仿宋_GB2312" w:eastAsia="仿宋_GB2312"/>
        </w:rPr>
        <w:t>标的名称：捡拾打捆机（不含拖拉机）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配套动力50马力以上拖拉机</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捡拾宽度≥1900mm，总宽度≥2450mm</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草捆形状:方捆</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打结器:打结器数量:≥2个</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草捆长度30-120cm可调,截面44cmx36cm</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打捆重量:25-35kg，艾捆密度可调</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转速≥540r/min</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效率:8-10亩/h</w:t>
            </w:r>
          </w:p>
        </w:tc>
      </w:tr>
    </w:tbl>
    <w:p>
      <w:pPr>
        <w:pStyle w:val="null3"/>
      </w:pPr>
      <w:r>
        <w:rPr>
          <w:rFonts w:ascii="仿宋_GB2312" w:hAnsi="仿宋_GB2312" w:cs="仿宋_GB2312" w:eastAsia="仿宋_GB2312"/>
        </w:rPr>
        <w:t>标的名称：抓草机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柴油发动机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加重桥</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变速箱:十速(高低档)</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举高重量:≥1000kg</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额定功率:≥40kw</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卸载高度：≥4300mm</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最小转弯半径：≤4500mm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勉县武侯镇</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 ，达到付款条件起30个工作日内，支付合同总金额的30.0%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进度款，设备全部送达指定地点并安装、调试完成后，达到付款条件起30个工作日内，支付合同总金额的50.0%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进度款，设备验收且验收合格后，达到付款条件起30个工作日内，支付合同总金额的20.0%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按国家/行业相关标准执行，质量符合法规及采购人提供参数要求；供应商完成设备安装调试至正常运行、提供操作培训，提交设备合格证等资料，经采购人现场查验合格后通过验收。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供应商未按合同供设备、完成安装调试及培训，或设备不达标、存在侵权等，采购 人有权追责，按《中华人民共和国政府采购法》《中华人民共和国民法典》执行；争议先通过和解或调解解决，如不成，则向 汉中市仲裁委员会申请仲裁。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供应商为具有独立承担民事责任能力的企业法人或其他组织或自然人，供应商需在项目电子化交易系统中按要求上传相应证明文件并进行电子签章。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法人身份证或法定代表人授权书及授权代表身份证，供应商需在项目电子化交易系统中按要求上传相应证明文件并进行电子签章。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供应商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本项目不接受联合体投标，供应商需在项目电子化交易系统中上传非联合体投标声明并进行电子签章。</w:t>
            </w:r>
          </w:p>
        </w:tc>
        <w:tc>
          <w:tcPr>
            <w:tcW w:type="dxa" w:w="3322"/>
          </w:tcPr>
          <w:p>
            <w:pPr>
              <w:pStyle w:val="null3"/>
            </w:pPr>
            <w:r>
              <w:rPr>
                <w:rFonts w:ascii="仿宋_GB2312" w:hAnsi="仿宋_GB2312" w:cs="仿宋_GB2312" w:eastAsia="仿宋_GB2312"/>
              </w:rPr>
              <w:t>本项目不接受联合体投标，供应商须提供非联合体投标声明。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符合第六章“投标文件”格式的规定</w:t>
            </w:r>
          </w:p>
        </w:tc>
        <w:tc>
          <w:tcPr>
            <w:tcW w:type="dxa" w:w="1661"/>
          </w:tcPr>
          <w:p>
            <w:pPr>
              <w:pStyle w:val="null3"/>
            </w:pPr>
            <w:r>
              <w:rPr>
                <w:rFonts w:ascii="仿宋_GB2312" w:hAnsi="仿宋_GB2312" w:cs="仿宋_GB2312" w:eastAsia="仿宋_GB2312"/>
              </w:rPr>
              <w:t>投标方案.docx 投标人应提交的相关资格证明材料.docx 产品技术参数表 投标函 残疾人福利性单位声明函 中小企业声明函 商务应答表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只能有一个有效报价，不得提交选择性报价，且报价不超过“投标人须知”前附表规定的采购预算金额。</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符合招标文件要求。签名是指手写签名或者加盖名章，盖章是指加盖单位印章。</w:t>
            </w:r>
          </w:p>
        </w:tc>
        <w:tc>
          <w:tcPr>
            <w:tcW w:type="dxa" w:w="1661"/>
          </w:tcPr>
          <w:p>
            <w:pPr>
              <w:pStyle w:val="null3"/>
            </w:pPr>
            <w:r>
              <w:rPr>
                <w:rFonts w:ascii="仿宋_GB2312" w:hAnsi="仿宋_GB2312" w:cs="仿宋_GB2312" w:eastAsia="仿宋_GB2312"/>
              </w:rPr>
              <w:t>投标方案.docx 开标一览表 产品技术参数表 投标人应提交的相关资格证明材料.docx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符合招标文件规定</w:t>
            </w:r>
          </w:p>
        </w:tc>
        <w:tc>
          <w:tcPr>
            <w:tcW w:type="dxa" w:w="1661"/>
          </w:tcPr>
          <w:p>
            <w:pPr>
              <w:pStyle w:val="null3"/>
            </w:pPr>
            <w:r>
              <w:rPr>
                <w:rFonts w:ascii="仿宋_GB2312" w:hAnsi="仿宋_GB2312" w:cs="仿宋_GB2312" w:eastAsia="仿宋_GB2312"/>
              </w:rPr>
              <w:t>投标方案.docx 产品技术参数表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和配置完全满足招标文件要求的，得39分；带“★”号的技术参数不允许偏离；带“▲”号为重要指标技术参数，偏离在7项以内（含7项），每项扣2分，偏离超过7项，重要指标技术参数评分得0分；不带符号的为一般技术参数，偏离在25项以内（含25项），每项扣1分，偏离超过25项，一般技术参数评分得0分。 注：带“▲”号的技术参数最多偏离7项；不带符号的技术参数最多偏离24项，超过最多偏离项数得0分。一般技术参数按格式技术参数偏离表。</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根据本项目工作特点提供机构建设方案，方案内容包括：①组织机构的运行配备②专业服务团队人员的职能分工。 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三、赋分标准（针对每条评审标准，如存在不合理的方面每项扣0.5分） ①组织机构的运行配备：每完全满足一个评审标准得0.5分，满分1.5分； ②专业服务团队人员的职能分工:每完全满足一个评审标准得0.5分，满分1.5分。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投标人提供2023年1月以来（以合同签订时间为准）的同类项目业绩，每提供一个业绩得2分，最多得8分，未提供不得分；（提供合同扫描件）。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售后质保增值</w:t>
            </w:r>
          </w:p>
        </w:tc>
        <w:tc>
          <w:tcPr>
            <w:tcW w:type="dxa" w:w="2492"/>
          </w:tcPr>
          <w:p>
            <w:pPr>
              <w:pStyle w:val="null3"/>
            </w:pPr>
            <w:r>
              <w:rPr>
                <w:rFonts w:ascii="仿宋_GB2312" w:hAnsi="仿宋_GB2312" w:cs="仿宋_GB2312" w:eastAsia="仿宋_GB2312"/>
              </w:rPr>
              <w:t>本项目售后质保期为一年，每增加一年加1分，最多加3分。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根据项目实际需求提供售后服务方案。内容包含：①售后服务范围、故障处理及补救措施②定期回访及维护。 二、评审标准： 1.完整性：方案须全面，对评审内容中的各项要求有详细描述； 2.可实施性：切合本项目实际情况，提出步骤清晰、合理的方案； 3.针对性：方案能够紧扣项目实际情况，内容科学合理。 三、赋分依据（针对每条评审标准，如存在不合理的方面每项扣0.5分） ①售后服务范围、故障处理及补救措施：每完全满足一个评审标准得0.5分，满分1.5分； ②定期回访及维护:每完全满足一个评审标准得0.5分，满分1.5分。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根据项目实际需求，提供完整详细的项目实施方案。内容包含：①项目总进度计划②供货组织安排③运输方案④安装调试方案⑤物力调配及保障措施⑥应急保障方案。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三、赋分依据（针对每条评审标准，如存在不合理的方面每项扣0.5分） ①项目总进度计划：每完全满足一个评审标准得0.5分，满分1.5分； ②供货组织安排:每完全满足一个评审标准得0.5分，满分1.5分； ③运输方案:每完全满足一个评审标准得0.5分，满分1.5分； ④安装调试方案:每完全满足一个评审标准得0.5分，满分1.5分； ⑤物力调配及保障措施：每完全满足一个评审标准得0.5分，满分1.5分； ⑥应急保障方案：每完全满足一个评审标准得0.5分，满分1.5分。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 ①产品配套资料及产品性能②质量管理体系及保证措施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三、赋分依据（针对每条评审标准，如存在不合理的方面每项扣0.5分） ①产品配套资料及产品性能：每完全满足一个评审标准得0.5分，满分1.5分； ②质量管理体系及保证措施:每完全满足一个评审标准得0.5分，满分1.5分；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针对本项目提供培训方案，为采购人培训操作维护人员，以保障使用过程中能熟练操作、维护和正常使用，培训方案内容包含①培训内容②培训计划安排。 二、评审标准： 1、完整性：切合本项目实际情况，方案内容齐全，对招标文件中各项要求有详细描述及其他内容的补充； 2、可实施性：切合本项目实际情况，叙述合理清楚，符合客观实际情况； 三、赋分标准（针对每条评审标准，如存在不合理的方面每项扣0.5分） ①培训内容：每完全满足一个评审标准得0.5分，满分1分； ②培训计划安排：每完全满足一个评审标准得0.5分，满分1分。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以本次满足投标文件要求的最低投标评审价为评标基准价，其价格为满分。其他投标人的价格分，统一按照下列公式计算：投标报价得分=(评标基准价／投标报价)×100×30%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