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版本号：ZCSP-临渭区-2026-0020220260820001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临渭区2026年农房抗震改造项目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ZCSP-临渭区-2026-00202</w:t>
      </w:r>
      <w:r>
        <w:br/>
      </w:r>
      <w:r>
        <w:br/>
      </w:r>
      <w:r>
        <w:br/>
      </w:r>
    </w:p>
    <w:p>
      <w:pPr>
        <w:pStyle w:val="null3"/>
        <w:jc w:val="center"/>
        <w:outlineLvl w:val="2"/>
      </w:pPr>
      <w:r>
        <w:rPr>
          <w:rFonts w:ascii="仿宋_GB2312" w:hAnsi="仿宋_GB2312" w:cs="仿宋_GB2312" w:eastAsia="仿宋_GB2312"/>
          <w:sz w:val="28"/>
          <w:b/>
        </w:rPr>
        <w:t>陕西省渭南市临渭区住房和城乡建设局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陕西省渭南市临渭区住房和城乡建设局</w:t>
      </w:r>
      <w:r>
        <w:rPr>
          <w:rFonts w:ascii="仿宋_GB2312" w:hAnsi="仿宋_GB2312" w:cs="仿宋_GB2312" w:eastAsia="仿宋_GB2312"/>
        </w:rPr>
        <w:t>委托，拟对</w:t>
      </w:r>
      <w:r>
        <w:rPr>
          <w:rFonts w:ascii="仿宋_GB2312" w:hAnsi="仿宋_GB2312" w:cs="仿宋_GB2312" w:eastAsia="仿宋_GB2312"/>
        </w:rPr>
        <w:t>临渭区2026年农房抗震改造项目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临渭区2026年农房抗震改造项目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对临渭区农村防止返贫致贫对象等群体进行农房抗震改造，同步实施节能改造，完善农房功能，选用科学改造方式减轻农户负担。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采购包1（一标段）：属于专门面向中小企业采购。</w:t>
      </w:r>
    </w:p>
    <w:p>
      <w:pPr>
        <w:pStyle w:val="null3"/>
      </w:pPr>
      <w:r>
        <w:rPr>
          <w:rFonts w:ascii="仿宋_GB2312" w:hAnsi="仿宋_GB2312" w:cs="仿宋_GB2312" w:eastAsia="仿宋_GB2312"/>
        </w:rPr>
        <w:t>采购包2（二标段）：属于专门面向中小企业采购。</w:t>
      </w:r>
    </w:p>
    <w:p>
      <w:pPr>
        <w:pStyle w:val="null3"/>
      </w:pPr>
      <w:r>
        <w:rPr>
          <w:rFonts w:ascii="仿宋_GB2312" w:hAnsi="仿宋_GB2312" w:cs="仿宋_GB2312" w:eastAsia="仿宋_GB2312"/>
        </w:rPr>
        <w:t>采购包3（三标段）：属于专门面向中小企业采购。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凭证：（1）供应商须具备建筑工程施工总承包三级（含三级）及以上资质，并具有有效的安全生产许可证；（2）拟派项目经理须具有建筑工程二级及以上注册建造师资格并具有有效的安全生产考核合格证，且无在建工程；</w:t>
      </w:r>
    </w:p>
    <w:p>
      <w:pPr>
        <w:pStyle w:val="null3"/>
      </w:pPr>
      <w:r>
        <w:rPr>
          <w:rFonts w:ascii="仿宋_GB2312" w:hAnsi="仿宋_GB2312" w:cs="仿宋_GB2312" w:eastAsia="仿宋_GB2312"/>
        </w:rPr>
        <w:t>2、投标保证金：投标保证金交纳凭证</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凭证：（1）供应商须具备建筑工程施工总承包三级（含三级）及以上资质，并具有有效的安全生产许可证；（2）拟派项目经理须具有建筑工程二级及以上注册建造师资格并具有有效的安全生产考核合格证，且无在建工程；</w:t>
      </w:r>
    </w:p>
    <w:p>
      <w:pPr>
        <w:pStyle w:val="null3"/>
      </w:pPr>
      <w:r>
        <w:rPr>
          <w:rFonts w:ascii="仿宋_GB2312" w:hAnsi="仿宋_GB2312" w:cs="仿宋_GB2312" w:eastAsia="仿宋_GB2312"/>
        </w:rPr>
        <w:t>2、投标保证金：投标保证金交纳凭证</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格凭证：（1）供应商须具备建筑工程施工总承包三级（含三级）及以上资质，并具有有效的安全生产许可证；（2）拟派项目经理须具有建筑工程二级及以上注册建造师资格并具有有效的安全生产考核合格证，且无在建工程；</w:t>
      </w:r>
    </w:p>
    <w:p>
      <w:pPr>
        <w:pStyle w:val="null3"/>
      </w:pPr>
      <w:r>
        <w:rPr>
          <w:rFonts w:ascii="仿宋_GB2312" w:hAnsi="仿宋_GB2312" w:cs="仿宋_GB2312" w:eastAsia="仿宋_GB2312"/>
        </w:rPr>
        <w:t>2、投标保证金：投标保证金交纳凭证</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陕西省渭南市临渭区住房和城乡建设局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陕西省渭南市临渭区住房和城乡建设局经办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0913-3039762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采购包1：1,048,000.00元</w:t>
            </w:r>
          </w:p>
          <w:p>
            <w:pPr>
              <w:pStyle w:val="null3"/>
            </w:pPr>
            <w:r>
              <w:rPr>
                <w:rFonts w:ascii="仿宋_GB2312" w:hAnsi="仿宋_GB2312" w:cs="仿宋_GB2312" w:eastAsia="仿宋_GB2312"/>
              </w:rPr>
              <w:t>采购包2：1,048,000.00元</w:t>
            </w:r>
          </w:p>
          <w:p>
            <w:pPr>
              <w:pStyle w:val="null3"/>
            </w:pPr>
            <w:r>
              <w:rPr>
                <w:rFonts w:ascii="仿宋_GB2312" w:hAnsi="仿宋_GB2312" w:cs="仿宋_GB2312" w:eastAsia="仿宋_GB2312"/>
              </w:rPr>
              <w:t>采购包3：786,000.00元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采购包3保证金金额：8,000.00元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陕西省渭南市临渭区住房和城乡建设局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陕西省渭南市临渭区住房和城乡建设局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陕西省渭南市临渭区住房和城乡建设局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质量标准：作业服务达到国家及行业验收合格标准，符合临渭区2026年农房抗震改造项目要求。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质量标准：作业服务达到国家及行业验收合格标准，符合临渭区2026年农房抗震改造项目要求。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质量标准：作业服务达到国家及行业验收合格标准，符合临渭区2026年农房抗震改造项目要求。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联系人：董鹏飞</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对临渭区农村防止返贫致贫对象等群体进行农房抗震改造，同步实施节能改造，完善农房功能，选用科学改造方式减轻农户负担。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1,048,000.00</w:t>
      </w:r>
    </w:p>
    <w:p>
      <w:pPr>
        <w:pStyle w:val="null3"/>
      </w:pPr>
      <w:r>
        <w:rPr>
          <w:rFonts w:ascii="仿宋_GB2312" w:hAnsi="仿宋_GB2312" w:cs="仿宋_GB2312" w:eastAsia="仿宋_GB2312"/>
        </w:rPr>
        <w:t>采购包最高限价（元）: 1,048,000.00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临渭区2026年农房抗震改造项目一标段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1,048,000.00</w:t>
      </w:r>
    </w:p>
    <w:p>
      <w:pPr>
        <w:pStyle w:val="null3"/>
      </w:pPr>
      <w:r>
        <w:rPr>
          <w:rFonts w:ascii="仿宋_GB2312" w:hAnsi="仿宋_GB2312" w:cs="仿宋_GB2312" w:eastAsia="仿宋_GB2312"/>
        </w:rPr>
        <w:t>采购包最高限价（元）: 1,048,000.00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临渭区2026年农房抗震改造项目二标段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786,000.00</w:t>
      </w:r>
    </w:p>
    <w:p>
      <w:pPr>
        <w:pStyle w:val="null3"/>
      </w:pPr>
      <w:r>
        <w:rPr>
          <w:rFonts w:ascii="仿宋_GB2312" w:hAnsi="仿宋_GB2312" w:cs="仿宋_GB2312" w:eastAsia="仿宋_GB2312"/>
        </w:rPr>
        <w:t>采购包最高限价（元）: 786,000.00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临渭区2026年农房抗震改造项目三标段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标的名称：临渭区2026年农房抗震改造项目一标段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1.标准户服务内容量化清单</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15"/>
              <w:gridCol w:w="1125"/>
              <w:gridCol w:w="670"/>
              <w:gridCol w:w="536"/>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工作内容</w:t>
                  </w:r>
                </w:p>
              </w:tc>
              <w:tc>
                <w:tcPr>
                  <w:tcW w:type="dxa" w:w="67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工程量</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铲除现有墙面</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涂料墙面</w:t>
                  </w:r>
                </w:p>
              </w:tc>
              <w:tc>
                <w:tcPr>
                  <w:tcW w:type="dxa" w:w="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卧室拆除、新作窗户（</w:t>
                  </w:r>
                  <w:r>
                    <w:rPr>
                      <w:rFonts w:ascii="仿宋_GB2312" w:hAnsi="仿宋_GB2312" w:cs="仿宋_GB2312" w:eastAsia="仿宋_GB2312"/>
                      <w:sz w:val="18"/>
                      <w:color w:val="000000"/>
                    </w:rPr>
                    <w:t>1.7m*1.8m）</w:t>
                  </w:r>
                </w:p>
              </w:tc>
              <w:tc>
                <w:tcPr>
                  <w:tcW w:type="dxa" w:w="67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2樘</w:t>
                  </w:r>
                </w:p>
              </w:tc>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三选一</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卧室拆除、新作保温门（</w:t>
                  </w:r>
                  <w:r>
                    <w:rPr>
                      <w:rFonts w:ascii="仿宋_GB2312" w:hAnsi="仿宋_GB2312" w:cs="仿宋_GB2312" w:eastAsia="仿宋_GB2312"/>
                      <w:sz w:val="18"/>
                      <w:color w:val="000000"/>
                    </w:rPr>
                    <w:t>2.1m*1.0m）</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1樘</w:t>
                  </w:r>
                </w:p>
              </w:tc>
              <w:tc>
                <w:tcPr>
                  <w:tcW w:type="dxa" w:w="536"/>
                  <w:vMerge/>
                  <w:tcBorders>
                    <w:top w:val="none" w:color="000000" w:sz="4"/>
                    <w:left w:val="single" w:color="000000" w:sz="4"/>
                    <w:bottom w:val="single" w:color="000000" w:sz="4"/>
                    <w:right w:val="single" w:color="000000" w:sz="4"/>
                  </w:tcBorders>
                </w:tc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卧室吊顶</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vMerge/>
                  <w:tcBorders>
                    <w:top w:val="none" w:color="000000" w:sz="4"/>
                    <w:left w:val="single" w:color="000000" w:sz="4"/>
                    <w:bottom w:val="single" w:color="000000" w:sz="4"/>
                    <w:right w:val="single" w:color="000000" w:sz="4"/>
                  </w:tcBorders>
                </w:tc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高延性混凝土抹面（洞口加固、墙体裂缝修补，底板修复）</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线路整理及恢复</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垃圾清理</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设计及鉴定费</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注：本项目实际结算标准依据：标准户</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实际完成户数进行结算（按在标准户完成任务后，</w:t>
                  </w:r>
                </w:p>
                <w:p>
                  <w:pPr>
                    <w:pStyle w:val="null3"/>
                    <w:jc w:val="left"/>
                  </w:pPr>
                  <w:r>
                    <w:rPr>
                      <w:rFonts w:ascii="仿宋_GB2312" w:hAnsi="仿宋_GB2312" w:cs="仿宋_GB2312" w:eastAsia="仿宋_GB2312"/>
                      <w:sz w:val="16"/>
                      <w:b/>
                      <w:color w:val="000000"/>
                    </w:rPr>
                    <w:t>额外增加工程量最后另行结算）</w:t>
                  </w:r>
                  <w:r>
                    <w:rPr>
                      <w:rFonts w:ascii="仿宋_GB2312" w:hAnsi="仿宋_GB2312" w:cs="仿宋_GB2312" w:eastAsia="仿宋_GB2312"/>
                      <w:sz w:val="16"/>
                      <w:color w:val="000000"/>
                    </w:rPr>
                    <w:t>。</w:t>
                  </w:r>
                </w:p>
              </w:tc>
            </w:tr>
          </w:tbl>
          <w:p>
            <w:pPr>
              <w:pStyle w:val="null3"/>
            </w:pPr>
            <w:r>
              <w:rPr>
                <w:rFonts w:ascii="仿宋_GB2312" w:hAnsi="仿宋_GB2312" w:cs="仿宋_GB2312" w:eastAsia="仿宋_GB2312"/>
              </w:rPr>
              <w:t>2.服务内容：</w:t>
            </w:r>
          </w:p>
          <w:p>
            <w:pPr>
              <w:pStyle w:val="null3"/>
            </w:pPr>
            <w:r>
              <w:rPr>
                <w:rFonts w:ascii="仿宋_GB2312" w:hAnsi="仿宋_GB2312" w:cs="仿宋_GB2312" w:eastAsia="仿宋_GB2312"/>
              </w:rPr>
              <w:t>（1）服务地点：孝义镇片区及其周边（服务内容由采购人根据情况另行分配。）</w:t>
            </w:r>
          </w:p>
          <w:p>
            <w:pPr>
              <w:pStyle w:val="null3"/>
            </w:pPr>
            <w:r>
              <w:rPr>
                <w:rFonts w:ascii="仿宋_GB2312" w:hAnsi="仿宋_GB2312" w:cs="仿宋_GB2312" w:eastAsia="仿宋_GB2312"/>
              </w:rPr>
              <w:t>（2）服务数量：约40户；</w:t>
            </w:r>
          </w:p>
          <w:p>
            <w:pPr>
              <w:pStyle w:val="null3"/>
            </w:pPr>
            <w:r>
              <w:rPr>
                <w:rFonts w:ascii="仿宋_GB2312" w:hAnsi="仿宋_GB2312" w:cs="仿宋_GB2312" w:eastAsia="仿宋_GB2312"/>
              </w:rPr>
              <w:t>3.组织保障</w:t>
            </w:r>
          </w:p>
          <w:p>
            <w:pPr>
              <w:pStyle w:val="null3"/>
            </w:pPr>
            <w:r>
              <w:rPr>
                <w:rFonts w:ascii="仿宋_GB2312" w:hAnsi="仿宋_GB2312" w:cs="仿宋_GB2312" w:eastAsia="仿宋_GB2312"/>
              </w:rPr>
              <w:t>（1）中标单位中标并签订合同后，开始进行本项目服务内容。</w:t>
            </w:r>
          </w:p>
          <w:p>
            <w:pPr>
              <w:pStyle w:val="null3"/>
            </w:pPr>
            <w:r>
              <w:rPr>
                <w:rFonts w:ascii="仿宋_GB2312" w:hAnsi="仿宋_GB2312" w:cs="仿宋_GB2312" w:eastAsia="仿宋_GB2312"/>
              </w:rPr>
              <w:t>（2）根据工作方案安排，中标单位2个工作日内成立项目组织机构，机构各小组应职责明确、分工合理，任务安排到位。最晚于2026年10月31日完成本项目所有内容。服务期间保证整个团队运作高效，对采购单位提出的工作要求，在不晚于3个工作日内作出积极正面响应。</w:t>
            </w:r>
          </w:p>
          <w:p>
            <w:pPr>
              <w:pStyle w:val="null3"/>
            </w:pPr>
            <w:r>
              <w:rPr>
                <w:rFonts w:ascii="仿宋_GB2312" w:hAnsi="仿宋_GB2312" w:cs="仿宋_GB2312" w:eastAsia="仿宋_GB2312"/>
              </w:rPr>
              <w:t>（3）保证项目提交资料的齐全性，完整性。</w:t>
            </w:r>
          </w:p>
          <w:p>
            <w:pPr>
              <w:pStyle w:val="null3"/>
            </w:pPr>
            <w:r>
              <w:rPr>
                <w:rFonts w:ascii="仿宋_GB2312" w:hAnsi="仿宋_GB2312" w:cs="仿宋_GB2312" w:eastAsia="仿宋_GB2312"/>
              </w:rPr>
              <w:t>4.项目团队保障</w:t>
            </w:r>
          </w:p>
          <w:p>
            <w:pPr>
              <w:pStyle w:val="null3"/>
            </w:pPr>
            <w:r>
              <w:rPr>
                <w:rFonts w:ascii="仿宋_GB2312" w:hAnsi="仿宋_GB2312" w:cs="仿宋_GB2312" w:eastAsia="仿宋_GB2312"/>
              </w:rPr>
              <w:t>成交后，供应商派驻一名项目负责人，一名技术负责人对作业过程中作业进度、服务质量、作业人员管理进行总协调，确保技术措施的落实，按时参加采购人组织的相关会议和活动，服从采购人的工作制度和工作规范。</w:t>
            </w:r>
          </w:p>
          <w:p>
            <w:pPr>
              <w:pStyle w:val="null3"/>
            </w:pPr>
            <w:r>
              <w:rPr>
                <w:rFonts w:ascii="仿宋_GB2312" w:hAnsi="仿宋_GB2312" w:cs="仿宋_GB2312" w:eastAsia="仿宋_GB2312"/>
              </w:rPr>
              <w:t>5.其他服务要求</w:t>
            </w:r>
          </w:p>
          <w:p>
            <w:pPr>
              <w:pStyle w:val="null3"/>
            </w:pPr>
            <w:r>
              <w:rPr>
                <w:rFonts w:ascii="仿宋_GB2312" w:hAnsi="仿宋_GB2312" w:cs="仿宋_GB2312" w:eastAsia="仿宋_GB2312"/>
              </w:rPr>
              <w:t>（1）服务内容建设要求安全卫生、科学完整、设计合理；</w:t>
            </w:r>
          </w:p>
          <w:p>
            <w:pPr>
              <w:pStyle w:val="null3"/>
            </w:pPr>
            <w:r>
              <w:rPr>
                <w:rFonts w:ascii="仿宋_GB2312" w:hAnsi="仿宋_GB2312" w:cs="仿宋_GB2312" w:eastAsia="仿宋_GB2312"/>
              </w:rPr>
              <w:t>（2）针对本项目特点，制定科学有效的技术方案和工作方案；常规巡检要对问题及时发现、及时提交并处理；</w:t>
            </w:r>
          </w:p>
          <w:p>
            <w:pPr>
              <w:pStyle w:val="null3"/>
            </w:pPr>
            <w:r>
              <w:rPr>
                <w:rFonts w:ascii="仿宋_GB2312" w:hAnsi="仿宋_GB2312" w:cs="仿宋_GB2312" w:eastAsia="仿宋_GB2312"/>
              </w:rPr>
              <w:t>（3）中标人负责中标标段内的所有服务内容；</w:t>
            </w:r>
          </w:p>
          <w:p>
            <w:pPr>
              <w:pStyle w:val="null3"/>
            </w:pPr>
            <w:r>
              <w:rPr>
                <w:rFonts w:ascii="仿宋_GB2312" w:hAnsi="仿宋_GB2312" w:cs="仿宋_GB2312" w:eastAsia="仿宋_GB2312"/>
              </w:rPr>
              <w:t>（4）中标人向采购人提供全方位的技术服务，在项目实施的各个阶段中，项目负责人提供24小时内的电话服务支持，4小时内随时到场；</w:t>
            </w:r>
          </w:p>
          <w:p>
            <w:pPr>
              <w:pStyle w:val="null3"/>
            </w:pPr>
            <w:r>
              <w:rPr>
                <w:rFonts w:ascii="仿宋_GB2312" w:hAnsi="仿宋_GB2312" w:cs="仿宋_GB2312" w:eastAsia="仿宋_GB2312"/>
              </w:rPr>
              <w:t>（5）中标人要随时响应采购人提出合同内的要求。</w:t>
            </w:r>
          </w:p>
          <w:p>
            <w:pPr>
              <w:pStyle w:val="null3"/>
            </w:pPr>
            <w:r>
              <w:rPr>
                <w:rFonts w:ascii="仿宋_GB2312" w:hAnsi="仿宋_GB2312" w:cs="仿宋_GB2312" w:eastAsia="仿宋_GB2312"/>
              </w:rPr>
              <w:t>（6）采购人可根据本项目各标段的服务进度、服务数量及实际情况，对各标段的服务内容进行一定程度的调整，确保本项目确保服务质量的情况下按期完成。</w:t>
            </w:r>
          </w:p>
          <w:p>
            <w:pPr>
              <w:pStyle w:val="null3"/>
            </w:pPr>
            <w:r>
              <w:rPr>
                <w:rFonts w:ascii="仿宋_GB2312" w:hAnsi="仿宋_GB2312" w:cs="仿宋_GB2312" w:eastAsia="仿宋_GB2312"/>
              </w:rPr>
              <w:t>（7）中标（成交）后，供应商向采购人提供项目整体服务方案和安全责任协议等，其内容包括管理机构的设置、各主要岗位的技术和管理员名单、资质、联系方式及各工种技术工人的安排、项目实施进度安排、技术措施等状况。</w:t>
            </w:r>
          </w:p>
          <w:p>
            <w:pPr>
              <w:pStyle w:val="null3"/>
            </w:pPr>
            <w:r>
              <w:rPr>
                <w:rFonts w:ascii="仿宋_GB2312" w:hAnsi="仿宋_GB2312" w:cs="仿宋_GB2312" w:eastAsia="仿宋_GB2312"/>
              </w:rPr>
              <w:t>（8）严格按照项目要求进行作业，作业前按项目要求筹备各项作业器械、材料、工具等，按技术规定进行作业。</w:t>
            </w:r>
          </w:p>
          <w:p>
            <w:pPr>
              <w:pStyle w:val="null3"/>
            </w:pPr>
            <w:r>
              <w:rPr>
                <w:rFonts w:ascii="仿宋_GB2312" w:hAnsi="仿宋_GB2312" w:cs="仿宋_GB2312" w:eastAsia="仿宋_GB2312"/>
              </w:rPr>
              <w:t>（9）协助采购人及时组织召开检查验收、作业效果评价和竣工验收工作会议。</w:t>
            </w:r>
          </w:p>
          <w:p>
            <w:pPr>
              <w:pStyle w:val="null3"/>
            </w:pPr>
            <w:r>
              <w:rPr>
                <w:rFonts w:ascii="仿宋_GB2312" w:hAnsi="仿宋_GB2312" w:cs="仿宋_GB2312" w:eastAsia="仿宋_GB2312"/>
              </w:rPr>
              <w:t>（10）中标（成交）供应商向采购人提交施工作业过程性资料和项目报告，按相关要求执行。</w:t>
            </w:r>
          </w:p>
          <w:p>
            <w:pPr>
              <w:pStyle w:val="null3"/>
            </w:pPr>
            <w:r>
              <w:rPr>
                <w:rFonts w:ascii="仿宋_GB2312" w:hAnsi="仿宋_GB2312" w:cs="仿宋_GB2312" w:eastAsia="仿宋_GB2312"/>
              </w:rPr>
              <w:t>（11）供应商所拟派的工作人员，若在服务期间发生任何伤害，采购人概不负责，由供应商自行处理。</w:t>
            </w:r>
          </w:p>
          <w:p>
            <w:pPr>
              <w:pStyle w:val="null3"/>
            </w:pPr>
            <w:r>
              <w:rPr>
                <w:rFonts w:ascii="仿宋_GB2312" w:hAnsi="仿宋_GB2312" w:cs="仿宋_GB2312" w:eastAsia="仿宋_GB2312"/>
              </w:rPr>
              <w:t>（12）有各类突发事件的应急预案和措施，有明确具体的承诺。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标的名称：临渭区2026年农房抗震改造项目二标段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1.标准户服务内容量化清单</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15"/>
              <w:gridCol w:w="1125"/>
              <w:gridCol w:w="670"/>
              <w:gridCol w:w="536"/>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工作内容</w:t>
                  </w:r>
                </w:p>
              </w:tc>
              <w:tc>
                <w:tcPr>
                  <w:tcW w:type="dxa" w:w="67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工程量</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铲除现有墙面</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涂料墙面</w:t>
                  </w:r>
                </w:p>
              </w:tc>
              <w:tc>
                <w:tcPr>
                  <w:tcW w:type="dxa" w:w="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卧室拆除、新作窗户（</w:t>
                  </w:r>
                  <w:r>
                    <w:rPr>
                      <w:rFonts w:ascii="仿宋_GB2312" w:hAnsi="仿宋_GB2312" w:cs="仿宋_GB2312" w:eastAsia="仿宋_GB2312"/>
                      <w:sz w:val="18"/>
                      <w:color w:val="000000"/>
                    </w:rPr>
                    <w:t>1.7m*1.8m）</w:t>
                  </w:r>
                </w:p>
              </w:tc>
              <w:tc>
                <w:tcPr>
                  <w:tcW w:type="dxa" w:w="67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2樘</w:t>
                  </w:r>
                </w:p>
              </w:tc>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三选一</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卧室拆除、新作保温门（</w:t>
                  </w:r>
                  <w:r>
                    <w:rPr>
                      <w:rFonts w:ascii="仿宋_GB2312" w:hAnsi="仿宋_GB2312" w:cs="仿宋_GB2312" w:eastAsia="仿宋_GB2312"/>
                      <w:sz w:val="18"/>
                      <w:color w:val="000000"/>
                    </w:rPr>
                    <w:t>2.1m*1.0m）</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1樘</w:t>
                  </w:r>
                </w:p>
              </w:tc>
              <w:tc>
                <w:tcPr>
                  <w:tcW w:type="dxa" w:w="536"/>
                  <w:vMerge/>
                  <w:tcBorders>
                    <w:top w:val="none" w:color="000000" w:sz="4"/>
                    <w:left w:val="single" w:color="000000" w:sz="4"/>
                    <w:bottom w:val="single" w:color="000000" w:sz="4"/>
                    <w:right w:val="single" w:color="000000" w:sz="4"/>
                  </w:tcBorders>
                </w:tc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卧室吊顶</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vMerge/>
                  <w:tcBorders>
                    <w:top w:val="none" w:color="000000" w:sz="4"/>
                    <w:left w:val="single" w:color="000000" w:sz="4"/>
                    <w:bottom w:val="single" w:color="000000" w:sz="4"/>
                    <w:right w:val="single" w:color="000000" w:sz="4"/>
                  </w:tcBorders>
                </w:tc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高延性混凝土抹面（洞口加固、墙体裂缝修补，底板修复）</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线路整理及恢复</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垃圾清理</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设计及鉴定费</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注：本项目实际结算标准依据：标准户</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实际完成户数进行结算（按在标准户完成任务后，</w:t>
                  </w:r>
                </w:p>
                <w:p>
                  <w:pPr>
                    <w:pStyle w:val="null3"/>
                    <w:jc w:val="left"/>
                  </w:pPr>
                  <w:r>
                    <w:rPr>
                      <w:rFonts w:ascii="仿宋_GB2312" w:hAnsi="仿宋_GB2312" w:cs="仿宋_GB2312" w:eastAsia="仿宋_GB2312"/>
                      <w:sz w:val="16"/>
                      <w:b/>
                      <w:color w:val="000000"/>
                    </w:rPr>
                    <w:t>额外增加工程量最后另行结算）</w:t>
                  </w:r>
                  <w:r>
                    <w:rPr>
                      <w:rFonts w:ascii="仿宋_GB2312" w:hAnsi="仿宋_GB2312" w:cs="仿宋_GB2312" w:eastAsia="仿宋_GB2312"/>
                      <w:sz w:val="16"/>
                      <w:color w:val="000000"/>
                    </w:rPr>
                    <w:t>。</w:t>
                  </w:r>
                </w:p>
              </w:tc>
            </w:tr>
          </w:tbl>
          <w:p>
            <w:pPr>
              <w:pStyle w:val="null3"/>
            </w:pPr>
            <w:r>
              <w:rPr>
                <w:rFonts w:ascii="仿宋_GB2312" w:hAnsi="仿宋_GB2312" w:cs="仿宋_GB2312" w:eastAsia="仿宋_GB2312"/>
              </w:rPr>
              <w:t>2.服务内容：</w:t>
            </w:r>
          </w:p>
          <w:p>
            <w:pPr>
              <w:pStyle w:val="null3"/>
            </w:pPr>
            <w:r>
              <w:rPr>
                <w:rFonts w:ascii="仿宋_GB2312" w:hAnsi="仿宋_GB2312" w:cs="仿宋_GB2312" w:eastAsia="仿宋_GB2312"/>
              </w:rPr>
              <w:t>（1）服务地点：孝义镇片区及其周边（服务内容由采购人根据情况另行分配。）</w:t>
            </w:r>
          </w:p>
          <w:p>
            <w:pPr>
              <w:pStyle w:val="null3"/>
            </w:pPr>
            <w:r>
              <w:rPr>
                <w:rFonts w:ascii="仿宋_GB2312" w:hAnsi="仿宋_GB2312" w:cs="仿宋_GB2312" w:eastAsia="仿宋_GB2312"/>
              </w:rPr>
              <w:t>（2）服务数量：约40户；</w:t>
            </w:r>
          </w:p>
          <w:p>
            <w:pPr>
              <w:pStyle w:val="null3"/>
            </w:pPr>
            <w:r>
              <w:rPr>
                <w:rFonts w:ascii="仿宋_GB2312" w:hAnsi="仿宋_GB2312" w:cs="仿宋_GB2312" w:eastAsia="仿宋_GB2312"/>
              </w:rPr>
              <w:t>3.组织保障</w:t>
            </w:r>
          </w:p>
          <w:p>
            <w:pPr>
              <w:pStyle w:val="null3"/>
            </w:pPr>
            <w:r>
              <w:rPr>
                <w:rFonts w:ascii="仿宋_GB2312" w:hAnsi="仿宋_GB2312" w:cs="仿宋_GB2312" w:eastAsia="仿宋_GB2312"/>
              </w:rPr>
              <w:t>（1）中标单位中标并签订合同后，开始进行本项目服务内容。</w:t>
            </w:r>
          </w:p>
          <w:p>
            <w:pPr>
              <w:pStyle w:val="null3"/>
            </w:pPr>
            <w:r>
              <w:rPr>
                <w:rFonts w:ascii="仿宋_GB2312" w:hAnsi="仿宋_GB2312" w:cs="仿宋_GB2312" w:eastAsia="仿宋_GB2312"/>
              </w:rPr>
              <w:t>（2）根据工作方案安排，中标单位2个工作日内成立项目组织机构，机构各小组应职责明确、分工合理，任务安排到位。最晚于2026年10月31日完成本项目所有内容。服务期间保证整个团队运作高效，对采购单位提出的工作要求，在不晚于3个工作日内作出积极正面响应。</w:t>
            </w:r>
          </w:p>
          <w:p>
            <w:pPr>
              <w:pStyle w:val="null3"/>
            </w:pPr>
            <w:r>
              <w:rPr>
                <w:rFonts w:ascii="仿宋_GB2312" w:hAnsi="仿宋_GB2312" w:cs="仿宋_GB2312" w:eastAsia="仿宋_GB2312"/>
              </w:rPr>
              <w:t>（3）保证项目提交资料的齐全性，完整性。</w:t>
            </w:r>
          </w:p>
          <w:p>
            <w:pPr>
              <w:pStyle w:val="null3"/>
            </w:pPr>
            <w:r>
              <w:rPr>
                <w:rFonts w:ascii="仿宋_GB2312" w:hAnsi="仿宋_GB2312" w:cs="仿宋_GB2312" w:eastAsia="仿宋_GB2312"/>
              </w:rPr>
              <w:t>4.项目团队保障</w:t>
            </w:r>
          </w:p>
          <w:p>
            <w:pPr>
              <w:pStyle w:val="null3"/>
            </w:pPr>
            <w:r>
              <w:rPr>
                <w:rFonts w:ascii="仿宋_GB2312" w:hAnsi="仿宋_GB2312" w:cs="仿宋_GB2312" w:eastAsia="仿宋_GB2312"/>
              </w:rPr>
              <w:t>成交后，供应商派驻一名项目负责人，一名技术负责人对作业过程中作业进度、服务质量、作业人员管理进行总协调，确保技术措施的落实，按时参加采购人组织的相关会议和活动，服从采购人的工作制度和工作规范。</w:t>
            </w:r>
          </w:p>
          <w:p>
            <w:pPr>
              <w:pStyle w:val="null3"/>
            </w:pPr>
            <w:r>
              <w:rPr>
                <w:rFonts w:ascii="仿宋_GB2312" w:hAnsi="仿宋_GB2312" w:cs="仿宋_GB2312" w:eastAsia="仿宋_GB2312"/>
              </w:rPr>
              <w:t>5.其他服务要求</w:t>
            </w:r>
          </w:p>
          <w:p>
            <w:pPr>
              <w:pStyle w:val="null3"/>
            </w:pPr>
            <w:r>
              <w:rPr>
                <w:rFonts w:ascii="仿宋_GB2312" w:hAnsi="仿宋_GB2312" w:cs="仿宋_GB2312" w:eastAsia="仿宋_GB2312"/>
              </w:rPr>
              <w:t>（1）服务内容建设要求安全卫生、科学完整、设计合理；</w:t>
            </w:r>
          </w:p>
          <w:p>
            <w:pPr>
              <w:pStyle w:val="null3"/>
            </w:pPr>
            <w:r>
              <w:rPr>
                <w:rFonts w:ascii="仿宋_GB2312" w:hAnsi="仿宋_GB2312" w:cs="仿宋_GB2312" w:eastAsia="仿宋_GB2312"/>
              </w:rPr>
              <w:t>（2）针对本项目特点，制定科学有效的技术方案和工作方案；常规巡检要对问题及时发现、及时提交并处理；</w:t>
            </w:r>
          </w:p>
          <w:p>
            <w:pPr>
              <w:pStyle w:val="null3"/>
            </w:pPr>
            <w:r>
              <w:rPr>
                <w:rFonts w:ascii="仿宋_GB2312" w:hAnsi="仿宋_GB2312" w:cs="仿宋_GB2312" w:eastAsia="仿宋_GB2312"/>
              </w:rPr>
              <w:t>（3）中标人负责中标标段内的所有服务内容；</w:t>
            </w:r>
          </w:p>
          <w:p>
            <w:pPr>
              <w:pStyle w:val="null3"/>
            </w:pPr>
            <w:r>
              <w:rPr>
                <w:rFonts w:ascii="仿宋_GB2312" w:hAnsi="仿宋_GB2312" w:cs="仿宋_GB2312" w:eastAsia="仿宋_GB2312"/>
              </w:rPr>
              <w:t>（4）中标人向采购人提供全方位的技术服务，在项目实施的各个阶段中，项目负责人提供24小时内的电话服务支持，4小时内随时到场；</w:t>
            </w:r>
          </w:p>
          <w:p>
            <w:pPr>
              <w:pStyle w:val="null3"/>
            </w:pPr>
            <w:r>
              <w:rPr>
                <w:rFonts w:ascii="仿宋_GB2312" w:hAnsi="仿宋_GB2312" w:cs="仿宋_GB2312" w:eastAsia="仿宋_GB2312"/>
              </w:rPr>
              <w:t>（5）中标人要随时响应采购人提出合同内的要求。</w:t>
            </w:r>
          </w:p>
          <w:p>
            <w:pPr>
              <w:pStyle w:val="null3"/>
            </w:pPr>
            <w:r>
              <w:rPr>
                <w:rFonts w:ascii="仿宋_GB2312" w:hAnsi="仿宋_GB2312" w:cs="仿宋_GB2312" w:eastAsia="仿宋_GB2312"/>
              </w:rPr>
              <w:t>（6）采购人可根据本项目各标段的服务进度、服务数量及实际情况，对各标段的服务内容进行一定程度的调整，确保本项目确保服务质量的情况下按期完成。</w:t>
            </w:r>
          </w:p>
          <w:p>
            <w:pPr>
              <w:pStyle w:val="null3"/>
            </w:pPr>
            <w:r>
              <w:rPr>
                <w:rFonts w:ascii="仿宋_GB2312" w:hAnsi="仿宋_GB2312" w:cs="仿宋_GB2312" w:eastAsia="仿宋_GB2312"/>
              </w:rPr>
              <w:t>（7）中标（成交）后，供应商向采购人提供项目整体服务方案和安全责任协议等，其内容包括管理机构的设置、各主要岗位的技术和管理员名单、资质、联系方式及各工种技术工人的安排、项目实施进度安排、技术措施等状况。</w:t>
            </w:r>
          </w:p>
          <w:p>
            <w:pPr>
              <w:pStyle w:val="null3"/>
            </w:pPr>
            <w:r>
              <w:rPr>
                <w:rFonts w:ascii="仿宋_GB2312" w:hAnsi="仿宋_GB2312" w:cs="仿宋_GB2312" w:eastAsia="仿宋_GB2312"/>
              </w:rPr>
              <w:t>（8）严格按照项目要求进行作业，作业前按项目要求筹备各项作业器械、材料、工具等，按技术规定进行作业。</w:t>
            </w:r>
          </w:p>
          <w:p>
            <w:pPr>
              <w:pStyle w:val="null3"/>
            </w:pPr>
            <w:r>
              <w:rPr>
                <w:rFonts w:ascii="仿宋_GB2312" w:hAnsi="仿宋_GB2312" w:cs="仿宋_GB2312" w:eastAsia="仿宋_GB2312"/>
              </w:rPr>
              <w:t>（9）协助采购人及时组织召开检查验收、作业效果评价和竣工验收工作会议。</w:t>
            </w:r>
          </w:p>
          <w:p>
            <w:pPr>
              <w:pStyle w:val="null3"/>
            </w:pPr>
            <w:r>
              <w:rPr>
                <w:rFonts w:ascii="仿宋_GB2312" w:hAnsi="仿宋_GB2312" w:cs="仿宋_GB2312" w:eastAsia="仿宋_GB2312"/>
              </w:rPr>
              <w:t>（10）中标（成交）供应商向采购人提交施工作业过程性资料和项目报告，按相关要求执行。</w:t>
            </w:r>
          </w:p>
          <w:p>
            <w:pPr>
              <w:pStyle w:val="null3"/>
            </w:pPr>
            <w:r>
              <w:rPr>
                <w:rFonts w:ascii="仿宋_GB2312" w:hAnsi="仿宋_GB2312" w:cs="仿宋_GB2312" w:eastAsia="仿宋_GB2312"/>
              </w:rPr>
              <w:t>（11）供应商所拟派的工作人员，若在服务期间发生任何伤害，采购人概不负责，由供应商自行处理。</w:t>
            </w:r>
          </w:p>
          <w:p>
            <w:pPr>
              <w:pStyle w:val="null3"/>
            </w:pPr>
            <w:r>
              <w:rPr>
                <w:rFonts w:ascii="仿宋_GB2312" w:hAnsi="仿宋_GB2312" w:cs="仿宋_GB2312" w:eastAsia="仿宋_GB2312"/>
              </w:rPr>
              <w:t>（12）有各类突发事件的应急预案和措施，有明确具体的承诺。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标的名称：临渭区2026年农房抗震改造项目三标段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1.标准户服务内容量化清单</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15"/>
              <w:gridCol w:w="1125"/>
              <w:gridCol w:w="670"/>
              <w:gridCol w:w="536"/>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工作内容</w:t>
                  </w:r>
                </w:p>
              </w:tc>
              <w:tc>
                <w:tcPr>
                  <w:tcW w:type="dxa" w:w="67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工程量</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铲除现有墙面</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涂料墙面</w:t>
                  </w:r>
                </w:p>
              </w:tc>
              <w:tc>
                <w:tcPr>
                  <w:tcW w:type="dxa" w:w="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卧室拆除、新作窗户（</w:t>
                  </w:r>
                  <w:r>
                    <w:rPr>
                      <w:rFonts w:ascii="仿宋_GB2312" w:hAnsi="仿宋_GB2312" w:cs="仿宋_GB2312" w:eastAsia="仿宋_GB2312"/>
                      <w:sz w:val="18"/>
                      <w:color w:val="000000"/>
                    </w:rPr>
                    <w:t>1.7m*1.8m）</w:t>
                  </w:r>
                </w:p>
              </w:tc>
              <w:tc>
                <w:tcPr>
                  <w:tcW w:type="dxa" w:w="67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2樘</w:t>
                  </w:r>
                </w:p>
              </w:tc>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三选一</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卧室拆除、新作保温门（</w:t>
                  </w:r>
                  <w:r>
                    <w:rPr>
                      <w:rFonts w:ascii="仿宋_GB2312" w:hAnsi="仿宋_GB2312" w:cs="仿宋_GB2312" w:eastAsia="仿宋_GB2312"/>
                      <w:sz w:val="18"/>
                      <w:color w:val="000000"/>
                    </w:rPr>
                    <w:t>2.1m*1.0m）</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1樘</w:t>
                  </w:r>
                </w:p>
              </w:tc>
              <w:tc>
                <w:tcPr>
                  <w:tcW w:type="dxa" w:w="536"/>
                  <w:vMerge/>
                  <w:tcBorders>
                    <w:top w:val="none" w:color="000000" w:sz="4"/>
                    <w:left w:val="single" w:color="000000" w:sz="4"/>
                    <w:bottom w:val="single" w:color="000000" w:sz="4"/>
                    <w:right w:val="single" w:color="000000" w:sz="4"/>
                  </w:tcBorders>
                </w:tc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卧室吊顶</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vMerge/>
                  <w:tcBorders>
                    <w:top w:val="none" w:color="000000" w:sz="4"/>
                    <w:left w:val="single" w:color="000000" w:sz="4"/>
                    <w:bottom w:val="single" w:color="000000" w:sz="4"/>
                    <w:right w:val="single" w:color="000000" w:sz="4"/>
                  </w:tcBorders>
                </w:tc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高延性混凝土抹面（洞口加固、墙体裂缝修补，底板修复）</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线路整理及恢复</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垃圾清理</w:t>
                  </w:r>
                </w:p>
              </w:tc>
              <w:tc>
                <w:tcPr>
                  <w:tcW w:type="dxa" w:w="67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设计及鉴定费</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1户</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注：本项目实际结算标准依据：标准户</w:t>
                  </w:r>
                  <w:r>
                    <w:rPr>
                      <w:rFonts w:ascii="仿宋_GB2312" w:hAnsi="仿宋_GB2312" w:cs="仿宋_GB2312" w:eastAsia="仿宋_GB2312"/>
                      <w:sz w:val="16"/>
                      <w:b/>
                      <w:color w:val="000000"/>
                    </w:rPr>
                    <w:t>×</w:t>
                  </w:r>
                  <w:r>
                    <w:rPr>
                      <w:rFonts w:ascii="仿宋_GB2312" w:hAnsi="仿宋_GB2312" w:cs="仿宋_GB2312" w:eastAsia="仿宋_GB2312"/>
                      <w:sz w:val="16"/>
                      <w:b/>
                      <w:color w:val="000000"/>
                    </w:rPr>
                    <w:t>实际完成户数进行结算（按在标准户完成任务后，</w:t>
                  </w:r>
                </w:p>
                <w:p>
                  <w:pPr>
                    <w:pStyle w:val="null3"/>
                    <w:jc w:val="left"/>
                  </w:pPr>
                  <w:r>
                    <w:rPr>
                      <w:rFonts w:ascii="仿宋_GB2312" w:hAnsi="仿宋_GB2312" w:cs="仿宋_GB2312" w:eastAsia="仿宋_GB2312"/>
                      <w:sz w:val="16"/>
                      <w:b/>
                      <w:color w:val="000000"/>
                    </w:rPr>
                    <w:t>额外增加工程量最后另行结算）</w:t>
                  </w:r>
                  <w:r>
                    <w:rPr>
                      <w:rFonts w:ascii="仿宋_GB2312" w:hAnsi="仿宋_GB2312" w:cs="仿宋_GB2312" w:eastAsia="仿宋_GB2312"/>
                      <w:sz w:val="16"/>
                      <w:color w:val="000000"/>
                    </w:rPr>
                    <w:t>。</w:t>
                  </w:r>
                </w:p>
              </w:tc>
            </w:tr>
          </w:tbl>
          <w:p>
            <w:pPr>
              <w:pStyle w:val="null3"/>
            </w:pPr>
            <w:r>
              <w:rPr>
                <w:rFonts w:ascii="仿宋_GB2312" w:hAnsi="仿宋_GB2312" w:cs="仿宋_GB2312" w:eastAsia="仿宋_GB2312"/>
              </w:rPr>
              <w:t>2.服务内容：</w:t>
            </w:r>
          </w:p>
          <w:p>
            <w:pPr>
              <w:pStyle w:val="null3"/>
            </w:pPr>
            <w:r>
              <w:rPr>
                <w:rFonts w:ascii="仿宋_GB2312" w:hAnsi="仿宋_GB2312" w:cs="仿宋_GB2312" w:eastAsia="仿宋_GB2312"/>
              </w:rPr>
              <w:t>（1）服务地点：崇凝镇片区及其周边（服务内容由采购人根据情况另行分配。）</w:t>
            </w:r>
          </w:p>
          <w:p>
            <w:pPr>
              <w:pStyle w:val="null3"/>
            </w:pPr>
            <w:r>
              <w:rPr>
                <w:rFonts w:ascii="仿宋_GB2312" w:hAnsi="仿宋_GB2312" w:cs="仿宋_GB2312" w:eastAsia="仿宋_GB2312"/>
              </w:rPr>
              <w:t>（2）服务数量：约30户；</w:t>
            </w:r>
          </w:p>
          <w:p>
            <w:pPr>
              <w:pStyle w:val="null3"/>
            </w:pPr>
            <w:r>
              <w:rPr>
                <w:rFonts w:ascii="仿宋_GB2312" w:hAnsi="仿宋_GB2312" w:cs="仿宋_GB2312" w:eastAsia="仿宋_GB2312"/>
              </w:rPr>
              <w:t>3.组织保障</w:t>
            </w:r>
          </w:p>
          <w:p>
            <w:pPr>
              <w:pStyle w:val="null3"/>
            </w:pPr>
            <w:r>
              <w:rPr>
                <w:rFonts w:ascii="仿宋_GB2312" w:hAnsi="仿宋_GB2312" w:cs="仿宋_GB2312" w:eastAsia="仿宋_GB2312"/>
              </w:rPr>
              <w:t>（1）中标单位中标并签订合同后，开始进行本项目服务内容。</w:t>
            </w:r>
          </w:p>
          <w:p>
            <w:pPr>
              <w:pStyle w:val="null3"/>
            </w:pPr>
            <w:r>
              <w:rPr>
                <w:rFonts w:ascii="仿宋_GB2312" w:hAnsi="仿宋_GB2312" w:cs="仿宋_GB2312" w:eastAsia="仿宋_GB2312"/>
              </w:rPr>
              <w:t>（2）根据工作方案安排，中标单位2个工作日内成立项目组织机构，机构各小组应职责明确、分工合理，任务安排到位。最晚于2026年10月31日完成本项目所有内容。服务期间保证整个团队运作高效，对采购单位提出的工作要求，在不晚于3个工作日内作出积极正面响应。</w:t>
            </w:r>
          </w:p>
          <w:p>
            <w:pPr>
              <w:pStyle w:val="null3"/>
            </w:pPr>
            <w:r>
              <w:rPr>
                <w:rFonts w:ascii="仿宋_GB2312" w:hAnsi="仿宋_GB2312" w:cs="仿宋_GB2312" w:eastAsia="仿宋_GB2312"/>
              </w:rPr>
              <w:t>（3）保证项目提交资料的齐全性，完整性。</w:t>
            </w:r>
          </w:p>
          <w:p>
            <w:pPr>
              <w:pStyle w:val="null3"/>
            </w:pPr>
            <w:r>
              <w:rPr>
                <w:rFonts w:ascii="仿宋_GB2312" w:hAnsi="仿宋_GB2312" w:cs="仿宋_GB2312" w:eastAsia="仿宋_GB2312"/>
              </w:rPr>
              <w:t>4.项目团队保障</w:t>
            </w:r>
          </w:p>
          <w:p>
            <w:pPr>
              <w:pStyle w:val="null3"/>
            </w:pPr>
            <w:r>
              <w:rPr>
                <w:rFonts w:ascii="仿宋_GB2312" w:hAnsi="仿宋_GB2312" w:cs="仿宋_GB2312" w:eastAsia="仿宋_GB2312"/>
              </w:rPr>
              <w:t>成交后，供应商派驻一名项目负责人，一名技术负责人对作业过程中作业进度、服务质量、作业人员管理进行总协调，确保技术措施的落实，按时参加采购人组织的相关会议和活动，服从采购人的工作制度和工作规范。</w:t>
            </w:r>
          </w:p>
          <w:p>
            <w:pPr>
              <w:pStyle w:val="null3"/>
            </w:pPr>
            <w:r>
              <w:rPr>
                <w:rFonts w:ascii="仿宋_GB2312" w:hAnsi="仿宋_GB2312" w:cs="仿宋_GB2312" w:eastAsia="仿宋_GB2312"/>
              </w:rPr>
              <w:t>5.其他服务要求</w:t>
            </w:r>
          </w:p>
          <w:p>
            <w:pPr>
              <w:pStyle w:val="null3"/>
            </w:pPr>
            <w:r>
              <w:rPr>
                <w:rFonts w:ascii="仿宋_GB2312" w:hAnsi="仿宋_GB2312" w:cs="仿宋_GB2312" w:eastAsia="仿宋_GB2312"/>
              </w:rPr>
              <w:t>（1）服务内容建设要求安全卫生、科学完整、设计合理；</w:t>
            </w:r>
          </w:p>
          <w:p>
            <w:pPr>
              <w:pStyle w:val="null3"/>
            </w:pPr>
            <w:r>
              <w:rPr>
                <w:rFonts w:ascii="仿宋_GB2312" w:hAnsi="仿宋_GB2312" w:cs="仿宋_GB2312" w:eastAsia="仿宋_GB2312"/>
              </w:rPr>
              <w:t>（2）针对本项目特点，制定科学有效的技术方案和工作方案；常规巡检要对问题及时发现、及时提交并处理；</w:t>
            </w:r>
          </w:p>
          <w:p>
            <w:pPr>
              <w:pStyle w:val="null3"/>
            </w:pPr>
            <w:r>
              <w:rPr>
                <w:rFonts w:ascii="仿宋_GB2312" w:hAnsi="仿宋_GB2312" w:cs="仿宋_GB2312" w:eastAsia="仿宋_GB2312"/>
              </w:rPr>
              <w:t>（3）中标人负责中标标段内的所有服务内容；</w:t>
            </w:r>
          </w:p>
          <w:p>
            <w:pPr>
              <w:pStyle w:val="null3"/>
            </w:pPr>
            <w:r>
              <w:rPr>
                <w:rFonts w:ascii="仿宋_GB2312" w:hAnsi="仿宋_GB2312" w:cs="仿宋_GB2312" w:eastAsia="仿宋_GB2312"/>
              </w:rPr>
              <w:t>（4）中标人向采购人提供全方位的技术服务，在项目实施的各个阶段中，项目负责人提供24小时内的电话服务支持，4小时内随时到场；</w:t>
            </w:r>
          </w:p>
          <w:p>
            <w:pPr>
              <w:pStyle w:val="null3"/>
            </w:pPr>
            <w:r>
              <w:rPr>
                <w:rFonts w:ascii="仿宋_GB2312" w:hAnsi="仿宋_GB2312" w:cs="仿宋_GB2312" w:eastAsia="仿宋_GB2312"/>
              </w:rPr>
              <w:t>（5）中标人要随时响应采购人提出合同内的要求。</w:t>
            </w:r>
          </w:p>
          <w:p>
            <w:pPr>
              <w:pStyle w:val="null3"/>
            </w:pPr>
            <w:r>
              <w:rPr>
                <w:rFonts w:ascii="仿宋_GB2312" w:hAnsi="仿宋_GB2312" w:cs="仿宋_GB2312" w:eastAsia="仿宋_GB2312"/>
              </w:rPr>
              <w:t>（6）采购人可根据本项目各标段的服务进度、服务数量及实际情况，对各标段的服务内容进行一定程度的调整，确保本项目确保服务质量的情况下按期完成。</w:t>
            </w:r>
          </w:p>
          <w:p>
            <w:pPr>
              <w:pStyle w:val="null3"/>
            </w:pPr>
            <w:r>
              <w:rPr>
                <w:rFonts w:ascii="仿宋_GB2312" w:hAnsi="仿宋_GB2312" w:cs="仿宋_GB2312" w:eastAsia="仿宋_GB2312"/>
              </w:rPr>
              <w:t>（7）中标（成交）后，供应商向采购人提供项目整体服务方案和安全责任协议等，其内容包括管理机构的设置、各主要岗位的技术和管理员名单、资质、联系方式及各工种技术工人的安排、项目实施进度安排、技术措施等状况。</w:t>
            </w:r>
          </w:p>
          <w:p>
            <w:pPr>
              <w:pStyle w:val="null3"/>
            </w:pPr>
            <w:r>
              <w:rPr>
                <w:rFonts w:ascii="仿宋_GB2312" w:hAnsi="仿宋_GB2312" w:cs="仿宋_GB2312" w:eastAsia="仿宋_GB2312"/>
              </w:rPr>
              <w:t>（8）严格按照项目要求进行作业，作业前按项目要求筹备各项作业器械、材料、工具等，按技术规定进行作业。</w:t>
            </w:r>
          </w:p>
          <w:p>
            <w:pPr>
              <w:pStyle w:val="null3"/>
            </w:pPr>
            <w:r>
              <w:rPr>
                <w:rFonts w:ascii="仿宋_GB2312" w:hAnsi="仿宋_GB2312" w:cs="仿宋_GB2312" w:eastAsia="仿宋_GB2312"/>
              </w:rPr>
              <w:t>（9）协助采购人及时组织召开检查验收、作业效果评价和竣工验收工作会议。</w:t>
            </w:r>
          </w:p>
          <w:p>
            <w:pPr>
              <w:pStyle w:val="null3"/>
            </w:pPr>
            <w:r>
              <w:rPr>
                <w:rFonts w:ascii="仿宋_GB2312" w:hAnsi="仿宋_GB2312" w:cs="仿宋_GB2312" w:eastAsia="仿宋_GB2312"/>
              </w:rPr>
              <w:t>（10）中标（成交）供应商向采购人提交施工作业过程性资料和项目报告，按相关要求执行。</w:t>
            </w:r>
          </w:p>
          <w:p>
            <w:pPr>
              <w:pStyle w:val="null3"/>
            </w:pPr>
            <w:r>
              <w:rPr>
                <w:rFonts w:ascii="仿宋_GB2312" w:hAnsi="仿宋_GB2312" w:cs="仿宋_GB2312" w:eastAsia="仿宋_GB2312"/>
              </w:rPr>
              <w:t>（11）供应商所拟派的工作人员，若在服务期间发生任何伤害，采购人概不负责，由供应商自行处理。</w:t>
            </w:r>
          </w:p>
          <w:p>
            <w:pPr>
              <w:pStyle w:val="null3"/>
            </w:pPr>
            <w:r>
              <w:rPr>
                <w:rFonts w:ascii="仿宋_GB2312" w:hAnsi="仿宋_GB2312" w:cs="仿宋_GB2312" w:eastAsia="仿宋_GB2312"/>
              </w:rPr>
              <w:t>（12）有各类突发事件的应急预案和措施，有明确具体的承诺。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本项目最终根据实际服务完成的户数和中标供应商的每户报价进行据实结算，每户报价不得高于2.62万元/户，否则按无效投标处理。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本项目最终根据实际服务完成的户数和中标供应商的每户报价进行据实结算，每户报价不得高于2.62万元/户，否则按无效投标处理。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本项目最终根据实际服务完成的户数和中标供应商的每户报价进行据实结算，每户报价不得高于2.62万元/户，否则按无效投标处理。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自合同签订之日起至2026年10月31日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孝义镇片区及其周边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孝义镇片区及其周边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崇凝镇片区及其周边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质量标准：作业服务达到国家及行业验收合格标准，符合临渭区2026年农房抗震改造项目要求。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质量标准：作业服务达到国家及行业验收合格标准，符合临渭区2026年农房抗震改造项目要求。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质量标准：作业服务达到国家及行业验收合格标准，符合临渭区2026年农房抗震改造项目要求。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进度款，本项目服务费用根据项目实施进度进行支付，完成所有内容并验收合格后，采购人根据实际完成情况据实结算。，达到付款条件起10个工作日内，支付合同总金额的100.0%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进度款，本项目服务费用根据项目实施进度进行支付，完成所有内容并验收合格后，采购人根据实际完成情况据实结算。，达到付款条件起10个工作日内，支付合同总金额的100.0%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进度款，本项目服务费用根据项目实施进度进行支付，完成所有内容并验收合格后，采购人根据实际完成情况据实结算。，达到付款条件起10个工作日内，支付合同总金额的100.0%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3.3商务要求”内容为实质性要求，不响应按无效投标处理；（2）根据《政府采购法实施条例》释义，银行、保险、石油石化、电力、电信等有行业特殊情况的，允许法人的分支机构参加政府采购活动。（3）纸质版文件要求：中标（成交）供应商在中标（成交）结果公告发布后3个工作日内提供叁套纸质投标文件（经编标工具生成的文件直接打印并加盖公章），递交的纸质版文件内容确保与线上电子文件保持一致，不允许修改和补充。（4）中小企业划型标准规定：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资格凭证</w:t>
            </w:r>
          </w:p>
        </w:tc>
        <w:tc>
          <w:tcPr>
            <w:tcW w:type="dxa" w:w="3322"/>
          </w:tcPr>
          <w:p>
            <w:pPr>
              <w:pStyle w:val="null3"/>
            </w:pPr>
            <w:r>
              <w:rPr>
                <w:rFonts w:ascii="仿宋_GB2312" w:hAnsi="仿宋_GB2312" w:cs="仿宋_GB2312" w:eastAsia="仿宋_GB2312"/>
              </w:rPr>
              <w:t>（1）供应商须具备建筑工程施工总承包三级（含三级）及以上资质，并具有有效的安全生产许可证；（2）拟派项目经理须具有建筑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资格凭证</w:t>
            </w:r>
          </w:p>
        </w:tc>
        <w:tc>
          <w:tcPr>
            <w:tcW w:type="dxa" w:w="3322"/>
          </w:tcPr>
          <w:p>
            <w:pPr>
              <w:pStyle w:val="null3"/>
            </w:pPr>
            <w:r>
              <w:rPr>
                <w:rFonts w:ascii="仿宋_GB2312" w:hAnsi="仿宋_GB2312" w:cs="仿宋_GB2312" w:eastAsia="仿宋_GB2312"/>
              </w:rPr>
              <w:t>（1）供应商须具备建筑工程施工总承包三级（含三级）及以上资质，并具有有效的安全生产许可证；（2）拟派项目经理须具有建筑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资格凭证</w:t>
            </w:r>
          </w:p>
        </w:tc>
        <w:tc>
          <w:tcPr>
            <w:tcW w:type="dxa" w:w="3322"/>
          </w:tcPr>
          <w:p>
            <w:pPr>
              <w:pStyle w:val="null3"/>
            </w:pPr>
            <w:r>
              <w:rPr>
                <w:rFonts w:ascii="仿宋_GB2312" w:hAnsi="仿宋_GB2312" w:cs="仿宋_GB2312" w:eastAsia="仿宋_GB2312"/>
              </w:rPr>
              <w:t>（1）供应商须具备建筑工程施工总承包三级（含三级）及以上资质，并具有有效的安全生产许可证；（2）拟派项目经理须具有建筑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投标文件按招标文件要求进行签章</w:t>
            </w:r>
          </w:p>
        </w:tc>
        <w:tc>
          <w:tcPr>
            <w:tcW w:type="dxa" w:w="1661"/>
          </w:tcPr>
          <w:p>
            <w:pPr>
              <w:pStyle w:val="null3"/>
            </w:pPr>
            <w:r>
              <w:rPr>
                <w:rFonts w:ascii="仿宋_GB2312" w:hAnsi="仿宋_GB2312" w:cs="仿宋_GB2312" w:eastAsia="仿宋_GB2312"/>
              </w:rPr>
              <w:t>开标一览表 分项报价表一标段.docx 中小企业声明函 商务应答表 服务内容及服务要求应答表 政府采购供应商拒绝政府采购领域商业贿赂承诺书.docx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分项报价表一标段.docx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分项报价表一标段.docx 中小企业声明函 商务应答表 服务内容及服务要求应答表 政府采购供应商拒绝政府采购领域商业贿赂承诺书.docx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开标一览表 分项报价表一标段.docx 中小企业声明函 商务应答表 服务内容及服务要求应答表 政府采购供应商拒绝政府采购领域商业贿赂承诺书.docx 投标函 残疾人福利性单位声明函 服务方案 标的清单 投标文件封面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投标文件按招标文件要求进行签章</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投标函 残疾人福利性单位声明函 服务方案 标的清单 投标文件封面 供应商资格证明文件.docx 分项报价表二标段.docx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分项报价表二标段.docx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投标函 残疾人福利性单位声明函 服务方案 标的清单 投标文件封面 供应商资格证明文件.docx 分项报价表二标段.docx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投标函 残疾人福利性单位声明函 服务方案 标的清单 投标文件封面 供应商资格证明文件.docx 分项报价表二标段.docx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投标文件按招标文件要求进行签章</w:t>
            </w:r>
          </w:p>
        </w:tc>
        <w:tc>
          <w:tcPr>
            <w:tcW w:type="dxa" w:w="1661"/>
          </w:tcPr>
          <w:p>
            <w:pPr>
              <w:pStyle w:val="null3"/>
            </w:pPr>
            <w:r>
              <w:rPr>
                <w:rFonts w:ascii="仿宋_GB2312" w:hAnsi="仿宋_GB2312" w:cs="仿宋_GB2312" w:eastAsia="仿宋_GB2312"/>
              </w:rPr>
              <w:t>开标一览表 中小企业声明函 商务应答表 服务内容及服务要求应答表 分项报价表三标段.docx 政府采购供应商拒绝政府采购领域商业贿赂承诺书.docx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分项报价表三标段.docx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中小企业声明函 商务应答表 服务内容及服务要求应答表 分项报价表三标段.docx 政府采购供应商拒绝政府采购领域商业贿赂承诺书.docx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开标一览表 中小企业声明函 商务应答表 服务内容及服务要求应答表 分项报价表三标段.docx 政府采购供应商拒绝政府采购领域商业贿赂承诺书.docx 投标函 残疾人福利性单位声明函 服务方案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投标人近三年（2023年8月至今）具有类似项目业绩（以合同签订日期为准）。 一个业绩得1分，最高得5分。投标人须提供业绩合同复印件加盖公章，未按要求提供不得分。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人员配备：拟投入的项目管理机构人员结构合理、岗位职责明确，除项目经理外，项目管理机构每配备1人得2分，本项最高得20分； 注：需提供佐证材料，包括但不限于身份证、毕业证、岗位证等任一均可，未提供不得分。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依据项目内容配置所需设施设备；提供证明材料（需提供以下材料至少一项，亦可提交其他相关证明材料，例如：设备实物图、发票、合同等），每配备一项设备（不同类型）得2分，最多得16分。未提供证明材料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评审内容： 供应商针对本项目的理解程度，包含①项目需求理解；②预期效果评估；③重难点分析。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 供应商针对本项目提供总体实施方案，包含①农房检查修复方案；②外部维修改造方案；③内部维修改造方案；④实施过程中的组织与协调方案。 评审标准： 每一条评审内容不存在缺陷得3分；满分12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供应商针对本项目提供服务质量的保障措施，包含①农房原有构件保护措施；②改造完工后的成品保护机制；③服务质量承诺。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 供应商针对本项目提供安全保障措施，包含①安全管理措施；②实施过程中农户人身及财产安全防护措施；③应急处理方案。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分项报价表一标段.docx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满足招标文件要求且报价最低的价格为基准价得20分，其他各投标人的报价得分按下列公式计算： 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分项报价表一标段.docx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投标人近三年（2023年8月至今）具有类似项目业绩（以合同签订日期为准）。 一个业绩得1分，最高得5分。投标人须提供业绩合同复印件加盖公章，未按要求提供不得分。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人员配备：拟投入的项目管理机构人员结构合理、岗位职责明确，除项目经理外，项目管理机构每配备1人得2分，本项最高得20分； 注：需提供佐证材料，包括但不限于身份证、毕业证、岗位证等任一均可，未提供不得分。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依据项目内容配置所需设施设备；提供证明材料（需提供以下材料至少一项，亦可提交其他相关证明材料，例如：设备实物图、发票、合同等），每配备一项设备（不同类型）得2分，最多得16分。未提供证明材料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评审内容： 供应商针对本项目的理解程度，包含①项目需求理解；②预期效果评估；③重难点分析。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 供应商针对本项目提供总体实施方案，包含①农房检查修复方案；②外部维修改造方案；③内部维修改造方案；④实施过程中的组织与协调方案。 评审标准： 每一条评审内容不存在缺陷得3分；满分12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供应商针对本项目提供服务质量的保障措施，包含①农房原有构件保护措施；②改造完工后的成品保护机制；③服务质量承诺。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 供应商针对本项目提供安全保障措施，包含①安全管理措施；②实施过程中农户人身及财产安全防护措施；③应急处理方案。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分项报价表二标段.docx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满足招标文件要求且报价最低的价格为基准价得20分，其他各投标人的报价得分按下列公式计算： 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分项报价表二标段.docx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投标人近三年（2023年8月至今）具有类似项目业绩（以合同签订日期为准）。 一个业绩得1分，最高得5分。投标人须提供业绩合同复印件加盖公章，未按要求提供不得分。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人员配备：拟投入的项目管理机构人员结构合理、岗位职责明确，除项目经理外，项目管理机构每配备1人得2分，本项最高得20分； 注：需提供佐证材料，包括但不限于身份证、毕业证、岗位证等任一均可，未提供不得分。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依据项目内容配置所需设施设备；提供证明材料（需提供以下材料至少一项，亦可提交其他相关证明材料，例如：设备实物图、发票、合同等），每配备一项设备（不同类型）得2分，最多得16分。未提供证明材料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评审内容： 供应商针对本项目的理解程度，包含①项目需求理解；②预期效果评估；③重难点分析。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 供应商针对本项目提供总体实施方案，包含①农房检查修复方案；②外部维修改造方案；③内部维修改造方案；④实施过程中的组织与协调方案。 评审标准： 每一条评审内容不存在缺陷得3分；满分12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供应商针对本项目提供服务质量的保障措施，包含①农房原有构件保护措施；②改造完工后的成品保护机制；③服务质量承诺。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 供应商针对本项目提供安全保障措施，包含①安全管理措施；②实施过程中农户人身及财产安全防护措施；③应急处理方案。 评审标准： 每一条评审内容不存在缺陷得3分；满分9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分项报价表三标段.docx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满足招标文件要求且报价最低的价格为基准价得20分，其他各投标人的报价得分按下列公式计算： 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分项报价表三标段.docx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详见附件：分项报价表一标段.docx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详见附件：分项报价表二标段.docx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详见附件：分项报价表三标段.docx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