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2B38A">
      <w:pPr>
        <w:pStyle w:val="9"/>
        <w:rPr>
          <w:rFonts w:hint="eastAsia"/>
        </w:rPr>
      </w:pPr>
      <w:bookmarkStart w:id="0" w:name="_Toc958"/>
      <w:bookmarkStart w:id="1" w:name="_Toc20261"/>
      <w:bookmarkStart w:id="2" w:name="_Toc22698"/>
      <w:bookmarkStart w:id="3" w:name="_Toc3436"/>
      <w:bookmarkStart w:id="4" w:name="_Toc26197"/>
      <w:bookmarkStart w:id="5" w:name="_Toc165138187"/>
      <w:bookmarkStart w:id="6" w:name="_Toc31685"/>
      <w:r>
        <w:rPr>
          <w:rFonts w:hint="eastAsia"/>
        </w:rPr>
        <w:t>合同主要条款</w:t>
      </w:r>
      <w:bookmarkEnd w:id="0"/>
      <w:bookmarkEnd w:id="1"/>
      <w:bookmarkEnd w:id="2"/>
      <w:bookmarkEnd w:id="3"/>
      <w:bookmarkEnd w:id="4"/>
      <w:bookmarkEnd w:id="5"/>
      <w:bookmarkEnd w:id="6"/>
    </w:p>
    <w:p w14:paraId="15E81BD0">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2EF8F02">
      <w:pPr>
        <w:spacing w:line="360" w:lineRule="auto"/>
        <w:jc w:val="center"/>
        <w:rPr>
          <w:spacing w:val="12"/>
        </w:rPr>
      </w:pPr>
    </w:p>
    <w:p w14:paraId="04D405CF">
      <w:pPr>
        <w:spacing w:line="360" w:lineRule="auto"/>
        <w:jc w:val="center"/>
        <w:rPr>
          <w:rFonts w:hint="eastAsia"/>
          <w:spacing w:val="12"/>
          <w:sz w:val="44"/>
          <w:szCs w:val="44"/>
        </w:rPr>
      </w:pPr>
    </w:p>
    <w:p w14:paraId="2242EE88">
      <w:pPr>
        <w:rPr>
          <w:rFonts w:hint="eastAsia" w:ascii="宋体" w:hAnsi="宋体" w:cs="宋体"/>
          <w:spacing w:val="12"/>
          <w:sz w:val="44"/>
          <w:szCs w:val="44"/>
        </w:rPr>
      </w:pPr>
    </w:p>
    <w:p w14:paraId="745C0CFE">
      <w:pPr>
        <w:jc w:val="both"/>
        <w:rPr>
          <w:rFonts w:hint="eastAsia" w:ascii="宋体" w:hAnsi="宋体" w:cs="宋体"/>
          <w:b/>
          <w:bCs/>
          <w:spacing w:val="12"/>
          <w:sz w:val="48"/>
          <w:szCs w:val="48"/>
          <w:highlight w:val="none"/>
          <w:lang w:eastAsia="zh-CN"/>
        </w:rPr>
      </w:pPr>
    </w:p>
    <w:p w14:paraId="465C176B">
      <w:pPr>
        <w:pStyle w:val="4"/>
        <w:ind w:left="0" w:leftChars="0" w:firstLine="0" w:firstLineChars="0"/>
        <w:jc w:val="center"/>
        <w:rPr>
          <w:rFonts w:hint="eastAsia" w:ascii="宋体" w:hAnsi="宋体" w:cs="宋体"/>
          <w:b/>
          <w:bCs/>
          <w:spacing w:val="12"/>
          <w:sz w:val="40"/>
          <w:szCs w:val="40"/>
          <w:highlight w:val="none"/>
          <w:lang w:eastAsia="zh-CN"/>
        </w:rPr>
      </w:pPr>
      <w:r>
        <w:rPr>
          <w:rFonts w:hint="eastAsia" w:ascii="宋体" w:hAnsi="宋体" w:cs="宋体"/>
          <w:b/>
          <w:bCs/>
          <w:spacing w:val="12"/>
          <w:sz w:val="40"/>
          <w:szCs w:val="40"/>
          <w:highlight w:val="none"/>
          <w:lang w:eastAsia="zh-CN"/>
        </w:rPr>
        <w:t>临渭区2026年农房抗震改造项目</w:t>
      </w:r>
    </w:p>
    <w:p w14:paraId="403B72AF">
      <w:pPr>
        <w:pStyle w:val="4"/>
        <w:ind w:left="0" w:leftChars="0" w:firstLine="0" w:firstLineChars="0"/>
        <w:jc w:val="center"/>
        <w:rPr>
          <w:rFonts w:hint="eastAsia" w:ascii="宋体" w:hAnsi="宋体" w:eastAsia="宋体" w:cs="宋体"/>
          <w:b/>
          <w:bCs/>
          <w:spacing w:val="12"/>
          <w:sz w:val="32"/>
          <w:szCs w:val="32"/>
          <w:highlight w:val="none"/>
          <w:lang w:eastAsia="zh-CN"/>
        </w:rPr>
      </w:pPr>
      <w:r>
        <w:rPr>
          <w:rFonts w:hint="eastAsia" w:ascii="宋体" w:hAnsi="宋体" w:eastAsia="宋体" w:cs="宋体"/>
          <w:b/>
          <w:bCs/>
          <w:spacing w:val="12"/>
          <w:sz w:val="32"/>
          <w:szCs w:val="32"/>
          <w:highlight w:val="none"/>
          <w:lang w:eastAsia="zh-CN"/>
        </w:rPr>
        <w:t>（</w:t>
      </w:r>
      <w:r>
        <w:rPr>
          <w:rFonts w:hint="eastAsia" w:ascii="宋体" w:hAnsi="宋体" w:eastAsia="宋体" w:cs="宋体"/>
          <w:b/>
          <w:bCs/>
          <w:spacing w:val="12"/>
          <w:sz w:val="32"/>
          <w:szCs w:val="32"/>
          <w:highlight w:val="none"/>
          <w:u w:val="single"/>
          <w:lang w:val="en-US" w:eastAsia="zh-CN"/>
        </w:rPr>
        <w:t xml:space="preserve">  </w:t>
      </w:r>
      <w:r>
        <w:rPr>
          <w:rFonts w:hint="eastAsia" w:ascii="宋体" w:hAnsi="宋体" w:eastAsia="宋体" w:cs="宋体"/>
          <w:b/>
          <w:bCs/>
          <w:spacing w:val="12"/>
          <w:sz w:val="32"/>
          <w:szCs w:val="32"/>
          <w:highlight w:val="none"/>
          <w:lang w:eastAsia="zh-CN"/>
        </w:rPr>
        <w:t>标段）</w:t>
      </w:r>
    </w:p>
    <w:p w14:paraId="496EE3D7">
      <w:pPr>
        <w:pStyle w:val="4"/>
        <w:rPr>
          <w:rFonts w:hint="eastAsia" w:ascii="宋体" w:hAnsi="宋体" w:cs="宋体"/>
          <w:spacing w:val="12"/>
          <w:sz w:val="44"/>
          <w:szCs w:val="44"/>
        </w:rPr>
      </w:pPr>
    </w:p>
    <w:p w14:paraId="3C4EEB3F">
      <w:pPr>
        <w:pStyle w:val="4"/>
        <w:rPr>
          <w:rFonts w:hint="eastAsia" w:ascii="宋体" w:hAnsi="宋体" w:cs="宋体"/>
          <w:spacing w:val="12"/>
          <w:sz w:val="44"/>
          <w:szCs w:val="44"/>
        </w:rPr>
      </w:pPr>
    </w:p>
    <w:p w14:paraId="2D05B5E7">
      <w:pPr>
        <w:pStyle w:val="4"/>
        <w:rPr>
          <w:rFonts w:hint="eastAsia" w:ascii="宋体" w:hAnsi="宋体" w:cs="宋体"/>
          <w:spacing w:val="12"/>
          <w:sz w:val="44"/>
          <w:szCs w:val="44"/>
        </w:rPr>
      </w:pPr>
    </w:p>
    <w:p w14:paraId="7ED31521">
      <w:pPr>
        <w:jc w:val="center"/>
        <w:rPr>
          <w:rFonts w:hint="eastAsia" w:ascii="宋体" w:hAnsi="宋体" w:cs="宋体"/>
          <w:b/>
          <w:bCs/>
          <w:spacing w:val="12"/>
          <w:sz w:val="56"/>
          <w:szCs w:val="56"/>
        </w:rPr>
      </w:pPr>
      <w:r>
        <w:rPr>
          <w:rFonts w:hint="eastAsia" w:ascii="宋体" w:hAnsi="宋体" w:cs="宋体"/>
          <w:b/>
          <w:bCs/>
          <w:spacing w:val="12"/>
          <w:sz w:val="56"/>
          <w:szCs w:val="56"/>
        </w:rPr>
        <w:t>政府采购合同书</w:t>
      </w:r>
    </w:p>
    <w:p w14:paraId="44E49DB3">
      <w:pPr>
        <w:rPr>
          <w:rFonts w:hint="eastAsia" w:ascii="宋体" w:hAnsi="宋体" w:cs="宋体"/>
          <w:spacing w:val="12"/>
          <w:sz w:val="44"/>
          <w:szCs w:val="44"/>
        </w:rPr>
      </w:pPr>
      <w:r>
        <w:rPr>
          <w:rFonts w:hint="eastAsia" w:ascii="宋体" w:hAnsi="宋体" w:cs="宋体"/>
          <w:spacing w:val="12"/>
          <w:sz w:val="32"/>
          <w:szCs w:val="32"/>
        </w:rPr>
        <w:t xml:space="preserve">                   </w:t>
      </w:r>
    </w:p>
    <w:p w14:paraId="2A437C1F">
      <w:pPr>
        <w:rPr>
          <w:rFonts w:hint="eastAsia" w:ascii="宋体" w:hAnsi="宋体" w:cs="宋体"/>
          <w:spacing w:val="12"/>
          <w:sz w:val="32"/>
          <w:szCs w:val="32"/>
          <w:u w:val="single"/>
        </w:rPr>
      </w:pPr>
    </w:p>
    <w:p w14:paraId="046AAFB8">
      <w:pPr>
        <w:rPr>
          <w:rFonts w:hint="eastAsia" w:ascii="宋体" w:hAnsi="宋体" w:cs="宋体"/>
          <w:spacing w:val="12"/>
          <w:sz w:val="32"/>
          <w:szCs w:val="32"/>
          <w:u w:val="single"/>
        </w:rPr>
      </w:pPr>
    </w:p>
    <w:p w14:paraId="4D2F5122">
      <w:pPr>
        <w:rPr>
          <w:rFonts w:hint="eastAsia" w:ascii="宋体" w:hAnsi="宋体" w:cs="宋体"/>
          <w:spacing w:val="12"/>
          <w:sz w:val="32"/>
          <w:szCs w:val="32"/>
          <w:u w:val="single"/>
        </w:rPr>
      </w:pPr>
    </w:p>
    <w:p w14:paraId="36517944">
      <w:pPr>
        <w:rPr>
          <w:rFonts w:hint="eastAsia" w:ascii="宋体" w:hAnsi="宋体" w:cs="宋体"/>
        </w:rPr>
      </w:pPr>
    </w:p>
    <w:p w14:paraId="1D0D6F23">
      <w:pPr>
        <w:pStyle w:val="4"/>
        <w:ind w:firstLine="0"/>
        <w:rPr>
          <w:rFonts w:hint="eastAsia"/>
        </w:rPr>
      </w:pPr>
    </w:p>
    <w:p w14:paraId="38D7AA57">
      <w:pPr>
        <w:ind w:left="840" w:leftChars="0" w:firstLine="420" w:firstLineChars="0"/>
        <w:rPr>
          <w:rFonts w:hint="eastAsia" w:ascii="宋体" w:hAnsi="宋体" w:cs="宋体"/>
          <w:b/>
          <w:bCs/>
          <w:spacing w:val="12"/>
          <w:sz w:val="32"/>
          <w:szCs w:val="32"/>
        </w:rPr>
      </w:pPr>
      <w:r>
        <w:rPr>
          <w:rFonts w:hint="eastAsia" w:ascii="宋体" w:hAnsi="宋体" w:cs="宋体"/>
          <w:b/>
          <w:bCs/>
          <w:spacing w:val="12"/>
          <w:sz w:val="32"/>
          <w:szCs w:val="32"/>
        </w:rPr>
        <w:t>采购人：</w:t>
      </w:r>
      <w:r>
        <w:rPr>
          <w:rFonts w:hint="eastAsia" w:ascii="宋体" w:hAnsi="宋体" w:cs="宋体"/>
          <w:b/>
          <w:bCs/>
          <w:spacing w:val="12"/>
          <w:sz w:val="32"/>
          <w:szCs w:val="32"/>
          <w:lang w:eastAsia="zh-CN"/>
        </w:rPr>
        <w:t xml:space="preserve">渭南市临渭区住房和城乡建设局  </w:t>
      </w:r>
    </w:p>
    <w:p w14:paraId="75896D18">
      <w:pPr>
        <w:ind w:left="840" w:leftChars="0" w:firstLine="420" w:firstLineChars="0"/>
        <w:rPr>
          <w:rFonts w:hint="eastAsia" w:ascii="宋体" w:hAnsi="宋体" w:cs="宋体"/>
          <w:sz w:val="22"/>
          <w:szCs w:val="22"/>
        </w:rPr>
      </w:pPr>
      <w:r>
        <w:rPr>
          <w:rFonts w:hint="eastAsia" w:ascii="宋体" w:hAnsi="宋体" w:cs="宋体"/>
          <w:b/>
          <w:bCs/>
          <w:spacing w:val="12"/>
          <w:sz w:val="32"/>
          <w:szCs w:val="32"/>
          <w:lang w:val="en-US" w:eastAsia="zh-CN"/>
        </w:rPr>
        <w:t>中标人</w:t>
      </w:r>
      <w:r>
        <w:rPr>
          <w:rFonts w:hint="eastAsia" w:ascii="宋体" w:hAnsi="宋体" w:cs="宋体"/>
          <w:b/>
          <w:bCs/>
          <w:spacing w:val="12"/>
          <w:sz w:val="32"/>
          <w:szCs w:val="32"/>
        </w:rPr>
        <w:t>：</w:t>
      </w:r>
    </w:p>
    <w:p w14:paraId="54882E39">
      <w:pPr>
        <w:spacing w:line="360" w:lineRule="auto"/>
        <w:rPr>
          <w:rFonts w:hint="eastAsia" w:ascii="宋体" w:hAnsi="宋体" w:cs="宋体"/>
          <w:sz w:val="22"/>
          <w:szCs w:val="22"/>
        </w:rPr>
      </w:pPr>
    </w:p>
    <w:p w14:paraId="7458D859">
      <w:pPr>
        <w:spacing w:line="480" w:lineRule="auto"/>
        <w:rPr>
          <w:rFonts w:hint="eastAsia" w:ascii="宋体" w:hAnsi="宋体" w:cs="宋体"/>
          <w:sz w:val="22"/>
          <w:szCs w:val="22"/>
        </w:rPr>
      </w:pPr>
      <w:r>
        <w:rPr>
          <w:rFonts w:hint="eastAsia" w:ascii="宋体" w:hAnsi="宋体" w:cs="宋体"/>
          <w:sz w:val="22"/>
          <w:szCs w:val="22"/>
        </w:rPr>
        <w:br w:type="page"/>
      </w:r>
      <w:r>
        <w:rPr>
          <w:rFonts w:hint="eastAsia" w:ascii="宋体" w:hAnsi="宋体" w:cs="宋体"/>
          <w:sz w:val="22"/>
          <w:szCs w:val="22"/>
        </w:rPr>
        <w:t xml:space="preserve">签订地点：  </w:t>
      </w:r>
    </w:p>
    <w:p w14:paraId="529C3AA5">
      <w:pPr>
        <w:spacing w:line="480" w:lineRule="auto"/>
        <w:rPr>
          <w:rFonts w:hint="eastAsia"/>
          <w:sz w:val="22"/>
          <w:szCs w:val="22"/>
        </w:rPr>
      </w:pPr>
      <w:r>
        <w:rPr>
          <w:rFonts w:hint="eastAsia" w:ascii="宋体" w:hAnsi="宋体" w:cs="宋体"/>
          <w:sz w:val="22"/>
          <w:szCs w:val="22"/>
          <w:lang w:val="en-US" w:eastAsia="zh-CN"/>
        </w:rPr>
        <w:t>标段</w:t>
      </w:r>
      <w:r>
        <w:rPr>
          <w:rFonts w:hint="eastAsia" w:ascii="宋体" w:hAnsi="宋体" w:cs="宋体"/>
          <w:sz w:val="22"/>
          <w:szCs w:val="22"/>
        </w:rPr>
        <w:t xml:space="preserve">编号：     </w:t>
      </w:r>
      <w:r>
        <w:rPr>
          <w:rFonts w:hint="eastAsia" w:ascii="宋体" w:hAnsi="宋体" w:cs="宋体"/>
          <w:sz w:val="22"/>
          <w:szCs w:val="22"/>
          <w:lang w:val="en-US" w:eastAsia="zh-CN"/>
        </w:rPr>
        <w:t xml:space="preserve">     </w:t>
      </w:r>
      <w:r>
        <w:rPr>
          <w:rFonts w:hint="eastAsia" w:ascii="宋体" w:hAnsi="宋体" w:cs="宋体"/>
          <w:sz w:val="22"/>
          <w:szCs w:val="22"/>
        </w:rPr>
        <w:t xml:space="preserve">  </w:t>
      </w:r>
    </w:p>
    <w:p w14:paraId="6D872C5E">
      <w:pPr>
        <w:spacing w:line="480" w:lineRule="auto"/>
        <w:rPr>
          <w:rFonts w:hint="eastAsia" w:ascii="宋体" w:hAnsi="宋体" w:cs="宋体"/>
          <w:sz w:val="22"/>
          <w:szCs w:val="22"/>
        </w:rPr>
      </w:pPr>
      <w:r>
        <w:rPr>
          <w:rFonts w:hint="eastAsia" w:ascii="宋体" w:hAnsi="宋体" w:cs="宋体"/>
          <w:sz w:val="22"/>
          <w:szCs w:val="22"/>
        </w:rPr>
        <w:t xml:space="preserve">采购人：渭南市临渭区住房和城乡建设局   </w:t>
      </w:r>
    </w:p>
    <w:p w14:paraId="305B0BB6">
      <w:pPr>
        <w:spacing w:line="480" w:lineRule="auto"/>
        <w:rPr>
          <w:rFonts w:hint="eastAsia"/>
          <w:sz w:val="22"/>
          <w:szCs w:val="22"/>
        </w:rPr>
      </w:pPr>
      <w:r>
        <w:rPr>
          <w:rFonts w:hint="eastAsia" w:ascii="宋体" w:hAnsi="宋体" w:cs="宋体"/>
          <w:sz w:val="22"/>
          <w:szCs w:val="22"/>
        </w:rPr>
        <w:t>供应商：</w:t>
      </w:r>
    </w:p>
    <w:p w14:paraId="74A91F0C">
      <w:pPr>
        <w:spacing w:line="440" w:lineRule="exact"/>
        <w:ind w:firstLine="440" w:firstLineChars="200"/>
        <w:rPr>
          <w:rFonts w:hint="eastAsia" w:ascii="宋体" w:hAnsi="宋体" w:cs="宋体"/>
          <w:b/>
          <w:bCs/>
          <w:sz w:val="22"/>
          <w:szCs w:val="22"/>
          <w:u w:val="single"/>
        </w:rPr>
      </w:pPr>
      <w:r>
        <w:rPr>
          <w:rFonts w:hint="eastAsia" w:ascii="宋体" w:hAnsi="宋体" w:cs="宋体"/>
          <w:sz w:val="22"/>
          <w:szCs w:val="22"/>
        </w:rPr>
        <w:t>根据</w:t>
      </w:r>
      <w:r>
        <w:rPr>
          <w:rFonts w:hint="eastAsia" w:ascii="宋体" w:hAnsi="宋体" w:cs="宋体"/>
          <w:b/>
          <w:bCs/>
          <w:sz w:val="22"/>
          <w:szCs w:val="22"/>
          <w:u w:val="single"/>
        </w:rPr>
        <w:t>临渭区2026年农房抗震改造项目</w:t>
      </w:r>
      <w:r>
        <w:rPr>
          <w:rFonts w:hint="eastAsia" w:ascii="宋体" w:hAnsi="宋体" w:cs="宋体"/>
          <w:b/>
          <w:bCs/>
          <w:sz w:val="22"/>
          <w:szCs w:val="22"/>
          <w:u w:val="single"/>
          <w:lang w:val="en-US" w:eastAsia="zh-CN"/>
        </w:rPr>
        <w:t xml:space="preserve">  </w:t>
      </w:r>
      <w:r>
        <w:rPr>
          <w:rFonts w:hint="eastAsia" w:ascii="宋体" w:hAnsi="宋体" w:cs="宋体"/>
          <w:b/>
          <w:bCs/>
          <w:sz w:val="22"/>
          <w:szCs w:val="22"/>
          <w:u w:val="single"/>
          <w:lang w:eastAsia="zh-CN"/>
        </w:rPr>
        <w:t>标段</w:t>
      </w:r>
      <w:r>
        <w:rPr>
          <w:rFonts w:hint="eastAsia" w:ascii="宋体" w:hAnsi="宋体" w:cs="宋体"/>
          <w:sz w:val="22"/>
          <w:szCs w:val="22"/>
        </w:rPr>
        <w:t>的采购结果，按照《中华人民共和国政府采购法》、《中华人民共和国民法典》等规定，经双方协商，本着平等互利和诚实信用的原则，一致同意签订本合同如下。</w:t>
      </w:r>
    </w:p>
    <w:p w14:paraId="59C15621">
      <w:pPr>
        <w:spacing w:line="440" w:lineRule="exact"/>
        <w:ind w:firstLine="442" w:firstLineChars="200"/>
        <w:rPr>
          <w:rFonts w:hint="eastAsia" w:ascii="宋体" w:hAnsi="宋体" w:cs="宋体"/>
          <w:b/>
          <w:bCs/>
          <w:sz w:val="22"/>
          <w:szCs w:val="22"/>
        </w:rPr>
      </w:pPr>
      <w:r>
        <w:rPr>
          <w:rFonts w:hint="eastAsia" w:ascii="宋体" w:hAnsi="宋体" w:cs="宋体"/>
          <w:b/>
          <w:bCs/>
          <w:sz w:val="22"/>
          <w:szCs w:val="22"/>
        </w:rPr>
        <w:t>一、合同文件</w:t>
      </w:r>
    </w:p>
    <w:p w14:paraId="4542E8CC">
      <w:pPr>
        <w:spacing w:line="440" w:lineRule="exact"/>
        <w:ind w:firstLine="440" w:firstLineChars="200"/>
        <w:rPr>
          <w:rFonts w:hint="eastAsia" w:ascii="宋体" w:hAnsi="宋体" w:cs="宋体"/>
          <w:sz w:val="22"/>
          <w:szCs w:val="22"/>
        </w:rPr>
      </w:pPr>
      <w:r>
        <w:rPr>
          <w:rFonts w:hint="eastAsia" w:ascii="宋体" w:hAnsi="宋体" w:cs="宋体"/>
          <w:sz w:val="22"/>
          <w:szCs w:val="22"/>
        </w:rPr>
        <w:t>1、协议书条款；</w:t>
      </w:r>
    </w:p>
    <w:p w14:paraId="5E92C66C">
      <w:pPr>
        <w:spacing w:line="440" w:lineRule="exact"/>
        <w:ind w:firstLine="440" w:firstLineChars="200"/>
        <w:rPr>
          <w:rFonts w:hint="eastAsia" w:ascii="宋体" w:hAnsi="宋体" w:cs="宋体"/>
          <w:sz w:val="22"/>
          <w:szCs w:val="22"/>
        </w:rPr>
      </w:pPr>
      <w:r>
        <w:rPr>
          <w:rFonts w:hint="eastAsia" w:ascii="宋体" w:hAnsi="宋体" w:cs="宋体"/>
          <w:sz w:val="22"/>
          <w:szCs w:val="22"/>
        </w:rPr>
        <w:t>2、招标文件；</w:t>
      </w:r>
    </w:p>
    <w:p w14:paraId="40FC7897">
      <w:pPr>
        <w:spacing w:line="440" w:lineRule="exact"/>
        <w:ind w:firstLine="440" w:firstLineChars="200"/>
        <w:rPr>
          <w:rFonts w:hint="eastAsia" w:ascii="宋体" w:hAnsi="宋体" w:cs="宋体"/>
          <w:sz w:val="22"/>
          <w:szCs w:val="22"/>
        </w:rPr>
      </w:pPr>
      <w:r>
        <w:rPr>
          <w:rFonts w:hint="eastAsia" w:ascii="宋体" w:hAnsi="宋体" w:cs="宋体"/>
          <w:sz w:val="22"/>
          <w:szCs w:val="22"/>
        </w:rPr>
        <w:t>3、投标文件；</w:t>
      </w:r>
    </w:p>
    <w:p w14:paraId="551E2A90">
      <w:pPr>
        <w:spacing w:line="440" w:lineRule="exact"/>
        <w:ind w:firstLine="440" w:firstLineChars="200"/>
        <w:rPr>
          <w:rFonts w:hint="eastAsia" w:ascii="宋体" w:hAnsi="宋体" w:cs="宋体"/>
          <w:sz w:val="22"/>
          <w:szCs w:val="22"/>
        </w:rPr>
      </w:pPr>
      <w:r>
        <w:rPr>
          <w:rFonts w:hint="eastAsia" w:ascii="宋体" w:hAnsi="宋体" w:cs="宋体"/>
          <w:sz w:val="22"/>
          <w:szCs w:val="22"/>
        </w:rPr>
        <w:t>4、中标通知书；</w:t>
      </w:r>
    </w:p>
    <w:p w14:paraId="5B7A3C30">
      <w:pPr>
        <w:spacing w:line="440" w:lineRule="exact"/>
        <w:ind w:firstLine="440" w:firstLineChars="200"/>
        <w:rPr>
          <w:rFonts w:hint="eastAsia" w:ascii="宋体" w:hAnsi="宋体" w:cs="宋体"/>
          <w:sz w:val="22"/>
          <w:szCs w:val="22"/>
        </w:rPr>
      </w:pPr>
      <w:r>
        <w:rPr>
          <w:rFonts w:hint="eastAsia" w:ascii="宋体" w:hAnsi="宋体" w:cs="宋体"/>
          <w:sz w:val="22"/>
          <w:szCs w:val="22"/>
        </w:rPr>
        <w:t>5、其他。</w:t>
      </w:r>
    </w:p>
    <w:p w14:paraId="0183A6E4">
      <w:pPr>
        <w:spacing w:line="440" w:lineRule="exact"/>
        <w:ind w:firstLine="440" w:firstLineChars="200"/>
        <w:rPr>
          <w:rFonts w:ascii="宋体" w:hAnsi="宋体" w:cs="宋体"/>
          <w:sz w:val="22"/>
          <w:szCs w:val="22"/>
        </w:rPr>
      </w:pPr>
      <w:r>
        <w:rPr>
          <w:rFonts w:hint="eastAsia" w:ascii="宋体" w:hAnsi="宋体" w:cs="宋体"/>
          <w:sz w:val="22"/>
          <w:szCs w:val="22"/>
        </w:rPr>
        <w:t>上述所指合同文件应认为是互相补充和解释的，但是有模棱两可或互相矛盾之处，以其所列内容顺序为准。</w:t>
      </w:r>
    </w:p>
    <w:p w14:paraId="18790F2D">
      <w:pPr>
        <w:spacing w:line="440" w:lineRule="exact"/>
        <w:ind w:firstLine="442" w:firstLineChars="200"/>
        <w:rPr>
          <w:rFonts w:hint="eastAsia" w:ascii="宋体" w:hAnsi="宋体" w:eastAsia="宋体" w:cs="宋体"/>
          <w:sz w:val="22"/>
          <w:szCs w:val="22"/>
          <w:lang w:eastAsia="zh-CN"/>
        </w:rPr>
      </w:pPr>
      <w:r>
        <w:rPr>
          <w:rFonts w:hint="eastAsia" w:ascii="宋体" w:hAnsi="宋体" w:cs="宋体"/>
          <w:b/>
          <w:bCs/>
          <w:sz w:val="22"/>
          <w:szCs w:val="22"/>
        </w:rPr>
        <w:t>二、</w:t>
      </w:r>
      <w:r>
        <w:rPr>
          <w:rFonts w:hint="eastAsia" w:ascii="宋体" w:hAnsi="宋体" w:cs="宋体"/>
          <w:b/>
          <w:bCs/>
          <w:sz w:val="22"/>
          <w:szCs w:val="22"/>
          <w:lang w:val="en-US" w:eastAsia="zh-CN"/>
        </w:rPr>
        <w:t>服务期</w:t>
      </w:r>
      <w:r>
        <w:rPr>
          <w:rFonts w:hint="eastAsia" w:ascii="宋体" w:hAnsi="宋体" w:cs="宋体"/>
          <w:b/>
          <w:bCs/>
          <w:sz w:val="22"/>
          <w:szCs w:val="22"/>
          <w:lang w:eastAsia="zh-CN"/>
        </w:rPr>
        <w:t>：</w:t>
      </w:r>
      <w:r>
        <w:rPr>
          <w:rFonts w:hint="eastAsia" w:ascii="宋体" w:hAnsi="宋体" w:cs="宋体"/>
          <w:b/>
          <w:bCs/>
          <w:sz w:val="22"/>
          <w:szCs w:val="22"/>
        </w:rPr>
        <w:t>自合同签订之日起至202</w:t>
      </w:r>
      <w:r>
        <w:rPr>
          <w:rFonts w:hint="eastAsia" w:ascii="宋体" w:hAnsi="宋体" w:cs="宋体"/>
          <w:b/>
          <w:bCs/>
          <w:sz w:val="22"/>
          <w:szCs w:val="22"/>
          <w:lang w:val="en-US" w:eastAsia="zh-CN"/>
        </w:rPr>
        <w:t>6</w:t>
      </w:r>
      <w:r>
        <w:rPr>
          <w:rFonts w:hint="eastAsia" w:ascii="宋体" w:hAnsi="宋体" w:cs="宋体"/>
          <w:b/>
          <w:bCs/>
          <w:sz w:val="22"/>
          <w:szCs w:val="22"/>
        </w:rPr>
        <w:t>年10月31日</w:t>
      </w:r>
      <w:r>
        <w:rPr>
          <w:rFonts w:hint="eastAsia" w:ascii="宋体" w:hAnsi="宋体" w:cs="宋体"/>
          <w:b/>
          <w:bCs/>
          <w:sz w:val="22"/>
          <w:szCs w:val="22"/>
          <w:lang w:eastAsia="zh-CN"/>
        </w:rPr>
        <w:t>。</w:t>
      </w:r>
    </w:p>
    <w:p w14:paraId="4F1D6B14">
      <w:pPr>
        <w:spacing w:line="440" w:lineRule="exact"/>
        <w:ind w:firstLine="442" w:firstLineChars="200"/>
        <w:rPr>
          <w:rFonts w:hint="eastAsia" w:eastAsia="宋体"/>
          <w:sz w:val="22"/>
          <w:szCs w:val="22"/>
          <w:lang w:eastAsia="zh-CN" w:bidi="zh-CN"/>
        </w:rPr>
      </w:pPr>
      <w:r>
        <w:rPr>
          <w:rFonts w:hint="eastAsia" w:ascii="宋体" w:hAnsi="宋体" w:cs="宋体"/>
          <w:b/>
          <w:bCs/>
          <w:sz w:val="22"/>
          <w:szCs w:val="22"/>
        </w:rPr>
        <w:t>三、</w:t>
      </w:r>
      <w:r>
        <w:rPr>
          <w:rFonts w:hint="eastAsia" w:ascii="宋体" w:hAnsi="宋体" w:cs="宋体"/>
          <w:b/>
          <w:bCs/>
          <w:sz w:val="22"/>
          <w:szCs w:val="22"/>
          <w:lang w:val="en-US" w:eastAsia="zh-CN"/>
        </w:rPr>
        <w:t>服务地点</w:t>
      </w:r>
      <w:r>
        <w:rPr>
          <w:rFonts w:hint="eastAsia" w:ascii="宋体" w:hAnsi="宋体" w:cs="宋体"/>
          <w:b/>
          <w:bCs/>
          <w:sz w:val="22"/>
          <w:szCs w:val="22"/>
          <w:lang w:eastAsia="zh-CN"/>
        </w:rPr>
        <w:t>：</w:t>
      </w:r>
      <w:r>
        <w:rPr>
          <w:rFonts w:hint="eastAsia" w:ascii="宋体" w:hAnsi="宋体" w:cs="宋体"/>
          <w:sz w:val="22"/>
          <w:szCs w:val="22"/>
          <w:lang w:val="en-US" w:eastAsia="zh-CN"/>
        </w:rPr>
        <w:t xml:space="preserve"> </w:t>
      </w:r>
    </w:p>
    <w:p w14:paraId="16184F9E">
      <w:pPr>
        <w:spacing w:line="440" w:lineRule="exact"/>
        <w:ind w:firstLine="442" w:firstLineChars="200"/>
        <w:rPr>
          <w:rFonts w:hint="eastAsia" w:ascii="宋体" w:hAnsi="宋体" w:cs="宋体"/>
          <w:b/>
          <w:bCs/>
          <w:sz w:val="22"/>
          <w:szCs w:val="22"/>
        </w:rPr>
      </w:pPr>
      <w:r>
        <w:rPr>
          <w:rFonts w:hint="eastAsia" w:ascii="宋体" w:hAnsi="宋体" w:cs="宋体"/>
          <w:b/>
          <w:bCs/>
          <w:sz w:val="22"/>
          <w:szCs w:val="22"/>
        </w:rPr>
        <w:t>四、质量要求：</w:t>
      </w:r>
      <w:r>
        <w:rPr>
          <w:rFonts w:hint="eastAsia" w:ascii="宋体" w:hAnsi="宋体" w:cs="宋体"/>
          <w:sz w:val="22"/>
          <w:szCs w:val="22"/>
          <w:u w:val="single"/>
        </w:rPr>
        <w:t xml:space="preserve">              </w:t>
      </w:r>
      <w:r>
        <w:rPr>
          <w:rFonts w:hint="eastAsia" w:ascii="宋体" w:hAnsi="宋体" w:cs="宋体"/>
          <w:sz w:val="22"/>
          <w:szCs w:val="22"/>
        </w:rPr>
        <w:t>。</w:t>
      </w:r>
    </w:p>
    <w:p w14:paraId="1756DA08">
      <w:pPr>
        <w:spacing w:line="440" w:lineRule="exact"/>
        <w:ind w:firstLine="442" w:firstLineChars="200"/>
        <w:rPr>
          <w:rFonts w:hint="eastAsia" w:ascii="宋体" w:hAnsi="宋体" w:cs="宋体"/>
          <w:b/>
          <w:bCs/>
          <w:sz w:val="22"/>
          <w:szCs w:val="22"/>
        </w:rPr>
      </w:pPr>
      <w:r>
        <w:rPr>
          <w:rFonts w:hint="eastAsia" w:ascii="宋体" w:hAnsi="宋体" w:cs="宋体"/>
          <w:b/>
          <w:bCs/>
          <w:sz w:val="22"/>
          <w:szCs w:val="22"/>
        </w:rPr>
        <w:t>五、合同价款</w:t>
      </w:r>
    </w:p>
    <w:p w14:paraId="717966F3">
      <w:pPr>
        <w:spacing w:line="44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lang w:val="en-US" w:eastAsia="zh-CN"/>
        </w:rPr>
        <w:t>1、中标单价/户</w:t>
      </w:r>
      <w:r>
        <w:rPr>
          <w:rFonts w:hint="eastAsia" w:ascii="宋体" w:hAnsi="宋体" w:cs="宋体"/>
          <w:sz w:val="22"/>
          <w:szCs w:val="22"/>
          <w:highlight w:val="none"/>
        </w:rPr>
        <w:t>（人民币）：大写</w:t>
      </w:r>
      <w:r>
        <w:rPr>
          <w:rFonts w:hint="eastAsia" w:ascii="宋体" w:hAnsi="宋体" w:cs="宋体"/>
          <w:sz w:val="22"/>
          <w:szCs w:val="22"/>
          <w:highlight w:val="none"/>
          <w:u w:val="single"/>
        </w:rPr>
        <w:t xml:space="preserve">             </w:t>
      </w:r>
      <w:r>
        <w:rPr>
          <w:rFonts w:hint="eastAsia" w:ascii="宋体" w:hAnsi="宋体" w:cs="宋体"/>
          <w:sz w:val="22"/>
          <w:szCs w:val="22"/>
          <w:highlight w:val="none"/>
        </w:rPr>
        <w:t>；小写¥</w:t>
      </w:r>
      <w:r>
        <w:rPr>
          <w:rFonts w:hint="eastAsia" w:ascii="宋体" w:hAnsi="宋体" w:cs="宋体"/>
          <w:sz w:val="22"/>
          <w:szCs w:val="22"/>
          <w:highlight w:val="none"/>
          <w:u w:val="single"/>
        </w:rPr>
        <w:t xml:space="preserve">           </w:t>
      </w:r>
      <w:r>
        <w:rPr>
          <w:rFonts w:hint="eastAsia" w:ascii="宋体" w:hAnsi="宋体" w:cs="宋体"/>
          <w:sz w:val="22"/>
          <w:szCs w:val="22"/>
          <w:highlight w:val="none"/>
        </w:rPr>
        <w:t>元。（即完成本次工作所有内容的费用，包括但不限于人工费、材料费、交通费、住宿费、管理费、税金、利润、招标文件明示及暗示所有风险等所有费用，服务期内采购人不再增加任何费用。）</w:t>
      </w:r>
    </w:p>
    <w:p w14:paraId="710052CE">
      <w:pPr>
        <w:pStyle w:val="4"/>
        <w:jc w:val="center"/>
        <w:rPr>
          <w:rFonts w:hint="eastAsia"/>
          <w:b/>
          <w:bCs/>
          <w:highlight w:val="none"/>
        </w:rPr>
      </w:pPr>
      <w:r>
        <w:rPr>
          <w:rFonts w:hint="eastAsia" w:ascii="宋体" w:hAnsi="宋体" w:eastAsia="宋体" w:cs="宋体"/>
          <w:b/>
          <w:bCs/>
          <w:i w:val="0"/>
          <w:iCs w:val="0"/>
          <w:color w:val="000000"/>
          <w:kern w:val="0"/>
          <w:sz w:val="22"/>
          <w:szCs w:val="22"/>
          <w:highlight w:val="none"/>
          <w:u w:val="none"/>
          <w:lang w:val="en-US" w:eastAsia="zh-CN" w:bidi="ar"/>
        </w:rPr>
        <w:t>标准户服务内容量化清单</w:t>
      </w:r>
    </w:p>
    <w:tbl>
      <w:tblPr>
        <w:tblStyle w:val="10"/>
        <w:tblpPr w:leftFromText="180" w:rightFromText="180" w:vertAnchor="text" w:horzAnchor="page" w:tblpX="1160" w:tblpY="48"/>
        <w:tblOverlap w:val="never"/>
        <w:tblW w:w="97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2179"/>
        <w:gridCol w:w="1020"/>
        <w:gridCol w:w="1020"/>
        <w:gridCol w:w="1020"/>
        <w:gridCol w:w="3522"/>
      </w:tblGrid>
      <w:tr w14:paraId="2A4C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017" w:type="dxa"/>
            <w:noWrap w:val="0"/>
            <w:vAlign w:val="center"/>
          </w:tcPr>
          <w:p w14:paraId="12E12AD5">
            <w:pPr>
              <w:pageBreakBefore w:val="0"/>
              <w:widowControl/>
              <w:kinsoku/>
              <w:overflowPunct/>
              <w:bidi w:val="0"/>
              <w:jc w:val="center"/>
              <w:outlineLvl w:val="9"/>
              <w:rPr>
                <w:rFonts w:hint="eastAsia" w:ascii="宋体" w:hAnsi="宋体" w:cs="宋体"/>
                <w:b/>
                <w:bCs/>
                <w:kern w:val="0"/>
                <w:sz w:val="24"/>
                <w:highlight w:val="none"/>
              </w:rPr>
            </w:pPr>
            <w:r>
              <w:rPr>
                <w:rFonts w:hint="eastAsia" w:ascii="宋体" w:hAnsi="宋体" w:cs="宋体"/>
                <w:b/>
                <w:bCs/>
                <w:kern w:val="0"/>
                <w:sz w:val="24"/>
                <w:highlight w:val="none"/>
              </w:rPr>
              <w:t>序号</w:t>
            </w:r>
          </w:p>
        </w:tc>
        <w:tc>
          <w:tcPr>
            <w:tcW w:w="2179" w:type="dxa"/>
            <w:noWrap w:val="0"/>
            <w:vAlign w:val="center"/>
          </w:tcPr>
          <w:p w14:paraId="55DD8BF1">
            <w:pPr>
              <w:pageBreakBefore w:val="0"/>
              <w:widowControl/>
              <w:kinsoku/>
              <w:overflowPunct/>
              <w:bidi w:val="0"/>
              <w:jc w:val="center"/>
              <w:outlineLvl w:val="9"/>
              <w:rPr>
                <w:rFonts w:hint="eastAsia" w:ascii="宋体" w:hAnsi="宋体" w:cs="宋体"/>
                <w:b/>
                <w:bCs/>
                <w:kern w:val="0"/>
                <w:sz w:val="24"/>
                <w:highlight w:val="none"/>
              </w:rPr>
            </w:pPr>
            <w:r>
              <w:rPr>
                <w:rFonts w:hint="eastAsia" w:ascii="宋体" w:hAnsi="宋体" w:cs="宋体"/>
                <w:b/>
                <w:bCs/>
                <w:kern w:val="0"/>
                <w:sz w:val="24"/>
                <w:highlight w:val="none"/>
              </w:rPr>
              <w:t>费用组成</w:t>
            </w:r>
          </w:p>
        </w:tc>
        <w:tc>
          <w:tcPr>
            <w:tcW w:w="1020" w:type="dxa"/>
            <w:noWrap w:val="0"/>
            <w:vAlign w:val="center"/>
          </w:tcPr>
          <w:p w14:paraId="4952FB29">
            <w:pPr>
              <w:pageBreakBefore w:val="0"/>
              <w:widowControl/>
              <w:kinsoku/>
              <w:overflowPunct/>
              <w:bidi w:val="0"/>
              <w:jc w:val="center"/>
              <w:outlineLvl w:val="9"/>
              <w:rPr>
                <w:rFonts w:hint="eastAsia" w:ascii="宋体" w:hAnsi="宋体" w:cs="宋体"/>
                <w:b/>
                <w:bCs/>
                <w:kern w:val="0"/>
                <w:sz w:val="24"/>
                <w:highlight w:val="none"/>
              </w:rPr>
            </w:pPr>
            <w:r>
              <w:rPr>
                <w:rFonts w:hint="eastAsia" w:ascii="宋体" w:hAnsi="宋体" w:cs="宋体"/>
                <w:b/>
                <w:bCs/>
                <w:kern w:val="0"/>
                <w:sz w:val="24"/>
                <w:highlight w:val="none"/>
              </w:rPr>
              <w:t>单价（元）</w:t>
            </w:r>
          </w:p>
        </w:tc>
        <w:tc>
          <w:tcPr>
            <w:tcW w:w="1020" w:type="dxa"/>
            <w:noWrap w:val="0"/>
            <w:vAlign w:val="center"/>
          </w:tcPr>
          <w:p w14:paraId="7F047EC9">
            <w:pPr>
              <w:pageBreakBefore w:val="0"/>
              <w:widowControl/>
              <w:kinsoku/>
              <w:overflowPunct/>
              <w:bidi w:val="0"/>
              <w:jc w:val="center"/>
              <w:outlineLvl w:val="9"/>
              <w:rPr>
                <w:rFonts w:hint="eastAsia" w:ascii="宋体" w:hAnsi="宋体" w:eastAsia="宋体" w:cs="宋体"/>
                <w:b/>
                <w:bCs/>
                <w:kern w:val="0"/>
                <w:sz w:val="24"/>
                <w:highlight w:val="none"/>
                <w:lang w:val="en-US" w:eastAsia="zh-CN"/>
              </w:rPr>
            </w:pPr>
            <w:r>
              <w:rPr>
                <w:rFonts w:hint="eastAsia" w:ascii="宋体" w:hAnsi="宋体" w:cs="宋体"/>
                <w:b/>
                <w:bCs/>
                <w:kern w:val="0"/>
                <w:sz w:val="24"/>
                <w:highlight w:val="none"/>
                <w:lang w:val="en-US" w:eastAsia="zh-CN"/>
              </w:rPr>
              <w:t>工程量</w:t>
            </w:r>
          </w:p>
        </w:tc>
        <w:tc>
          <w:tcPr>
            <w:tcW w:w="1020" w:type="dxa"/>
            <w:noWrap w:val="0"/>
            <w:vAlign w:val="center"/>
          </w:tcPr>
          <w:p w14:paraId="110A6B7F">
            <w:pPr>
              <w:pageBreakBefore w:val="0"/>
              <w:widowControl/>
              <w:kinsoku/>
              <w:overflowPunct/>
              <w:bidi w:val="0"/>
              <w:jc w:val="center"/>
              <w:outlineLvl w:val="9"/>
              <w:rPr>
                <w:rFonts w:hint="eastAsia" w:ascii="宋体" w:hAnsi="宋体" w:cs="宋体"/>
                <w:b/>
                <w:bCs/>
                <w:kern w:val="0"/>
                <w:sz w:val="24"/>
                <w:highlight w:val="none"/>
              </w:rPr>
            </w:pPr>
            <w:r>
              <w:rPr>
                <w:rFonts w:hint="eastAsia" w:ascii="宋体" w:hAnsi="宋体" w:cs="宋体"/>
                <w:b/>
                <w:bCs/>
                <w:kern w:val="0"/>
                <w:sz w:val="24"/>
                <w:highlight w:val="none"/>
              </w:rPr>
              <w:t>总价（元）</w:t>
            </w:r>
          </w:p>
        </w:tc>
        <w:tc>
          <w:tcPr>
            <w:tcW w:w="3522" w:type="dxa"/>
            <w:noWrap w:val="0"/>
            <w:vAlign w:val="center"/>
          </w:tcPr>
          <w:p w14:paraId="4042D3A1">
            <w:pPr>
              <w:pageBreakBefore w:val="0"/>
              <w:widowControl/>
              <w:kinsoku/>
              <w:overflowPunct/>
              <w:bidi w:val="0"/>
              <w:jc w:val="center"/>
              <w:outlineLvl w:val="9"/>
              <w:rPr>
                <w:rFonts w:hint="eastAsia" w:ascii="宋体" w:hAnsi="宋体" w:cs="宋体"/>
                <w:b/>
                <w:bCs/>
                <w:kern w:val="0"/>
                <w:sz w:val="24"/>
                <w:highlight w:val="none"/>
              </w:rPr>
            </w:pPr>
            <w:r>
              <w:rPr>
                <w:rFonts w:hint="eastAsia" w:ascii="宋体" w:hAnsi="宋体" w:cs="宋体"/>
                <w:b/>
                <w:bCs/>
                <w:kern w:val="0"/>
                <w:sz w:val="24"/>
                <w:highlight w:val="none"/>
              </w:rPr>
              <w:t>备注</w:t>
            </w:r>
          </w:p>
        </w:tc>
      </w:tr>
      <w:tr w14:paraId="67DD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trPr>
        <w:tc>
          <w:tcPr>
            <w:tcW w:w="1017" w:type="dxa"/>
            <w:noWrap w:val="0"/>
            <w:vAlign w:val="center"/>
          </w:tcPr>
          <w:p w14:paraId="5C81C493">
            <w:pPr>
              <w:pageBreakBefore w:val="0"/>
              <w:widowControl/>
              <w:kinsoku/>
              <w:overflowPunct/>
              <w:bidi w:val="0"/>
              <w:jc w:val="center"/>
              <w:outlineLvl w:val="9"/>
              <w:rPr>
                <w:rFonts w:hint="eastAsia" w:ascii="宋体" w:hAnsi="宋体" w:cs="宋体"/>
                <w:b/>
                <w:bCs/>
                <w:kern w:val="0"/>
                <w:sz w:val="24"/>
                <w:highlight w:val="none"/>
              </w:rPr>
            </w:pPr>
            <w:r>
              <w:rPr>
                <w:rFonts w:hint="eastAsia" w:ascii="宋体" w:hAnsi="宋体" w:cs="宋体"/>
                <w:b/>
                <w:bCs/>
                <w:kern w:val="0"/>
                <w:sz w:val="24"/>
                <w:highlight w:val="none"/>
              </w:rPr>
              <w:t>1</w:t>
            </w:r>
          </w:p>
        </w:tc>
        <w:tc>
          <w:tcPr>
            <w:tcW w:w="2179" w:type="dxa"/>
            <w:noWrap w:val="0"/>
            <w:vAlign w:val="center"/>
          </w:tcPr>
          <w:p w14:paraId="20AF60E3">
            <w:pPr>
              <w:keepNext w:val="0"/>
              <w:keepLines w:val="0"/>
              <w:widowControl/>
              <w:suppressLineNumbers w:val="0"/>
              <w:jc w:val="center"/>
              <w:textAlignment w:val="center"/>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铲除现有墙面</w:t>
            </w:r>
          </w:p>
        </w:tc>
        <w:tc>
          <w:tcPr>
            <w:tcW w:w="1020" w:type="dxa"/>
            <w:noWrap w:val="0"/>
            <w:vAlign w:val="center"/>
          </w:tcPr>
          <w:p w14:paraId="24ADCDBD">
            <w:pPr>
              <w:pageBreakBefore w:val="0"/>
              <w:widowControl/>
              <w:kinsoku/>
              <w:overflowPunct/>
              <w:bidi w:val="0"/>
              <w:jc w:val="center"/>
              <w:outlineLvl w:val="9"/>
              <w:rPr>
                <w:rFonts w:hint="eastAsia" w:ascii="宋体" w:hAnsi="宋体" w:cs="宋体"/>
                <w:kern w:val="0"/>
                <w:sz w:val="24"/>
                <w:highlight w:val="none"/>
              </w:rPr>
            </w:pPr>
          </w:p>
        </w:tc>
        <w:tc>
          <w:tcPr>
            <w:tcW w:w="1020" w:type="dxa"/>
            <w:noWrap w:val="0"/>
            <w:vAlign w:val="center"/>
          </w:tcPr>
          <w:p w14:paraId="25E1FED6">
            <w:pPr>
              <w:keepNext w:val="0"/>
              <w:keepLines w:val="0"/>
              <w:widowControl/>
              <w:suppressLineNumbers w:val="0"/>
              <w:jc w:val="center"/>
              <w:textAlignment w:val="center"/>
              <w:rPr>
                <w:rFonts w:hint="eastAsia" w:ascii="宋体" w:hAnsi="宋体" w:cs="宋体"/>
                <w:b/>
                <w:bCs/>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101㎡</w:t>
            </w:r>
          </w:p>
        </w:tc>
        <w:tc>
          <w:tcPr>
            <w:tcW w:w="1020" w:type="dxa"/>
            <w:noWrap w:val="0"/>
            <w:vAlign w:val="center"/>
          </w:tcPr>
          <w:p w14:paraId="44B97257">
            <w:pPr>
              <w:pageBreakBefore w:val="0"/>
              <w:widowControl/>
              <w:kinsoku/>
              <w:overflowPunct/>
              <w:bidi w:val="0"/>
              <w:jc w:val="center"/>
              <w:outlineLvl w:val="9"/>
              <w:rPr>
                <w:rFonts w:hint="eastAsia" w:ascii="宋体" w:hAnsi="宋体" w:cs="宋体"/>
                <w:b/>
                <w:bCs/>
                <w:kern w:val="0"/>
                <w:sz w:val="24"/>
                <w:highlight w:val="none"/>
              </w:rPr>
            </w:pPr>
          </w:p>
        </w:tc>
        <w:tc>
          <w:tcPr>
            <w:tcW w:w="3522" w:type="dxa"/>
            <w:noWrap w:val="0"/>
            <w:vAlign w:val="center"/>
          </w:tcPr>
          <w:p w14:paraId="2372AEF1">
            <w:pPr>
              <w:pageBreakBefore w:val="0"/>
              <w:widowControl/>
              <w:kinsoku/>
              <w:overflowPunct/>
              <w:bidi w:val="0"/>
              <w:jc w:val="left"/>
              <w:outlineLvl w:val="9"/>
              <w:rPr>
                <w:rFonts w:hint="eastAsia" w:ascii="宋体" w:hAnsi="宋体" w:cs="宋体"/>
                <w:b/>
                <w:bCs/>
                <w:kern w:val="0"/>
                <w:sz w:val="24"/>
                <w:highlight w:val="none"/>
              </w:rPr>
            </w:pPr>
          </w:p>
        </w:tc>
      </w:tr>
      <w:tr w14:paraId="5207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trPr>
        <w:tc>
          <w:tcPr>
            <w:tcW w:w="1017" w:type="dxa"/>
            <w:noWrap w:val="0"/>
            <w:vAlign w:val="center"/>
          </w:tcPr>
          <w:p w14:paraId="0AA94DDC">
            <w:pPr>
              <w:pageBreakBefore w:val="0"/>
              <w:widowControl/>
              <w:kinsoku/>
              <w:overflowPunct/>
              <w:bidi w:val="0"/>
              <w:jc w:val="center"/>
              <w:outlineLvl w:val="9"/>
              <w:rPr>
                <w:rFonts w:hint="eastAsia" w:ascii="宋体" w:hAnsi="宋体" w:cs="宋体"/>
                <w:b/>
                <w:bCs/>
                <w:kern w:val="0"/>
                <w:sz w:val="24"/>
                <w:highlight w:val="none"/>
              </w:rPr>
            </w:pPr>
            <w:r>
              <w:rPr>
                <w:rFonts w:hint="eastAsia" w:ascii="宋体" w:hAnsi="宋体" w:cs="宋体"/>
                <w:b/>
                <w:bCs/>
                <w:kern w:val="0"/>
                <w:sz w:val="24"/>
                <w:highlight w:val="none"/>
              </w:rPr>
              <w:t>2</w:t>
            </w:r>
          </w:p>
        </w:tc>
        <w:tc>
          <w:tcPr>
            <w:tcW w:w="2179" w:type="dxa"/>
            <w:noWrap w:val="0"/>
            <w:vAlign w:val="center"/>
          </w:tcPr>
          <w:p w14:paraId="3A9A788A">
            <w:pPr>
              <w:keepNext w:val="0"/>
              <w:keepLines w:val="0"/>
              <w:widowControl/>
              <w:suppressLineNumbers w:val="0"/>
              <w:jc w:val="center"/>
              <w:textAlignment w:val="center"/>
              <w:rPr>
                <w:rFonts w:hint="eastAsia" w:ascii="宋体" w:hAnsi="宋体" w:eastAsia="宋体" w:cs="宋体"/>
                <w:b w:val="0"/>
                <w:bCs w:val="0"/>
                <w:kern w:val="0"/>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涂料墙面</w:t>
            </w:r>
          </w:p>
        </w:tc>
        <w:tc>
          <w:tcPr>
            <w:tcW w:w="1020" w:type="dxa"/>
            <w:noWrap w:val="0"/>
            <w:vAlign w:val="center"/>
          </w:tcPr>
          <w:p w14:paraId="43007398">
            <w:pPr>
              <w:pageBreakBefore w:val="0"/>
              <w:widowControl/>
              <w:kinsoku/>
              <w:overflowPunct/>
              <w:bidi w:val="0"/>
              <w:jc w:val="center"/>
              <w:outlineLvl w:val="9"/>
              <w:rPr>
                <w:rFonts w:hint="eastAsia" w:ascii="宋体" w:hAnsi="宋体" w:cs="宋体"/>
                <w:kern w:val="0"/>
                <w:sz w:val="24"/>
                <w:highlight w:val="none"/>
              </w:rPr>
            </w:pPr>
          </w:p>
        </w:tc>
        <w:tc>
          <w:tcPr>
            <w:tcW w:w="1020" w:type="dxa"/>
            <w:noWrap w:val="0"/>
            <w:vAlign w:val="center"/>
          </w:tcPr>
          <w:p w14:paraId="499CBEFE">
            <w:pPr>
              <w:keepNext w:val="0"/>
              <w:keepLines w:val="0"/>
              <w:widowControl/>
              <w:suppressLineNumbers w:val="0"/>
              <w:jc w:val="center"/>
              <w:textAlignment w:val="center"/>
              <w:rPr>
                <w:rFonts w:hint="eastAsia" w:ascii="宋体" w:hAnsi="宋体" w:cs="宋体"/>
                <w:b/>
                <w:bCs/>
                <w:kern w:val="0"/>
                <w:sz w:val="22"/>
                <w:szCs w:val="22"/>
                <w:highlight w:val="none"/>
              </w:rPr>
            </w:pPr>
            <w:r>
              <w:rPr>
                <w:rFonts w:hint="eastAsia" w:ascii="宋体" w:hAnsi="宋体" w:eastAsia="宋体" w:cs="宋体"/>
                <w:i w:val="0"/>
                <w:iCs w:val="0"/>
                <w:color w:val="000000"/>
                <w:kern w:val="0"/>
                <w:sz w:val="22"/>
                <w:szCs w:val="22"/>
                <w:u w:val="none"/>
                <w:lang w:val="en-US" w:eastAsia="zh-CN" w:bidi="ar"/>
              </w:rPr>
              <w:t>210㎡</w:t>
            </w:r>
          </w:p>
        </w:tc>
        <w:tc>
          <w:tcPr>
            <w:tcW w:w="1020" w:type="dxa"/>
            <w:noWrap w:val="0"/>
            <w:vAlign w:val="center"/>
          </w:tcPr>
          <w:p w14:paraId="048BFBBC">
            <w:pPr>
              <w:pageBreakBefore w:val="0"/>
              <w:widowControl/>
              <w:kinsoku/>
              <w:overflowPunct/>
              <w:bidi w:val="0"/>
              <w:jc w:val="center"/>
              <w:outlineLvl w:val="9"/>
              <w:rPr>
                <w:rFonts w:hint="eastAsia" w:ascii="宋体" w:hAnsi="宋体" w:cs="宋体"/>
                <w:b/>
                <w:bCs/>
                <w:kern w:val="0"/>
                <w:sz w:val="24"/>
                <w:highlight w:val="none"/>
              </w:rPr>
            </w:pPr>
          </w:p>
        </w:tc>
        <w:tc>
          <w:tcPr>
            <w:tcW w:w="3522" w:type="dxa"/>
            <w:noWrap w:val="0"/>
            <w:vAlign w:val="center"/>
          </w:tcPr>
          <w:p w14:paraId="06760ACB">
            <w:pPr>
              <w:pageBreakBefore w:val="0"/>
              <w:widowControl/>
              <w:kinsoku/>
              <w:overflowPunct/>
              <w:bidi w:val="0"/>
              <w:jc w:val="left"/>
              <w:outlineLvl w:val="9"/>
              <w:rPr>
                <w:rFonts w:hint="eastAsia" w:ascii="宋体" w:hAnsi="宋体" w:cs="宋体"/>
                <w:b/>
                <w:bCs/>
                <w:kern w:val="0"/>
                <w:sz w:val="24"/>
                <w:highlight w:val="none"/>
              </w:rPr>
            </w:pPr>
          </w:p>
        </w:tc>
      </w:tr>
      <w:tr w14:paraId="1A7E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trPr>
        <w:tc>
          <w:tcPr>
            <w:tcW w:w="1017" w:type="dxa"/>
            <w:noWrap w:val="0"/>
            <w:vAlign w:val="center"/>
          </w:tcPr>
          <w:p w14:paraId="574DB8C0">
            <w:pPr>
              <w:pageBreakBefore w:val="0"/>
              <w:widowControl/>
              <w:kinsoku/>
              <w:overflowPunct/>
              <w:bidi w:val="0"/>
              <w:jc w:val="center"/>
              <w:outlineLvl w:val="9"/>
              <w:rPr>
                <w:rFonts w:hint="eastAsia" w:ascii="宋体" w:hAnsi="宋体" w:cs="宋体"/>
                <w:b/>
                <w:bCs/>
                <w:kern w:val="0"/>
                <w:sz w:val="24"/>
                <w:highlight w:val="none"/>
              </w:rPr>
            </w:pPr>
            <w:r>
              <w:rPr>
                <w:rFonts w:hint="eastAsia" w:ascii="宋体" w:hAnsi="宋体" w:cs="宋体"/>
                <w:b/>
                <w:kern w:val="0"/>
                <w:sz w:val="24"/>
                <w:highlight w:val="none"/>
              </w:rPr>
              <w:t>3</w:t>
            </w:r>
          </w:p>
        </w:tc>
        <w:tc>
          <w:tcPr>
            <w:tcW w:w="2179" w:type="dxa"/>
            <w:noWrap w:val="0"/>
            <w:vAlign w:val="center"/>
          </w:tcPr>
          <w:p w14:paraId="730EBF11">
            <w:pPr>
              <w:keepNext w:val="0"/>
              <w:keepLines w:val="0"/>
              <w:widowControl/>
              <w:suppressLineNumbers w:val="0"/>
              <w:jc w:val="center"/>
              <w:textAlignment w:val="center"/>
              <w:rPr>
                <w:rFonts w:hint="eastAsia" w:ascii="宋体" w:hAnsi="宋体" w:cs="宋体"/>
                <w:b w:val="0"/>
                <w:bCs w:val="0"/>
                <w:kern w:val="0"/>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卧室拆除、新作窗户（1.7m*1.8m）</w:t>
            </w:r>
          </w:p>
        </w:tc>
        <w:tc>
          <w:tcPr>
            <w:tcW w:w="1020" w:type="dxa"/>
            <w:noWrap w:val="0"/>
            <w:vAlign w:val="center"/>
          </w:tcPr>
          <w:p w14:paraId="7BE4B11B">
            <w:pPr>
              <w:pageBreakBefore w:val="0"/>
              <w:widowControl/>
              <w:kinsoku/>
              <w:overflowPunct/>
              <w:bidi w:val="0"/>
              <w:jc w:val="center"/>
              <w:outlineLvl w:val="9"/>
              <w:rPr>
                <w:rFonts w:hint="eastAsia" w:ascii="宋体" w:hAnsi="宋体" w:cs="宋体"/>
                <w:kern w:val="0"/>
                <w:sz w:val="24"/>
                <w:highlight w:val="none"/>
              </w:rPr>
            </w:pPr>
          </w:p>
        </w:tc>
        <w:tc>
          <w:tcPr>
            <w:tcW w:w="1020" w:type="dxa"/>
            <w:noWrap w:val="0"/>
            <w:vAlign w:val="center"/>
          </w:tcPr>
          <w:p w14:paraId="0E3113A3">
            <w:pPr>
              <w:keepNext w:val="0"/>
              <w:keepLines w:val="0"/>
              <w:widowControl/>
              <w:suppressLineNumbers w:val="0"/>
              <w:jc w:val="center"/>
              <w:textAlignment w:val="center"/>
              <w:rPr>
                <w:rFonts w:hint="eastAsia" w:ascii="宋体" w:hAnsi="宋体" w:cs="宋体"/>
                <w:kern w:val="0"/>
                <w:sz w:val="22"/>
                <w:szCs w:val="22"/>
                <w:highlight w:val="none"/>
              </w:rPr>
            </w:pPr>
            <w:r>
              <w:rPr>
                <w:rFonts w:hint="eastAsia" w:ascii="宋体" w:hAnsi="宋体" w:eastAsia="宋体" w:cs="宋体"/>
                <w:i w:val="0"/>
                <w:iCs w:val="0"/>
                <w:color w:val="000000"/>
                <w:kern w:val="0"/>
                <w:sz w:val="22"/>
                <w:szCs w:val="22"/>
                <w:u w:val="none"/>
                <w:lang w:val="en-US" w:eastAsia="zh-CN" w:bidi="ar"/>
              </w:rPr>
              <w:t>2樘</w:t>
            </w:r>
          </w:p>
        </w:tc>
        <w:tc>
          <w:tcPr>
            <w:tcW w:w="1020" w:type="dxa"/>
            <w:noWrap w:val="0"/>
            <w:vAlign w:val="center"/>
          </w:tcPr>
          <w:p w14:paraId="169FB20B">
            <w:pPr>
              <w:pageBreakBefore w:val="0"/>
              <w:widowControl/>
              <w:kinsoku/>
              <w:overflowPunct/>
              <w:bidi w:val="0"/>
              <w:jc w:val="center"/>
              <w:outlineLvl w:val="9"/>
              <w:rPr>
                <w:rFonts w:hint="eastAsia" w:ascii="宋体" w:hAnsi="宋体" w:cs="宋体"/>
                <w:kern w:val="0"/>
                <w:sz w:val="24"/>
                <w:highlight w:val="none"/>
              </w:rPr>
            </w:pPr>
          </w:p>
        </w:tc>
        <w:tc>
          <w:tcPr>
            <w:tcW w:w="3522" w:type="dxa"/>
            <w:vMerge w:val="restart"/>
            <w:noWrap w:val="0"/>
            <w:vAlign w:val="center"/>
          </w:tcPr>
          <w:p w14:paraId="2CD96A2F">
            <w:pPr>
              <w:pageBreakBefore w:val="0"/>
              <w:widowControl/>
              <w:kinsoku/>
              <w:overflowPunct/>
              <w:bidi w:val="0"/>
              <w:outlineLvl w:val="9"/>
              <w:rPr>
                <w:rFonts w:hint="eastAsia" w:ascii="宋体" w:hAnsi="宋体" w:eastAsia="宋体" w:cs="宋体"/>
                <w:kern w:val="0"/>
                <w:sz w:val="24"/>
                <w:highlight w:val="none"/>
                <w:lang w:val="en-US" w:eastAsia="zh-CN"/>
              </w:rPr>
            </w:pPr>
            <w:r>
              <w:rPr>
                <w:rFonts w:hint="eastAsia" w:ascii="宋体" w:hAnsi="宋体" w:cs="宋体"/>
                <w:kern w:val="0"/>
                <w:sz w:val="24"/>
                <w:highlight w:val="none"/>
                <w:lang w:val="en-US" w:eastAsia="zh-CN"/>
              </w:rPr>
              <w:t>三选一</w:t>
            </w:r>
          </w:p>
        </w:tc>
      </w:tr>
      <w:tr w14:paraId="1172F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trPr>
        <w:tc>
          <w:tcPr>
            <w:tcW w:w="1017" w:type="dxa"/>
            <w:noWrap w:val="0"/>
            <w:vAlign w:val="center"/>
          </w:tcPr>
          <w:p w14:paraId="2C98564A">
            <w:pPr>
              <w:pageBreakBefore w:val="0"/>
              <w:widowControl/>
              <w:kinsoku/>
              <w:overflowPunct/>
              <w:bidi w:val="0"/>
              <w:jc w:val="center"/>
              <w:outlineLvl w:val="9"/>
              <w:rPr>
                <w:rFonts w:hint="eastAsia" w:ascii="宋体" w:hAnsi="宋体" w:cs="宋体"/>
                <w:b/>
                <w:kern w:val="0"/>
                <w:sz w:val="24"/>
                <w:highlight w:val="none"/>
              </w:rPr>
            </w:pPr>
            <w:r>
              <w:rPr>
                <w:rFonts w:hint="eastAsia" w:ascii="宋体" w:hAnsi="宋体" w:cs="宋体"/>
                <w:b/>
                <w:bCs/>
                <w:kern w:val="0"/>
                <w:sz w:val="24"/>
                <w:highlight w:val="none"/>
              </w:rPr>
              <w:t>4</w:t>
            </w:r>
          </w:p>
        </w:tc>
        <w:tc>
          <w:tcPr>
            <w:tcW w:w="2179" w:type="dxa"/>
            <w:noWrap w:val="0"/>
            <w:vAlign w:val="center"/>
          </w:tcPr>
          <w:p w14:paraId="13452BFF">
            <w:pPr>
              <w:keepNext w:val="0"/>
              <w:keepLines w:val="0"/>
              <w:widowControl/>
              <w:suppressLineNumbers w:val="0"/>
              <w:jc w:val="center"/>
              <w:textAlignment w:val="center"/>
              <w:rPr>
                <w:rFonts w:hint="eastAsia" w:ascii="宋体" w:hAnsi="宋体" w:cs="宋体"/>
                <w:b w:val="0"/>
                <w:bCs w:val="0"/>
                <w:kern w:val="0"/>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卧室拆除、新作保温门（2.1m*1.0m）</w:t>
            </w:r>
          </w:p>
        </w:tc>
        <w:tc>
          <w:tcPr>
            <w:tcW w:w="1020" w:type="dxa"/>
            <w:noWrap w:val="0"/>
            <w:vAlign w:val="center"/>
          </w:tcPr>
          <w:p w14:paraId="5A13DCE9">
            <w:pPr>
              <w:pageBreakBefore w:val="0"/>
              <w:widowControl/>
              <w:kinsoku/>
              <w:overflowPunct/>
              <w:bidi w:val="0"/>
              <w:jc w:val="center"/>
              <w:outlineLvl w:val="9"/>
              <w:rPr>
                <w:rFonts w:hint="eastAsia" w:ascii="宋体" w:hAnsi="宋体" w:cs="宋体"/>
                <w:kern w:val="0"/>
                <w:sz w:val="24"/>
                <w:highlight w:val="none"/>
              </w:rPr>
            </w:pPr>
          </w:p>
        </w:tc>
        <w:tc>
          <w:tcPr>
            <w:tcW w:w="1020" w:type="dxa"/>
            <w:noWrap w:val="0"/>
            <w:vAlign w:val="center"/>
          </w:tcPr>
          <w:p w14:paraId="73BC49AA">
            <w:pPr>
              <w:keepNext w:val="0"/>
              <w:keepLines w:val="0"/>
              <w:widowControl/>
              <w:suppressLineNumbers w:val="0"/>
              <w:jc w:val="center"/>
              <w:textAlignment w:val="center"/>
              <w:rPr>
                <w:rFonts w:hint="eastAsia" w:ascii="宋体" w:hAnsi="宋体" w:cs="宋体"/>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1樘</w:t>
            </w:r>
          </w:p>
        </w:tc>
        <w:tc>
          <w:tcPr>
            <w:tcW w:w="1020" w:type="dxa"/>
            <w:noWrap w:val="0"/>
            <w:vAlign w:val="center"/>
          </w:tcPr>
          <w:p w14:paraId="426F7A70">
            <w:pPr>
              <w:pageBreakBefore w:val="0"/>
              <w:widowControl/>
              <w:kinsoku/>
              <w:overflowPunct/>
              <w:bidi w:val="0"/>
              <w:jc w:val="center"/>
              <w:outlineLvl w:val="9"/>
              <w:rPr>
                <w:rFonts w:hint="eastAsia" w:ascii="宋体" w:hAnsi="宋体" w:cs="宋体"/>
                <w:kern w:val="0"/>
                <w:sz w:val="24"/>
                <w:highlight w:val="none"/>
              </w:rPr>
            </w:pPr>
          </w:p>
        </w:tc>
        <w:tc>
          <w:tcPr>
            <w:tcW w:w="3522" w:type="dxa"/>
            <w:vMerge w:val="continue"/>
            <w:tcBorders/>
            <w:noWrap w:val="0"/>
            <w:vAlign w:val="center"/>
          </w:tcPr>
          <w:p w14:paraId="26344A53">
            <w:pPr>
              <w:pageBreakBefore w:val="0"/>
              <w:widowControl/>
              <w:kinsoku/>
              <w:overflowPunct/>
              <w:bidi w:val="0"/>
              <w:outlineLvl w:val="9"/>
              <w:rPr>
                <w:rFonts w:hint="eastAsia" w:ascii="宋体" w:hAnsi="宋体" w:cs="宋体"/>
                <w:kern w:val="0"/>
                <w:sz w:val="24"/>
                <w:highlight w:val="none"/>
              </w:rPr>
            </w:pPr>
          </w:p>
        </w:tc>
      </w:tr>
      <w:tr w14:paraId="50F4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trPr>
        <w:tc>
          <w:tcPr>
            <w:tcW w:w="1017" w:type="dxa"/>
            <w:noWrap w:val="0"/>
            <w:vAlign w:val="center"/>
          </w:tcPr>
          <w:p w14:paraId="25C7858E">
            <w:pPr>
              <w:pageBreakBefore w:val="0"/>
              <w:kinsoku/>
              <w:overflowPunct/>
              <w:bidi w:val="0"/>
              <w:jc w:val="center"/>
              <w:outlineLvl w:val="9"/>
              <w:rPr>
                <w:rFonts w:hint="eastAsia" w:ascii="宋体" w:hAnsi="宋体" w:cs="宋体"/>
                <w:b/>
                <w:bCs/>
                <w:kern w:val="0"/>
                <w:sz w:val="24"/>
                <w:highlight w:val="none"/>
              </w:rPr>
            </w:pPr>
            <w:r>
              <w:rPr>
                <w:rFonts w:hint="eastAsia" w:ascii="宋体" w:hAnsi="宋体" w:cs="宋体"/>
                <w:b/>
                <w:kern w:val="0"/>
                <w:sz w:val="24"/>
                <w:highlight w:val="none"/>
              </w:rPr>
              <w:t>5</w:t>
            </w:r>
          </w:p>
        </w:tc>
        <w:tc>
          <w:tcPr>
            <w:tcW w:w="2179" w:type="dxa"/>
            <w:noWrap w:val="0"/>
            <w:vAlign w:val="center"/>
          </w:tcPr>
          <w:p w14:paraId="231D6137">
            <w:pPr>
              <w:keepNext w:val="0"/>
              <w:keepLines w:val="0"/>
              <w:widowControl/>
              <w:suppressLineNumbers w:val="0"/>
              <w:jc w:val="center"/>
              <w:textAlignment w:val="center"/>
              <w:rPr>
                <w:rFonts w:hint="eastAsia" w:ascii="宋体" w:hAnsi="宋体" w:cs="宋体"/>
                <w:b w:val="0"/>
                <w:bCs w:val="0"/>
                <w:kern w:val="0"/>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卧室吊顶</w:t>
            </w:r>
          </w:p>
        </w:tc>
        <w:tc>
          <w:tcPr>
            <w:tcW w:w="1020" w:type="dxa"/>
            <w:noWrap w:val="0"/>
            <w:vAlign w:val="center"/>
          </w:tcPr>
          <w:p w14:paraId="0A061F0E">
            <w:pPr>
              <w:pageBreakBefore w:val="0"/>
              <w:widowControl/>
              <w:kinsoku/>
              <w:overflowPunct/>
              <w:bidi w:val="0"/>
              <w:jc w:val="center"/>
              <w:outlineLvl w:val="9"/>
              <w:rPr>
                <w:rFonts w:hint="eastAsia" w:ascii="宋体" w:hAnsi="宋体" w:cs="宋体"/>
                <w:kern w:val="0"/>
                <w:sz w:val="24"/>
                <w:highlight w:val="none"/>
              </w:rPr>
            </w:pPr>
          </w:p>
        </w:tc>
        <w:tc>
          <w:tcPr>
            <w:tcW w:w="1020" w:type="dxa"/>
            <w:noWrap w:val="0"/>
            <w:vAlign w:val="center"/>
          </w:tcPr>
          <w:p w14:paraId="427751FF">
            <w:pPr>
              <w:keepNext w:val="0"/>
              <w:keepLines w:val="0"/>
              <w:widowControl/>
              <w:suppressLineNumbers w:val="0"/>
              <w:jc w:val="center"/>
              <w:textAlignment w:val="center"/>
              <w:rPr>
                <w:rFonts w:hint="eastAsia" w:ascii="宋体" w:hAnsi="宋体" w:cs="宋体"/>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1户</w:t>
            </w:r>
          </w:p>
        </w:tc>
        <w:tc>
          <w:tcPr>
            <w:tcW w:w="1020" w:type="dxa"/>
            <w:noWrap w:val="0"/>
            <w:vAlign w:val="center"/>
          </w:tcPr>
          <w:p w14:paraId="2CAF550B">
            <w:pPr>
              <w:pageBreakBefore w:val="0"/>
              <w:widowControl/>
              <w:kinsoku/>
              <w:overflowPunct/>
              <w:bidi w:val="0"/>
              <w:jc w:val="center"/>
              <w:outlineLvl w:val="9"/>
              <w:rPr>
                <w:rFonts w:hint="eastAsia" w:ascii="宋体" w:hAnsi="宋体" w:cs="宋体"/>
                <w:kern w:val="0"/>
                <w:sz w:val="24"/>
                <w:highlight w:val="none"/>
              </w:rPr>
            </w:pPr>
          </w:p>
        </w:tc>
        <w:tc>
          <w:tcPr>
            <w:tcW w:w="3522" w:type="dxa"/>
            <w:vMerge w:val="continue"/>
            <w:tcBorders/>
            <w:noWrap w:val="0"/>
            <w:vAlign w:val="center"/>
          </w:tcPr>
          <w:p w14:paraId="2554E13E">
            <w:pPr>
              <w:pageBreakBefore w:val="0"/>
              <w:widowControl/>
              <w:kinsoku/>
              <w:overflowPunct/>
              <w:bidi w:val="0"/>
              <w:outlineLvl w:val="9"/>
              <w:rPr>
                <w:rFonts w:hint="eastAsia" w:ascii="宋体" w:hAnsi="宋体" w:cs="宋体"/>
                <w:kern w:val="0"/>
                <w:sz w:val="24"/>
                <w:highlight w:val="none"/>
              </w:rPr>
            </w:pPr>
          </w:p>
        </w:tc>
      </w:tr>
      <w:tr w14:paraId="468F6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exact"/>
        </w:trPr>
        <w:tc>
          <w:tcPr>
            <w:tcW w:w="1017" w:type="dxa"/>
            <w:noWrap w:val="0"/>
            <w:vAlign w:val="center"/>
          </w:tcPr>
          <w:p w14:paraId="2E699DA7">
            <w:pPr>
              <w:pageBreakBefore w:val="0"/>
              <w:widowControl/>
              <w:kinsoku/>
              <w:overflowPunct/>
              <w:bidi w:val="0"/>
              <w:jc w:val="center"/>
              <w:outlineLvl w:val="9"/>
              <w:rPr>
                <w:rFonts w:hint="eastAsia" w:ascii="宋体" w:hAnsi="宋体" w:cs="宋体"/>
                <w:b/>
                <w:kern w:val="0"/>
                <w:sz w:val="24"/>
                <w:highlight w:val="none"/>
              </w:rPr>
            </w:pPr>
            <w:r>
              <w:rPr>
                <w:rFonts w:hint="eastAsia" w:ascii="宋体" w:hAnsi="宋体" w:cs="宋体"/>
                <w:b/>
                <w:kern w:val="0"/>
                <w:sz w:val="24"/>
                <w:highlight w:val="none"/>
              </w:rPr>
              <w:t>6</w:t>
            </w:r>
          </w:p>
        </w:tc>
        <w:tc>
          <w:tcPr>
            <w:tcW w:w="2179" w:type="dxa"/>
            <w:noWrap w:val="0"/>
            <w:vAlign w:val="center"/>
          </w:tcPr>
          <w:p w14:paraId="7D294576">
            <w:pPr>
              <w:keepNext w:val="0"/>
              <w:keepLines w:val="0"/>
              <w:widowControl/>
              <w:suppressLineNumbers w:val="0"/>
              <w:jc w:val="center"/>
              <w:textAlignment w:val="center"/>
              <w:rPr>
                <w:rFonts w:hint="eastAsia" w:ascii="宋体" w:hAnsi="宋体" w:cs="宋体"/>
                <w:b w:val="0"/>
                <w:bCs w:val="0"/>
                <w:kern w:val="0"/>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高延性混凝土抹面（洞口加固、墙体裂缝修补，底板修复）</w:t>
            </w:r>
          </w:p>
        </w:tc>
        <w:tc>
          <w:tcPr>
            <w:tcW w:w="1020" w:type="dxa"/>
            <w:noWrap w:val="0"/>
            <w:vAlign w:val="center"/>
          </w:tcPr>
          <w:p w14:paraId="6C5454C6">
            <w:pPr>
              <w:pageBreakBefore w:val="0"/>
              <w:kinsoku/>
              <w:overflowPunct/>
              <w:bidi w:val="0"/>
              <w:jc w:val="center"/>
              <w:outlineLvl w:val="9"/>
              <w:rPr>
                <w:rFonts w:hint="eastAsia" w:ascii="宋体" w:hAnsi="宋体" w:cs="宋体"/>
                <w:kern w:val="0"/>
                <w:sz w:val="24"/>
                <w:highlight w:val="none"/>
              </w:rPr>
            </w:pPr>
          </w:p>
        </w:tc>
        <w:tc>
          <w:tcPr>
            <w:tcW w:w="1020" w:type="dxa"/>
            <w:noWrap w:val="0"/>
            <w:vAlign w:val="center"/>
          </w:tcPr>
          <w:p w14:paraId="5974A5E4">
            <w:pPr>
              <w:keepNext w:val="0"/>
              <w:keepLines w:val="0"/>
              <w:widowControl/>
              <w:suppressLineNumbers w:val="0"/>
              <w:jc w:val="center"/>
              <w:textAlignment w:val="center"/>
              <w:rPr>
                <w:rFonts w:hint="eastAsia" w:ascii="宋体" w:hAnsi="宋体" w:cs="宋体"/>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101㎡</w:t>
            </w:r>
          </w:p>
        </w:tc>
        <w:tc>
          <w:tcPr>
            <w:tcW w:w="1020" w:type="dxa"/>
            <w:noWrap w:val="0"/>
            <w:vAlign w:val="center"/>
          </w:tcPr>
          <w:p w14:paraId="56BA4103">
            <w:pPr>
              <w:pageBreakBefore w:val="0"/>
              <w:kinsoku/>
              <w:overflowPunct/>
              <w:bidi w:val="0"/>
              <w:jc w:val="center"/>
              <w:outlineLvl w:val="9"/>
              <w:rPr>
                <w:rFonts w:hint="eastAsia" w:ascii="宋体" w:hAnsi="宋体" w:cs="宋体"/>
                <w:kern w:val="0"/>
                <w:sz w:val="24"/>
                <w:highlight w:val="none"/>
              </w:rPr>
            </w:pPr>
          </w:p>
        </w:tc>
        <w:tc>
          <w:tcPr>
            <w:tcW w:w="3522" w:type="dxa"/>
            <w:noWrap w:val="0"/>
            <w:vAlign w:val="center"/>
          </w:tcPr>
          <w:p w14:paraId="63A03072">
            <w:pPr>
              <w:pageBreakBefore w:val="0"/>
              <w:kinsoku/>
              <w:overflowPunct/>
              <w:bidi w:val="0"/>
              <w:outlineLvl w:val="9"/>
              <w:rPr>
                <w:rFonts w:hint="eastAsia" w:ascii="宋体" w:hAnsi="宋体" w:cs="宋体"/>
                <w:kern w:val="0"/>
                <w:sz w:val="24"/>
                <w:highlight w:val="none"/>
              </w:rPr>
            </w:pPr>
          </w:p>
        </w:tc>
      </w:tr>
      <w:tr w14:paraId="4D08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trPr>
        <w:tc>
          <w:tcPr>
            <w:tcW w:w="1017" w:type="dxa"/>
            <w:noWrap w:val="0"/>
            <w:vAlign w:val="center"/>
          </w:tcPr>
          <w:p w14:paraId="559A476F">
            <w:pPr>
              <w:pageBreakBefore w:val="0"/>
              <w:widowControl/>
              <w:kinsoku/>
              <w:overflowPunct/>
              <w:bidi w:val="0"/>
              <w:jc w:val="center"/>
              <w:outlineLvl w:val="9"/>
              <w:rPr>
                <w:rFonts w:hint="eastAsia" w:ascii="宋体" w:hAnsi="宋体" w:cs="宋体"/>
                <w:b/>
                <w:kern w:val="0"/>
                <w:sz w:val="24"/>
                <w:highlight w:val="none"/>
              </w:rPr>
            </w:pPr>
            <w:r>
              <w:rPr>
                <w:rFonts w:hint="eastAsia" w:ascii="宋体" w:hAnsi="宋体" w:cs="宋体"/>
                <w:b/>
                <w:kern w:val="0"/>
                <w:sz w:val="24"/>
                <w:highlight w:val="none"/>
              </w:rPr>
              <w:t>7</w:t>
            </w:r>
          </w:p>
        </w:tc>
        <w:tc>
          <w:tcPr>
            <w:tcW w:w="2179" w:type="dxa"/>
            <w:noWrap w:val="0"/>
            <w:vAlign w:val="center"/>
          </w:tcPr>
          <w:p w14:paraId="454BC57D">
            <w:pPr>
              <w:keepNext w:val="0"/>
              <w:keepLines w:val="0"/>
              <w:widowControl/>
              <w:suppressLineNumbers w:val="0"/>
              <w:jc w:val="center"/>
              <w:textAlignment w:val="center"/>
              <w:rPr>
                <w:rFonts w:hint="eastAsia" w:ascii="宋体" w:hAnsi="宋体" w:cs="宋体"/>
                <w:b w:val="0"/>
                <w:bCs w:val="0"/>
                <w:kern w:val="0"/>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线路整理及恢复</w:t>
            </w:r>
          </w:p>
        </w:tc>
        <w:tc>
          <w:tcPr>
            <w:tcW w:w="1020" w:type="dxa"/>
            <w:noWrap w:val="0"/>
            <w:vAlign w:val="center"/>
          </w:tcPr>
          <w:p w14:paraId="24B15D5E">
            <w:pPr>
              <w:pageBreakBefore w:val="0"/>
              <w:kinsoku/>
              <w:overflowPunct/>
              <w:bidi w:val="0"/>
              <w:jc w:val="center"/>
              <w:outlineLvl w:val="9"/>
              <w:rPr>
                <w:rFonts w:hint="eastAsia" w:ascii="宋体" w:hAnsi="宋体" w:cs="宋体"/>
                <w:kern w:val="0"/>
                <w:sz w:val="24"/>
                <w:highlight w:val="none"/>
              </w:rPr>
            </w:pPr>
          </w:p>
        </w:tc>
        <w:tc>
          <w:tcPr>
            <w:tcW w:w="1020" w:type="dxa"/>
            <w:noWrap w:val="0"/>
            <w:vAlign w:val="center"/>
          </w:tcPr>
          <w:p w14:paraId="7F7C3E44">
            <w:pPr>
              <w:keepNext w:val="0"/>
              <w:keepLines w:val="0"/>
              <w:widowControl/>
              <w:suppressLineNumbers w:val="0"/>
              <w:jc w:val="center"/>
              <w:textAlignment w:val="center"/>
              <w:rPr>
                <w:rFonts w:hint="eastAsia" w:ascii="宋体" w:hAnsi="宋体" w:cs="宋体"/>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1户</w:t>
            </w:r>
          </w:p>
        </w:tc>
        <w:tc>
          <w:tcPr>
            <w:tcW w:w="1020" w:type="dxa"/>
            <w:noWrap w:val="0"/>
            <w:vAlign w:val="center"/>
          </w:tcPr>
          <w:p w14:paraId="0732F5A9">
            <w:pPr>
              <w:pageBreakBefore w:val="0"/>
              <w:kinsoku/>
              <w:overflowPunct/>
              <w:bidi w:val="0"/>
              <w:jc w:val="center"/>
              <w:outlineLvl w:val="9"/>
              <w:rPr>
                <w:rFonts w:hint="eastAsia" w:ascii="宋体" w:hAnsi="宋体" w:cs="宋体"/>
                <w:kern w:val="0"/>
                <w:sz w:val="24"/>
                <w:highlight w:val="none"/>
              </w:rPr>
            </w:pPr>
          </w:p>
        </w:tc>
        <w:tc>
          <w:tcPr>
            <w:tcW w:w="3522" w:type="dxa"/>
            <w:noWrap w:val="0"/>
            <w:vAlign w:val="center"/>
          </w:tcPr>
          <w:p w14:paraId="0FFC5B2E">
            <w:pPr>
              <w:pageBreakBefore w:val="0"/>
              <w:kinsoku/>
              <w:overflowPunct/>
              <w:bidi w:val="0"/>
              <w:outlineLvl w:val="9"/>
              <w:rPr>
                <w:rFonts w:hint="eastAsia" w:ascii="宋体" w:hAnsi="宋体" w:cs="宋体"/>
                <w:kern w:val="0"/>
                <w:sz w:val="24"/>
                <w:highlight w:val="none"/>
              </w:rPr>
            </w:pPr>
          </w:p>
        </w:tc>
      </w:tr>
      <w:tr w14:paraId="1B43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trPr>
        <w:tc>
          <w:tcPr>
            <w:tcW w:w="1017" w:type="dxa"/>
            <w:noWrap w:val="0"/>
            <w:vAlign w:val="center"/>
          </w:tcPr>
          <w:p w14:paraId="18DAD086">
            <w:pPr>
              <w:pageBreakBefore w:val="0"/>
              <w:widowControl/>
              <w:kinsoku/>
              <w:overflowPunct/>
              <w:bidi w:val="0"/>
              <w:jc w:val="center"/>
              <w:outlineLvl w:val="9"/>
              <w:rPr>
                <w:rFonts w:hint="eastAsia" w:ascii="宋体" w:hAnsi="宋体" w:cs="宋体"/>
                <w:b/>
                <w:kern w:val="0"/>
                <w:sz w:val="24"/>
                <w:highlight w:val="none"/>
              </w:rPr>
            </w:pPr>
            <w:r>
              <w:rPr>
                <w:rFonts w:hint="eastAsia" w:ascii="宋体" w:hAnsi="宋体" w:cs="宋体"/>
                <w:b/>
                <w:kern w:val="0"/>
                <w:sz w:val="24"/>
                <w:highlight w:val="none"/>
              </w:rPr>
              <w:t>8</w:t>
            </w:r>
          </w:p>
        </w:tc>
        <w:tc>
          <w:tcPr>
            <w:tcW w:w="2179" w:type="dxa"/>
            <w:noWrap w:val="0"/>
            <w:vAlign w:val="center"/>
          </w:tcPr>
          <w:p w14:paraId="4606087E">
            <w:pPr>
              <w:keepNext w:val="0"/>
              <w:keepLines w:val="0"/>
              <w:widowControl/>
              <w:suppressLineNumbers w:val="0"/>
              <w:jc w:val="center"/>
              <w:textAlignment w:val="center"/>
              <w:rPr>
                <w:rFonts w:hint="eastAsia" w:ascii="宋体" w:hAnsi="宋体" w:cs="宋体"/>
                <w:b/>
                <w:bCs/>
                <w:kern w:val="0"/>
                <w:sz w:val="24"/>
                <w:highlight w:val="none"/>
              </w:rPr>
            </w:pPr>
            <w:r>
              <w:rPr>
                <w:rFonts w:hint="eastAsia" w:ascii="宋体" w:hAnsi="宋体" w:eastAsia="宋体" w:cs="宋体"/>
                <w:i w:val="0"/>
                <w:iCs w:val="0"/>
                <w:color w:val="000000"/>
                <w:kern w:val="0"/>
                <w:sz w:val="22"/>
                <w:szCs w:val="22"/>
                <w:u w:val="none"/>
                <w:lang w:val="en-US" w:eastAsia="zh-CN" w:bidi="ar"/>
              </w:rPr>
              <w:t>垃圾清理</w:t>
            </w:r>
          </w:p>
        </w:tc>
        <w:tc>
          <w:tcPr>
            <w:tcW w:w="1020" w:type="dxa"/>
            <w:noWrap w:val="0"/>
            <w:vAlign w:val="center"/>
          </w:tcPr>
          <w:p w14:paraId="2A20E172">
            <w:pPr>
              <w:pageBreakBefore w:val="0"/>
              <w:kinsoku/>
              <w:overflowPunct/>
              <w:bidi w:val="0"/>
              <w:jc w:val="center"/>
              <w:outlineLvl w:val="9"/>
              <w:rPr>
                <w:rFonts w:hint="eastAsia" w:ascii="宋体" w:hAnsi="宋体" w:cs="宋体"/>
                <w:kern w:val="0"/>
                <w:sz w:val="24"/>
                <w:highlight w:val="none"/>
              </w:rPr>
            </w:pPr>
          </w:p>
        </w:tc>
        <w:tc>
          <w:tcPr>
            <w:tcW w:w="1020" w:type="dxa"/>
            <w:noWrap w:val="0"/>
            <w:vAlign w:val="center"/>
          </w:tcPr>
          <w:p w14:paraId="72C9CB86">
            <w:pPr>
              <w:keepNext w:val="0"/>
              <w:keepLines w:val="0"/>
              <w:widowControl/>
              <w:suppressLineNumbers w:val="0"/>
              <w:jc w:val="center"/>
              <w:textAlignment w:val="center"/>
              <w:rPr>
                <w:rFonts w:hint="eastAsia" w:ascii="宋体" w:hAnsi="宋体" w:cs="宋体"/>
                <w:kern w:val="0"/>
                <w:sz w:val="22"/>
                <w:szCs w:val="22"/>
                <w:highlight w:val="none"/>
              </w:rPr>
            </w:pPr>
            <w:r>
              <w:rPr>
                <w:rFonts w:hint="eastAsia" w:ascii="宋体" w:hAnsi="宋体" w:eastAsia="宋体" w:cs="宋体"/>
                <w:i w:val="0"/>
                <w:iCs w:val="0"/>
                <w:color w:val="000000"/>
                <w:kern w:val="0"/>
                <w:sz w:val="22"/>
                <w:szCs w:val="22"/>
                <w:u w:val="none"/>
                <w:lang w:val="en-US" w:eastAsia="zh-CN" w:bidi="ar"/>
              </w:rPr>
              <w:t>1户</w:t>
            </w:r>
          </w:p>
        </w:tc>
        <w:tc>
          <w:tcPr>
            <w:tcW w:w="1020" w:type="dxa"/>
            <w:noWrap w:val="0"/>
            <w:vAlign w:val="center"/>
          </w:tcPr>
          <w:p w14:paraId="70523466">
            <w:pPr>
              <w:pageBreakBefore w:val="0"/>
              <w:kinsoku/>
              <w:overflowPunct/>
              <w:bidi w:val="0"/>
              <w:jc w:val="center"/>
              <w:outlineLvl w:val="9"/>
              <w:rPr>
                <w:rFonts w:hint="eastAsia" w:ascii="宋体" w:hAnsi="宋体" w:cs="宋体"/>
                <w:kern w:val="0"/>
                <w:sz w:val="24"/>
                <w:highlight w:val="none"/>
              </w:rPr>
            </w:pPr>
          </w:p>
        </w:tc>
        <w:tc>
          <w:tcPr>
            <w:tcW w:w="3522" w:type="dxa"/>
            <w:noWrap w:val="0"/>
            <w:vAlign w:val="center"/>
          </w:tcPr>
          <w:p w14:paraId="6648512F">
            <w:pPr>
              <w:pageBreakBefore w:val="0"/>
              <w:kinsoku/>
              <w:overflowPunct/>
              <w:bidi w:val="0"/>
              <w:outlineLvl w:val="9"/>
              <w:rPr>
                <w:rFonts w:hint="eastAsia" w:ascii="宋体" w:hAnsi="宋体" w:cs="宋体"/>
                <w:kern w:val="0"/>
                <w:sz w:val="24"/>
                <w:highlight w:val="none"/>
              </w:rPr>
            </w:pPr>
          </w:p>
        </w:tc>
      </w:tr>
      <w:tr w14:paraId="3ECD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trPr>
        <w:tc>
          <w:tcPr>
            <w:tcW w:w="1017" w:type="dxa"/>
            <w:noWrap w:val="0"/>
            <w:vAlign w:val="center"/>
          </w:tcPr>
          <w:p w14:paraId="51B17755">
            <w:pPr>
              <w:pageBreakBefore w:val="0"/>
              <w:widowControl/>
              <w:kinsoku/>
              <w:overflowPunct/>
              <w:bidi w:val="0"/>
              <w:jc w:val="center"/>
              <w:outlineLvl w:val="9"/>
              <w:rPr>
                <w:rFonts w:hint="eastAsia" w:ascii="宋体" w:hAnsi="宋体" w:eastAsia="宋体" w:cs="宋体"/>
                <w:b/>
                <w:kern w:val="0"/>
                <w:sz w:val="24"/>
                <w:highlight w:val="none"/>
                <w:lang w:val="en-US" w:eastAsia="zh-CN"/>
              </w:rPr>
            </w:pPr>
            <w:r>
              <w:rPr>
                <w:rFonts w:hint="eastAsia" w:ascii="宋体" w:hAnsi="宋体" w:cs="宋体"/>
                <w:b/>
                <w:kern w:val="0"/>
                <w:sz w:val="24"/>
                <w:highlight w:val="none"/>
                <w:lang w:val="en-US" w:eastAsia="zh-CN"/>
              </w:rPr>
              <w:t>9</w:t>
            </w:r>
          </w:p>
        </w:tc>
        <w:tc>
          <w:tcPr>
            <w:tcW w:w="2179" w:type="dxa"/>
            <w:noWrap w:val="0"/>
            <w:vAlign w:val="center"/>
          </w:tcPr>
          <w:p w14:paraId="1ECFAF6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设计及鉴定费</w:t>
            </w:r>
            <w:bookmarkStart w:id="7" w:name="_GoBack"/>
            <w:bookmarkEnd w:id="7"/>
          </w:p>
        </w:tc>
        <w:tc>
          <w:tcPr>
            <w:tcW w:w="1020" w:type="dxa"/>
            <w:noWrap w:val="0"/>
            <w:vAlign w:val="center"/>
          </w:tcPr>
          <w:p w14:paraId="6000665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020" w:type="dxa"/>
            <w:noWrap w:val="0"/>
            <w:vAlign w:val="center"/>
          </w:tcPr>
          <w:p w14:paraId="6FC6D8B8">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1户</w:t>
            </w:r>
          </w:p>
        </w:tc>
        <w:tc>
          <w:tcPr>
            <w:tcW w:w="1020" w:type="dxa"/>
            <w:noWrap w:val="0"/>
            <w:vAlign w:val="center"/>
          </w:tcPr>
          <w:p w14:paraId="7D62A90A">
            <w:pPr>
              <w:pageBreakBefore w:val="0"/>
              <w:kinsoku/>
              <w:overflowPunct/>
              <w:bidi w:val="0"/>
              <w:jc w:val="center"/>
              <w:outlineLvl w:val="9"/>
              <w:rPr>
                <w:rFonts w:hint="default" w:ascii="宋体" w:hAnsi="宋体" w:eastAsia="宋体" w:cs="宋体"/>
                <w:kern w:val="0"/>
                <w:sz w:val="24"/>
                <w:highlight w:val="none"/>
                <w:lang w:val="en-US" w:eastAsia="zh-CN"/>
              </w:rPr>
            </w:pPr>
          </w:p>
        </w:tc>
        <w:tc>
          <w:tcPr>
            <w:tcW w:w="3522" w:type="dxa"/>
            <w:noWrap w:val="0"/>
            <w:vAlign w:val="center"/>
          </w:tcPr>
          <w:p w14:paraId="049EB588">
            <w:pPr>
              <w:pageBreakBefore w:val="0"/>
              <w:kinsoku/>
              <w:overflowPunct/>
              <w:bidi w:val="0"/>
              <w:outlineLvl w:val="9"/>
              <w:rPr>
                <w:rFonts w:hint="default" w:ascii="宋体" w:hAnsi="宋体" w:eastAsia="宋体" w:cs="宋体"/>
                <w:kern w:val="0"/>
                <w:sz w:val="24"/>
                <w:highlight w:val="none"/>
                <w:lang w:val="en-US" w:eastAsia="zh-CN"/>
              </w:rPr>
            </w:pPr>
          </w:p>
        </w:tc>
      </w:tr>
      <w:tr w14:paraId="1542A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trPr>
        <w:tc>
          <w:tcPr>
            <w:tcW w:w="1017" w:type="dxa"/>
            <w:noWrap w:val="0"/>
            <w:vAlign w:val="center"/>
          </w:tcPr>
          <w:p w14:paraId="584CC9D4">
            <w:pPr>
              <w:pageBreakBefore w:val="0"/>
              <w:widowControl/>
              <w:kinsoku/>
              <w:overflowPunct/>
              <w:bidi w:val="0"/>
              <w:jc w:val="center"/>
              <w:outlineLvl w:val="9"/>
              <w:rPr>
                <w:rFonts w:hint="default" w:ascii="宋体" w:hAnsi="宋体" w:eastAsia="宋体" w:cs="宋体"/>
                <w:b/>
                <w:kern w:val="0"/>
                <w:sz w:val="24"/>
                <w:highlight w:val="none"/>
                <w:lang w:val="en-US" w:eastAsia="zh-CN"/>
              </w:rPr>
            </w:pPr>
            <w:r>
              <w:rPr>
                <w:rFonts w:hint="eastAsia" w:ascii="宋体" w:hAnsi="宋体" w:cs="宋体"/>
                <w:b/>
                <w:kern w:val="0"/>
                <w:sz w:val="24"/>
                <w:highlight w:val="none"/>
                <w:lang w:val="en-US" w:eastAsia="zh-CN"/>
              </w:rPr>
              <w:t>...</w:t>
            </w:r>
          </w:p>
        </w:tc>
        <w:tc>
          <w:tcPr>
            <w:tcW w:w="2179" w:type="dxa"/>
            <w:noWrap w:val="0"/>
            <w:vAlign w:val="center"/>
          </w:tcPr>
          <w:p w14:paraId="1F2BB9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20" w:type="dxa"/>
            <w:noWrap w:val="0"/>
            <w:vAlign w:val="center"/>
          </w:tcPr>
          <w:p w14:paraId="0349CB12">
            <w:pPr>
              <w:pageBreakBefore w:val="0"/>
              <w:kinsoku/>
              <w:overflowPunct/>
              <w:bidi w:val="0"/>
              <w:jc w:val="center"/>
              <w:outlineLvl w:val="9"/>
              <w:rPr>
                <w:rFonts w:hint="eastAsia" w:ascii="宋体" w:hAnsi="宋体" w:cs="宋体"/>
                <w:kern w:val="0"/>
                <w:sz w:val="24"/>
                <w:highlight w:val="none"/>
              </w:rPr>
            </w:pPr>
          </w:p>
        </w:tc>
        <w:tc>
          <w:tcPr>
            <w:tcW w:w="1020" w:type="dxa"/>
            <w:noWrap w:val="0"/>
            <w:vAlign w:val="center"/>
          </w:tcPr>
          <w:p w14:paraId="444983B2">
            <w:pPr>
              <w:pageBreakBefore w:val="0"/>
              <w:kinsoku/>
              <w:overflowPunct/>
              <w:bidi w:val="0"/>
              <w:outlineLvl w:val="9"/>
              <w:rPr>
                <w:rFonts w:hint="eastAsia" w:ascii="宋体" w:hAnsi="宋体" w:cs="宋体"/>
                <w:kern w:val="0"/>
                <w:sz w:val="24"/>
                <w:highlight w:val="none"/>
              </w:rPr>
            </w:pPr>
          </w:p>
        </w:tc>
        <w:tc>
          <w:tcPr>
            <w:tcW w:w="1020" w:type="dxa"/>
            <w:noWrap w:val="0"/>
            <w:vAlign w:val="center"/>
          </w:tcPr>
          <w:p w14:paraId="39846347">
            <w:pPr>
              <w:pageBreakBefore w:val="0"/>
              <w:kinsoku/>
              <w:overflowPunct/>
              <w:bidi w:val="0"/>
              <w:outlineLvl w:val="9"/>
              <w:rPr>
                <w:rFonts w:hint="eastAsia" w:ascii="宋体" w:hAnsi="宋体" w:cs="宋体"/>
                <w:kern w:val="0"/>
                <w:sz w:val="24"/>
                <w:highlight w:val="none"/>
              </w:rPr>
            </w:pPr>
          </w:p>
        </w:tc>
        <w:tc>
          <w:tcPr>
            <w:tcW w:w="3522" w:type="dxa"/>
            <w:noWrap w:val="0"/>
            <w:vAlign w:val="center"/>
          </w:tcPr>
          <w:p w14:paraId="449EF94E">
            <w:pPr>
              <w:pageBreakBefore w:val="0"/>
              <w:kinsoku/>
              <w:overflowPunct/>
              <w:bidi w:val="0"/>
              <w:outlineLvl w:val="9"/>
              <w:rPr>
                <w:rFonts w:hint="eastAsia" w:ascii="宋体" w:hAnsi="宋体" w:cs="宋体"/>
                <w:kern w:val="0"/>
                <w:sz w:val="24"/>
                <w:highlight w:val="none"/>
              </w:rPr>
            </w:pPr>
          </w:p>
        </w:tc>
      </w:tr>
    </w:tbl>
    <w:p w14:paraId="3A966B9D">
      <w:pPr>
        <w:spacing w:line="480" w:lineRule="auto"/>
        <w:ind w:firstLine="440" w:firstLineChars="200"/>
        <w:rPr>
          <w:rFonts w:hint="eastAsia" w:ascii="宋体" w:hAnsi="宋体" w:cs="宋体"/>
          <w:b/>
          <w:bCs/>
          <w:sz w:val="22"/>
          <w:szCs w:val="22"/>
        </w:rPr>
      </w:pPr>
      <w:r>
        <w:rPr>
          <w:rFonts w:hint="eastAsia" w:ascii="宋体" w:hAnsi="宋体" w:cs="宋体"/>
          <w:sz w:val="22"/>
          <w:szCs w:val="22"/>
          <w:highlight w:val="none"/>
          <w:lang w:val="en-US" w:eastAsia="zh-CN"/>
        </w:rPr>
        <w:t>2、实际完成户数：</w:t>
      </w:r>
      <w:r>
        <w:rPr>
          <w:rFonts w:hint="eastAsia" w:ascii="宋体" w:hAnsi="宋体" w:cs="宋体"/>
          <w:sz w:val="22"/>
          <w:szCs w:val="22"/>
          <w:highlight w:val="none"/>
          <w:u w:val="single"/>
          <w:lang w:val="en-US" w:eastAsia="zh-CN"/>
        </w:rPr>
        <w:t xml:space="preserve">    </w:t>
      </w:r>
      <w:r>
        <w:rPr>
          <w:rFonts w:hint="eastAsia" w:ascii="宋体" w:hAnsi="宋体" w:cs="宋体"/>
          <w:sz w:val="22"/>
          <w:szCs w:val="22"/>
          <w:highlight w:val="none"/>
          <w:u w:val="none"/>
          <w:lang w:val="en-US" w:eastAsia="zh-CN"/>
        </w:rPr>
        <w:t>户，服务费用总价</w:t>
      </w:r>
      <w:r>
        <w:rPr>
          <w:rFonts w:hint="eastAsia" w:ascii="宋体" w:hAnsi="宋体" w:cs="宋体"/>
          <w:sz w:val="22"/>
          <w:szCs w:val="22"/>
          <w:highlight w:val="none"/>
        </w:rPr>
        <w:t>（人民币）：大写</w:t>
      </w:r>
      <w:r>
        <w:rPr>
          <w:rFonts w:hint="eastAsia" w:ascii="宋体" w:hAnsi="宋体" w:cs="宋体"/>
          <w:sz w:val="22"/>
          <w:szCs w:val="22"/>
          <w:highlight w:val="none"/>
          <w:u w:val="single"/>
        </w:rPr>
        <w:t xml:space="preserve">     </w:t>
      </w:r>
      <w:r>
        <w:rPr>
          <w:rFonts w:hint="eastAsia" w:ascii="宋体" w:hAnsi="宋体" w:cs="宋体"/>
          <w:sz w:val="22"/>
          <w:szCs w:val="22"/>
          <w:highlight w:val="none"/>
        </w:rPr>
        <w:t>；小写¥</w:t>
      </w:r>
      <w:r>
        <w:rPr>
          <w:rFonts w:hint="eastAsia" w:ascii="宋体" w:hAnsi="宋体" w:cs="宋体"/>
          <w:sz w:val="22"/>
          <w:szCs w:val="22"/>
          <w:highlight w:val="none"/>
          <w:u w:val="single"/>
        </w:rPr>
        <w:t xml:space="preserve">      </w:t>
      </w:r>
      <w:r>
        <w:rPr>
          <w:rFonts w:hint="eastAsia" w:ascii="宋体" w:hAnsi="宋体" w:cs="宋体"/>
          <w:sz w:val="22"/>
          <w:szCs w:val="22"/>
          <w:highlight w:val="none"/>
        </w:rPr>
        <w:t>元。</w:t>
      </w:r>
    </w:p>
    <w:p w14:paraId="1D24B27D">
      <w:pPr>
        <w:spacing w:line="440" w:lineRule="exact"/>
        <w:ind w:firstLine="442" w:firstLineChars="200"/>
        <w:rPr>
          <w:rFonts w:hint="eastAsia" w:ascii="宋体" w:hAnsi="宋体" w:cs="宋体"/>
          <w:b/>
          <w:bCs/>
          <w:sz w:val="22"/>
          <w:szCs w:val="22"/>
        </w:rPr>
      </w:pPr>
      <w:r>
        <w:rPr>
          <w:rFonts w:hint="eastAsia" w:ascii="宋体" w:hAnsi="宋体" w:cs="宋体"/>
          <w:b/>
          <w:bCs/>
          <w:sz w:val="22"/>
          <w:szCs w:val="22"/>
        </w:rPr>
        <w:t>六、按招标文件、《中华人民共和国政府采购法》有关规定要求，同时补充以下内容：</w:t>
      </w:r>
    </w:p>
    <w:p w14:paraId="465DA8FF">
      <w:pPr>
        <w:spacing w:line="440" w:lineRule="exact"/>
        <w:ind w:firstLine="440" w:firstLineChars="200"/>
        <w:rPr>
          <w:rFonts w:hint="eastAsia" w:ascii="宋体" w:hAnsi="宋体" w:cs="宋体"/>
          <w:sz w:val="22"/>
          <w:szCs w:val="22"/>
        </w:rPr>
      </w:pPr>
      <w:r>
        <w:rPr>
          <w:rFonts w:hint="eastAsia" w:ascii="宋体" w:hAnsi="宋体" w:cs="宋体"/>
          <w:sz w:val="22"/>
          <w:szCs w:val="22"/>
        </w:rPr>
        <w:t>（一）供应商未经采购人及有关部门同意，不得擅自变更在本项目招标活动中响应的项目范围、施工组织方案和项目负责人。</w:t>
      </w:r>
    </w:p>
    <w:p w14:paraId="148332B6">
      <w:pPr>
        <w:spacing w:line="440" w:lineRule="exact"/>
        <w:ind w:firstLine="440" w:firstLineChars="200"/>
        <w:rPr>
          <w:rFonts w:hint="eastAsia" w:ascii="宋体" w:hAnsi="宋体" w:cs="宋体"/>
          <w:sz w:val="22"/>
          <w:szCs w:val="22"/>
        </w:rPr>
      </w:pPr>
      <w:r>
        <w:rPr>
          <w:rFonts w:hint="eastAsia" w:ascii="宋体" w:hAnsi="宋体" w:cs="宋体"/>
          <w:sz w:val="22"/>
          <w:szCs w:val="22"/>
        </w:rPr>
        <w:t>（二）供应商必须自行实施，不得转包、分包。为了确保项目质量，成交人应组织一支强有力的技术骨干队伍，建立严格的质量管理体系，规范操作。</w:t>
      </w:r>
    </w:p>
    <w:p w14:paraId="35B3568C">
      <w:pPr>
        <w:spacing w:line="440" w:lineRule="exact"/>
        <w:ind w:firstLine="440" w:firstLineChars="200"/>
        <w:rPr>
          <w:rFonts w:hint="eastAsia" w:ascii="宋体" w:hAnsi="宋体" w:cs="宋体"/>
          <w:sz w:val="22"/>
          <w:szCs w:val="22"/>
        </w:rPr>
      </w:pPr>
      <w:r>
        <w:rPr>
          <w:rFonts w:hint="eastAsia" w:ascii="宋体" w:hAnsi="宋体" w:cs="宋体"/>
          <w:sz w:val="22"/>
          <w:szCs w:val="22"/>
        </w:rPr>
        <w:t>（三）供应商在响应文件和招标中的承诺以及补充意见等内容，将作为成交条件列入合同。</w:t>
      </w:r>
    </w:p>
    <w:p w14:paraId="5E805ABC">
      <w:pPr>
        <w:spacing w:line="44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（四）供应商如确因服务实际情况发生变化（不可抗拒）或其他因素造成需对方案进行修改、完善、补充时，需会同采购人商定。因此发生的费用，由双方协商解决。</w:t>
      </w:r>
    </w:p>
    <w:p w14:paraId="2A6DAF21">
      <w:pPr>
        <w:spacing w:line="440" w:lineRule="exact"/>
        <w:ind w:firstLine="440" w:firstLineChars="200"/>
        <w:rPr>
          <w:rFonts w:hint="eastAsia" w:ascii="宋体" w:hAnsi="宋体" w:eastAsia="宋体" w:cs="宋体"/>
          <w:sz w:val="22"/>
          <w:szCs w:val="22"/>
          <w:lang w:eastAsia="zh-CN"/>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五</w:t>
      </w:r>
      <w:r>
        <w:rPr>
          <w:rFonts w:hint="eastAsia" w:ascii="宋体" w:hAnsi="宋体" w:eastAsia="宋体" w:cs="宋体"/>
          <w:sz w:val="22"/>
          <w:szCs w:val="22"/>
          <w:lang w:eastAsia="zh-CN"/>
        </w:rPr>
        <w:t>）采购人可根据本项目各标段的服务数量及实际情况，对各标段的服务数量进行一定程度的调整，确保项目在保质保量的情况下按期完成。</w:t>
      </w:r>
    </w:p>
    <w:p w14:paraId="67EC5A85">
      <w:pPr>
        <w:spacing w:line="440" w:lineRule="exact"/>
        <w:ind w:firstLine="442" w:firstLineChars="200"/>
        <w:rPr>
          <w:rFonts w:hint="eastAsia" w:ascii="宋体" w:hAnsi="宋体" w:cs="宋体"/>
          <w:b/>
          <w:bCs/>
          <w:sz w:val="22"/>
          <w:szCs w:val="22"/>
        </w:rPr>
      </w:pPr>
      <w:r>
        <w:rPr>
          <w:rFonts w:hint="eastAsia" w:ascii="宋体" w:hAnsi="宋体" w:cs="宋体"/>
          <w:b/>
          <w:bCs/>
          <w:sz w:val="22"/>
          <w:szCs w:val="22"/>
        </w:rPr>
        <w:t>七、服务验收</w:t>
      </w:r>
    </w:p>
    <w:p w14:paraId="7720F193">
      <w:pPr>
        <w:spacing w:line="440" w:lineRule="exact"/>
        <w:ind w:firstLine="440" w:firstLineChars="200"/>
        <w:rPr>
          <w:rFonts w:hint="eastAsia" w:ascii="宋体" w:hAnsi="宋体" w:cs="宋体"/>
          <w:sz w:val="22"/>
          <w:szCs w:val="22"/>
        </w:rPr>
      </w:pPr>
      <w:r>
        <w:rPr>
          <w:rFonts w:hint="eastAsia" w:ascii="宋体" w:hAnsi="宋体" w:cs="宋体"/>
          <w:sz w:val="22"/>
          <w:szCs w:val="2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施工作业质量、资金使用情况及项目成效、存在问题与建议等。</w:t>
      </w:r>
    </w:p>
    <w:p w14:paraId="514FEDAA">
      <w:pPr>
        <w:spacing w:line="440" w:lineRule="exact"/>
        <w:ind w:firstLine="440" w:firstLineChars="200"/>
        <w:rPr>
          <w:rFonts w:hint="eastAsia" w:ascii="宋体" w:hAnsi="宋体" w:cs="宋体"/>
          <w:sz w:val="22"/>
          <w:szCs w:val="22"/>
        </w:rPr>
      </w:pPr>
      <w:r>
        <w:rPr>
          <w:rFonts w:hint="eastAsia" w:ascii="宋体" w:hAnsi="宋体" w:cs="宋体"/>
          <w:sz w:val="22"/>
          <w:szCs w:val="22"/>
        </w:rPr>
        <w:t>2、本项目由采购人及相关部门定期对项目进行阶段性验收。</w:t>
      </w:r>
    </w:p>
    <w:p w14:paraId="6A0D46E7">
      <w:pPr>
        <w:spacing w:line="440" w:lineRule="exact"/>
        <w:ind w:firstLine="440" w:firstLineChars="200"/>
        <w:rPr>
          <w:rFonts w:hint="eastAsia" w:ascii="宋体" w:hAnsi="宋体" w:cs="宋体"/>
          <w:sz w:val="22"/>
          <w:szCs w:val="22"/>
        </w:rPr>
      </w:pPr>
      <w:r>
        <w:rPr>
          <w:rFonts w:hint="eastAsia" w:ascii="宋体" w:hAnsi="宋体" w:cs="宋体"/>
          <w:sz w:val="22"/>
          <w:szCs w:val="22"/>
        </w:rPr>
        <w:t>3、按招标文件、投标文件及澄清函、项目检查情况等综合指标进行验收。各项指标均应符合验收标准及要求。</w:t>
      </w:r>
    </w:p>
    <w:p w14:paraId="4586D724">
      <w:pPr>
        <w:spacing w:line="440" w:lineRule="exact"/>
        <w:ind w:firstLine="442" w:firstLineChars="200"/>
        <w:rPr>
          <w:rFonts w:hint="eastAsia" w:ascii="宋体" w:hAnsi="宋体" w:cs="宋体"/>
          <w:b/>
          <w:bCs/>
          <w:sz w:val="22"/>
          <w:szCs w:val="22"/>
        </w:rPr>
      </w:pPr>
      <w:r>
        <w:rPr>
          <w:rFonts w:hint="eastAsia" w:ascii="宋体" w:hAnsi="宋体" w:cs="宋体"/>
          <w:b/>
          <w:bCs/>
          <w:sz w:val="22"/>
          <w:szCs w:val="22"/>
        </w:rPr>
        <w:t>八、结算方式</w:t>
      </w:r>
    </w:p>
    <w:p w14:paraId="76F62BEE">
      <w:pPr>
        <w:spacing w:line="440" w:lineRule="exact"/>
        <w:ind w:firstLine="442" w:firstLineChars="200"/>
        <w:rPr>
          <w:rFonts w:ascii="宋体" w:hAnsi="宋体" w:cs="宋体"/>
          <w:sz w:val="22"/>
          <w:szCs w:val="22"/>
        </w:rPr>
      </w:pPr>
      <w:r>
        <w:rPr>
          <w:rFonts w:hint="eastAsia" w:ascii="宋体" w:hAnsi="宋体" w:cs="宋体"/>
          <w:b/>
          <w:sz w:val="22"/>
          <w:szCs w:val="22"/>
        </w:rPr>
        <w:t>1、本项目服务费用根据项目实施进度进行支付，完成所有内容并验收合格后，采购人根据实际完成情况据实结算。</w:t>
      </w:r>
    </w:p>
    <w:p w14:paraId="4E27B01B">
      <w:pPr>
        <w:spacing w:line="440" w:lineRule="exact"/>
        <w:ind w:firstLine="440" w:firstLineChars="200"/>
        <w:rPr>
          <w:rFonts w:hint="eastAsia" w:ascii="宋体" w:hAnsi="宋体" w:cs="宋体"/>
          <w:sz w:val="22"/>
          <w:szCs w:val="22"/>
        </w:rPr>
      </w:pPr>
      <w:r>
        <w:rPr>
          <w:rFonts w:hint="eastAsia" w:ascii="宋体" w:hAnsi="宋体" w:cs="宋体"/>
          <w:sz w:val="22"/>
          <w:szCs w:val="22"/>
          <w:lang w:val="en-US" w:eastAsia="zh-CN"/>
        </w:rPr>
        <w:t>2、</w:t>
      </w:r>
      <w:r>
        <w:rPr>
          <w:rFonts w:hint="eastAsia" w:ascii="宋体" w:hAnsi="宋体" w:cs="宋体"/>
          <w:sz w:val="22"/>
          <w:szCs w:val="22"/>
        </w:rPr>
        <w:t>结算方式：银行转账。</w:t>
      </w:r>
    </w:p>
    <w:p w14:paraId="65160DF3">
      <w:pPr>
        <w:spacing w:line="440" w:lineRule="exact"/>
        <w:ind w:firstLine="440" w:firstLineChars="200"/>
        <w:rPr>
          <w:rFonts w:hint="eastAsia" w:ascii="宋体" w:hAnsi="宋体" w:cs="宋体"/>
          <w:sz w:val="22"/>
          <w:szCs w:val="22"/>
        </w:rPr>
      </w:pPr>
      <w:r>
        <w:rPr>
          <w:rFonts w:hint="eastAsia" w:ascii="宋体" w:hAnsi="宋体" w:cs="宋体"/>
          <w:sz w:val="22"/>
          <w:szCs w:val="22"/>
          <w:lang w:val="en-US" w:eastAsia="zh-CN"/>
        </w:rPr>
        <w:t>3、</w:t>
      </w:r>
      <w:r>
        <w:rPr>
          <w:rFonts w:hint="eastAsia" w:ascii="宋体" w:hAnsi="宋体" w:cs="宋体"/>
          <w:sz w:val="22"/>
          <w:szCs w:val="22"/>
        </w:rPr>
        <w:t>支付方式：由采购人负责结算，合同签订后，供应商在接受付款前，开具等额发票给采购人。</w:t>
      </w:r>
    </w:p>
    <w:p w14:paraId="466972F4">
      <w:pPr>
        <w:spacing w:line="440" w:lineRule="exact"/>
        <w:ind w:firstLine="440" w:firstLineChars="200"/>
        <w:rPr>
          <w:rFonts w:hint="eastAsia" w:ascii="宋体" w:hAnsi="宋体" w:cs="宋体"/>
          <w:sz w:val="22"/>
          <w:szCs w:val="22"/>
        </w:rPr>
      </w:pPr>
      <w:r>
        <w:rPr>
          <w:rFonts w:hint="eastAsia" w:ascii="宋体" w:hAnsi="宋体" w:cs="宋体"/>
          <w:sz w:val="22"/>
          <w:szCs w:val="22"/>
          <w:lang w:val="en-US" w:eastAsia="zh-CN"/>
        </w:rPr>
        <w:t>4</w:t>
      </w:r>
      <w:r>
        <w:rPr>
          <w:rFonts w:hint="eastAsia" w:ascii="宋体" w:hAnsi="宋体" w:cs="宋体"/>
          <w:sz w:val="22"/>
          <w:szCs w:val="22"/>
        </w:rPr>
        <w:t>、供应商自认完成服务内容，申请或到合同规定验收时间，经采购人验收不合格的(含未按时完成的)，在初验后积极返工合格，再次由采购人验收。</w:t>
      </w:r>
    </w:p>
    <w:p w14:paraId="22F80915">
      <w:pPr>
        <w:spacing w:line="440" w:lineRule="exact"/>
        <w:ind w:firstLine="442" w:firstLineChars="200"/>
        <w:rPr>
          <w:rFonts w:hint="eastAsia" w:ascii="宋体" w:hAnsi="宋体" w:cs="宋体"/>
          <w:b/>
          <w:bCs/>
          <w:sz w:val="22"/>
          <w:szCs w:val="22"/>
        </w:rPr>
      </w:pPr>
      <w:r>
        <w:rPr>
          <w:rFonts w:hint="eastAsia" w:ascii="宋体" w:hAnsi="宋体" w:cs="宋体"/>
          <w:b/>
          <w:bCs/>
          <w:sz w:val="22"/>
          <w:szCs w:val="22"/>
        </w:rPr>
        <w:t>九、双方职责</w:t>
      </w:r>
    </w:p>
    <w:p w14:paraId="71EF6DC9">
      <w:pPr>
        <w:spacing w:line="440" w:lineRule="exact"/>
        <w:ind w:firstLine="440" w:firstLineChars="200"/>
        <w:rPr>
          <w:rFonts w:hint="eastAsia" w:ascii="宋体" w:hAnsi="宋体" w:cs="宋体"/>
          <w:sz w:val="22"/>
          <w:szCs w:val="22"/>
        </w:rPr>
      </w:pPr>
      <w:r>
        <w:rPr>
          <w:rFonts w:hint="eastAsia" w:ascii="宋体" w:hAnsi="宋体" w:cs="宋体"/>
          <w:sz w:val="22"/>
          <w:szCs w:val="22"/>
        </w:rPr>
        <w:t>1、采购人职责：</w:t>
      </w:r>
    </w:p>
    <w:p w14:paraId="5170AD16">
      <w:pPr>
        <w:spacing w:line="440" w:lineRule="exact"/>
        <w:ind w:firstLine="440" w:firstLineChars="200"/>
        <w:rPr>
          <w:rFonts w:hint="eastAsia" w:ascii="宋体" w:hAnsi="宋体" w:cs="宋体"/>
          <w:sz w:val="22"/>
          <w:szCs w:val="22"/>
        </w:rPr>
      </w:pPr>
      <w:r>
        <w:rPr>
          <w:rFonts w:hint="eastAsia" w:ascii="宋体" w:hAnsi="宋体" w:cs="宋体"/>
          <w:sz w:val="22"/>
          <w:szCs w:val="22"/>
        </w:rPr>
        <w:t>（1）负责提供技术指导，对供应商在服务实施过程中的各个环节进行检查、监督。</w:t>
      </w:r>
    </w:p>
    <w:p w14:paraId="790F1A3E">
      <w:pPr>
        <w:spacing w:line="440" w:lineRule="exact"/>
        <w:ind w:firstLine="440" w:firstLineChars="200"/>
        <w:rPr>
          <w:rFonts w:hint="eastAsia" w:ascii="宋体" w:hAnsi="宋体" w:cs="宋体"/>
          <w:sz w:val="22"/>
          <w:szCs w:val="22"/>
        </w:rPr>
      </w:pPr>
      <w:r>
        <w:rPr>
          <w:rFonts w:hint="eastAsia" w:ascii="宋体" w:hAnsi="宋体" w:cs="宋体"/>
          <w:sz w:val="22"/>
          <w:szCs w:val="22"/>
        </w:rPr>
        <w:t>（2）接到供应商申请后或供应商完工后应及时验收，验收合格后向有关主管部门申请抽查或核查后。按合同规定时间付清供应商合同款。</w:t>
      </w:r>
    </w:p>
    <w:p w14:paraId="1CFBED4B">
      <w:pPr>
        <w:spacing w:line="440" w:lineRule="exact"/>
        <w:ind w:firstLine="440" w:firstLineChars="200"/>
        <w:rPr>
          <w:rFonts w:hint="eastAsia" w:ascii="宋体" w:hAnsi="宋体" w:cs="宋体"/>
          <w:sz w:val="22"/>
          <w:szCs w:val="22"/>
        </w:rPr>
      </w:pPr>
      <w:r>
        <w:rPr>
          <w:rFonts w:hint="eastAsia" w:ascii="宋体" w:hAnsi="宋体" w:cs="宋体"/>
          <w:sz w:val="22"/>
          <w:szCs w:val="22"/>
        </w:rPr>
        <w:t>2、供应商职责：</w:t>
      </w:r>
    </w:p>
    <w:p w14:paraId="295BB716">
      <w:pPr>
        <w:spacing w:line="440" w:lineRule="exact"/>
        <w:ind w:firstLine="440" w:firstLineChars="200"/>
        <w:rPr>
          <w:rFonts w:hint="eastAsia" w:ascii="宋体" w:hAnsi="宋体" w:cs="宋体"/>
          <w:sz w:val="22"/>
          <w:szCs w:val="22"/>
        </w:rPr>
      </w:pPr>
      <w:r>
        <w:rPr>
          <w:rFonts w:hint="eastAsia" w:ascii="宋体" w:hAnsi="宋体" w:cs="宋体"/>
          <w:sz w:val="22"/>
          <w:szCs w:val="22"/>
        </w:rPr>
        <w:t>（1）认真履行本合同责任，严格按作业设计进行施工，按时、按质、按量全额完成承包范围内的服务任务。</w:t>
      </w:r>
    </w:p>
    <w:p w14:paraId="56451059">
      <w:pPr>
        <w:spacing w:line="440" w:lineRule="exact"/>
        <w:ind w:firstLine="440" w:firstLineChars="200"/>
        <w:rPr>
          <w:rFonts w:hint="eastAsia" w:ascii="宋体" w:hAnsi="宋体" w:cs="宋体"/>
          <w:sz w:val="22"/>
          <w:szCs w:val="22"/>
        </w:rPr>
      </w:pPr>
      <w:r>
        <w:rPr>
          <w:rFonts w:hint="eastAsia" w:ascii="宋体" w:hAnsi="宋体" w:cs="宋体"/>
          <w:sz w:val="22"/>
          <w:szCs w:val="22"/>
        </w:rPr>
        <w:t>（2）注意安全生产，承担安全责任。供应商负责所有参加其服务作业人员的劳动保险，否则视为违约，所出现的工伤事故和经济损失全部由供应商负责。供应商所拟派的工作人员，若在服务期间发生任何伤害，采购人概不负责，由供应商自行处理。</w:t>
      </w:r>
    </w:p>
    <w:p w14:paraId="25FCF412">
      <w:pPr>
        <w:spacing w:line="440" w:lineRule="exact"/>
        <w:ind w:firstLine="440" w:firstLineChars="200"/>
        <w:rPr>
          <w:rFonts w:hint="eastAsia" w:ascii="宋体" w:hAnsi="宋体" w:cs="宋体"/>
          <w:sz w:val="22"/>
          <w:szCs w:val="22"/>
        </w:rPr>
      </w:pPr>
      <w:r>
        <w:rPr>
          <w:rFonts w:hint="eastAsia" w:ascii="宋体" w:hAnsi="宋体" w:cs="宋体"/>
          <w:sz w:val="22"/>
          <w:szCs w:val="22"/>
        </w:rPr>
        <w:t>（3）供应商接受项目行业管理部门及政府有关部门的指导，接受采购人的监督，不得延误时机，否则视为违约，负违约责任。</w:t>
      </w:r>
    </w:p>
    <w:p w14:paraId="31D25731">
      <w:pPr>
        <w:spacing w:line="44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（4）供应商在作业服务中必须做好防火和环境保护工作，若出现火灾或环境破坏事故，全部损失由供应商承担。</w:t>
      </w:r>
    </w:p>
    <w:p w14:paraId="175020AC">
      <w:pPr>
        <w:spacing w:line="440" w:lineRule="exact"/>
        <w:ind w:firstLine="442" w:firstLineChars="200"/>
        <w:rPr>
          <w:rFonts w:hint="eastAsia" w:ascii="宋体" w:hAnsi="宋体" w:cs="宋体"/>
          <w:b/>
          <w:bCs/>
          <w:sz w:val="22"/>
          <w:szCs w:val="22"/>
        </w:rPr>
      </w:pPr>
      <w:r>
        <w:rPr>
          <w:rFonts w:hint="eastAsia" w:ascii="宋体" w:hAnsi="宋体" w:cs="宋体"/>
          <w:b/>
          <w:bCs/>
          <w:sz w:val="22"/>
          <w:szCs w:val="22"/>
        </w:rPr>
        <w:t>十、违约责任</w:t>
      </w:r>
    </w:p>
    <w:p w14:paraId="2080CDE5">
      <w:pPr>
        <w:spacing w:line="440" w:lineRule="exact"/>
        <w:ind w:firstLine="440" w:firstLineChars="200"/>
        <w:rPr>
          <w:rFonts w:hint="eastAsia" w:ascii="宋体" w:hAnsi="宋体" w:cs="宋体"/>
          <w:sz w:val="22"/>
          <w:szCs w:val="22"/>
        </w:rPr>
      </w:pPr>
      <w:r>
        <w:rPr>
          <w:rFonts w:hint="eastAsia" w:ascii="宋体" w:hAnsi="宋体" w:cs="宋体"/>
          <w:sz w:val="22"/>
          <w:szCs w:val="22"/>
        </w:rPr>
        <w:t>（一）采购人因未及时向供应商提供项目启动所需资料、协调地方关系造成工期延误，每延误1日则本合同工期期限延长1日，以此类推；因资料真实性给供应商造成损失和产生相关连带责任时，采购人除按供应商要求进行赔偿外还需承担因连带责任产生的所有责任。</w:t>
      </w:r>
    </w:p>
    <w:p w14:paraId="01849898">
      <w:pPr>
        <w:spacing w:line="440" w:lineRule="exact"/>
        <w:ind w:firstLine="440" w:firstLineChars="200"/>
        <w:rPr>
          <w:rFonts w:hint="eastAsia" w:ascii="宋体" w:hAnsi="宋体" w:cs="宋体"/>
          <w:sz w:val="22"/>
          <w:szCs w:val="22"/>
        </w:rPr>
      </w:pPr>
      <w:r>
        <w:rPr>
          <w:rFonts w:hint="eastAsia" w:ascii="宋体" w:hAnsi="宋体" w:cs="宋体"/>
          <w:sz w:val="22"/>
          <w:szCs w:val="22"/>
        </w:rPr>
        <w:t>（二）因供应商原因造成工期延误（自然灾害等不可抗力除外），采购人有权从未付款项中按每日3‰合同价款扣除违约金，此违约以30日为限；若采购人未按约定时间付款，则供应商有权按每日3‰合同价款收取违约金。</w:t>
      </w:r>
    </w:p>
    <w:p w14:paraId="7E9D2B3B">
      <w:pPr>
        <w:spacing w:line="440" w:lineRule="exact"/>
        <w:ind w:firstLine="442" w:firstLineChars="200"/>
        <w:rPr>
          <w:rFonts w:hint="eastAsia" w:ascii="宋体" w:hAnsi="宋体" w:cs="宋体"/>
          <w:b/>
          <w:bCs/>
          <w:sz w:val="22"/>
          <w:szCs w:val="22"/>
        </w:rPr>
      </w:pPr>
      <w:r>
        <w:rPr>
          <w:rFonts w:hint="eastAsia" w:ascii="宋体" w:hAnsi="宋体" w:cs="宋体"/>
          <w:b/>
          <w:bCs/>
          <w:sz w:val="22"/>
          <w:szCs w:val="22"/>
        </w:rPr>
        <w:t>十一、不可抗力事件处理</w:t>
      </w:r>
    </w:p>
    <w:p w14:paraId="60502E17">
      <w:pPr>
        <w:spacing w:line="440" w:lineRule="exact"/>
        <w:ind w:firstLine="440" w:firstLineChars="200"/>
        <w:rPr>
          <w:rFonts w:hint="eastAsia" w:ascii="宋体" w:hAnsi="宋体" w:cs="宋体"/>
          <w:sz w:val="22"/>
          <w:szCs w:val="22"/>
        </w:rPr>
      </w:pPr>
      <w:r>
        <w:rPr>
          <w:rFonts w:hint="eastAsia" w:ascii="宋体" w:hAnsi="宋体" w:cs="宋体"/>
          <w:sz w:val="22"/>
          <w:szCs w:val="22"/>
        </w:rPr>
        <w:t>1、在合同有效期内，任何一方因不可抗力事件导致不能履行合同，则合同履行期可延长，其延长期与不可抗力影响期相同。</w:t>
      </w:r>
    </w:p>
    <w:p w14:paraId="4799D962">
      <w:pPr>
        <w:spacing w:line="440" w:lineRule="exact"/>
        <w:ind w:firstLine="440" w:firstLineChars="200"/>
        <w:rPr>
          <w:rFonts w:hint="eastAsia" w:ascii="宋体" w:hAnsi="宋体" w:cs="宋体"/>
          <w:sz w:val="22"/>
          <w:szCs w:val="22"/>
        </w:rPr>
      </w:pPr>
      <w:r>
        <w:rPr>
          <w:rFonts w:hint="eastAsia" w:ascii="宋体" w:hAnsi="宋体" w:cs="宋体"/>
          <w:sz w:val="22"/>
          <w:szCs w:val="22"/>
        </w:rPr>
        <w:t>2、不可抗力事件发生后，应立即通知对方，并寄送有关权威机构出具的证明。</w:t>
      </w:r>
    </w:p>
    <w:p w14:paraId="428AB5F7">
      <w:pPr>
        <w:spacing w:line="440" w:lineRule="exact"/>
        <w:ind w:firstLine="440" w:firstLineChars="200"/>
        <w:rPr>
          <w:rFonts w:hint="eastAsia" w:ascii="宋体" w:hAnsi="宋体" w:cs="宋体"/>
          <w:sz w:val="22"/>
          <w:szCs w:val="22"/>
        </w:rPr>
      </w:pPr>
      <w:r>
        <w:rPr>
          <w:rFonts w:hint="eastAsia" w:ascii="宋体" w:hAnsi="宋体" w:cs="宋体"/>
          <w:sz w:val="22"/>
          <w:szCs w:val="22"/>
        </w:rPr>
        <w:t>3、不可抗力事件延续120天以上，双方应通过友好协商，确定是否继续履行合同。</w:t>
      </w:r>
    </w:p>
    <w:p w14:paraId="622E22D6">
      <w:pPr>
        <w:spacing w:line="440" w:lineRule="exact"/>
        <w:ind w:firstLine="442" w:firstLineChars="200"/>
        <w:rPr>
          <w:rFonts w:hint="eastAsia" w:ascii="宋体" w:hAnsi="宋体" w:cs="宋体"/>
          <w:b/>
          <w:bCs/>
          <w:sz w:val="22"/>
          <w:szCs w:val="22"/>
        </w:rPr>
      </w:pPr>
      <w:r>
        <w:rPr>
          <w:rFonts w:hint="eastAsia" w:ascii="宋体" w:hAnsi="宋体" w:cs="宋体"/>
          <w:b/>
          <w:bCs/>
          <w:sz w:val="22"/>
          <w:szCs w:val="22"/>
        </w:rPr>
        <w:t>十二、诉讼</w:t>
      </w:r>
    </w:p>
    <w:p w14:paraId="0E76EFFB">
      <w:pPr>
        <w:spacing w:line="440" w:lineRule="exact"/>
        <w:ind w:firstLine="440" w:firstLineChars="200"/>
        <w:rPr>
          <w:rFonts w:hint="eastAsia" w:ascii="宋体" w:hAnsi="宋体" w:cs="宋体"/>
          <w:sz w:val="22"/>
          <w:szCs w:val="22"/>
        </w:rPr>
      </w:pPr>
      <w:r>
        <w:rPr>
          <w:rFonts w:hint="eastAsia" w:ascii="宋体" w:hAnsi="宋体" w:cs="宋体"/>
          <w:sz w:val="22"/>
          <w:szCs w:val="22"/>
        </w:rPr>
        <w:t>双方在执行合同中所发生的一切争议，应通过协商解决。如协商不成，可向项目所在地法院起诉。</w:t>
      </w:r>
    </w:p>
    <w:p w14:paraId="2642B1FA">
      <w:pPr>
        <w:spacing w:line="440" w:lineRule="exact"/>
        <w:ind w:firstLine="442" w:firstLineChars="200"/>
        <w:rPr>
          <w:rFonts w:hint="eastAsia" w:ascii="宋体" w:hAnsi="宋体" w:cs="宋体"/>
          <w:b/>
          <w:bCs/>
          <w:sz w:val="22"/>
          <w:szCs w:val="22"/>
        </w:rPr>
      </w:pPr>
      <w:r>
        <w:rPr>
          <w:rFonts w:hint="eastAsia" w:ascii="宋体" w:hAnsi="宋体" w:cs="宋体"/>
          <w:b/>
          <w:bCs/>
          <w:sz w:val="22"/>
          <w:szCs w:val="22"/>
        </w:rPr>
        <w:t>十三、合同生效及其它</w:t>
      </w:r>
    </w:p>
    <w:p w14:paraId="7E9C0223">
      <w:pPr>
        <w:spacing w:line="440" w:lineRule="exact"/>
        <w:ind w:firstLine="440" w:firstLineChars="200"/>
        <w:rPr>
          <w:rFonts w:hint="eastAsia" w:ascii="宋体" w:hAnsi="宋体" w:cs="宋体"/>
          <w:sz w:val="22"/>
          <w:szCs w:val="22"/>
        </w:rPr>
      </w:pPr>
      <w:r>
        <w:rPr>
          <w:rFonts w:hint="eastAsia" w:ascii="宋体" w:hAnsi="宋体" w:cs="宋体"/>
          <w:sz w:val="22"/>
          <w:szCs w:val="22"/>
        </w:rPr>
        <w:t>1、本合同经采购人、供应商法定代表人或其委托人签字并加盖公章后生效。</w:t>
      </w:r>
    </w:p>
    <w:p w14:paraId="010CDEDC">
      <w:pPr>
        <w:spacing w:line="440" w:lineRule="exact"/>
        <w:ind w:firstLine="440" w:firstLineChars="200"/>
        <w:rPr>
          <w:rFonts w:hint="eastAsia" w:ascii="宋体" w:hAnsi="宋体" w:cs="宋体"/>
          <w:sz w:val="22"/>
          <w:szCs w:val="22"/>
        </w:rPr>
      </w:pPr>
      <w:r>
        <w:rPr>
          <w:rFonts w:hint="eastAsia" w:ascii="宋体" w:hAnsi="宋体" w:cs="宋体"/>
          <w:sz w:val="22"/>
          <w:szCs w:val="22"/>
        </w:rPr>
        <w:t>2、本合同一式六份，采购人、供应商各执二份，其余相关部门各一份。</w:t>
      </w:r>
    </w:p>
    <w:p w14:paraId="08ED3564">
      <w:pPr>
        <w:spacing w:line="440" w:lineRule="exact"/>
        <w:ind w:firstLine="440" w:firstLineChars="200"/>
        <w:rPr>
          <w:rFonts w:ascii="宋体" w:hAnsi="宋体" w:cs="宋体"/>
          <w:sz w:val="22"/>
          <w:szCs w:val="22"/>
        </w:rPr>
      </w:pPr>
    </w:p>
    <w:p w14:paraId="0E3A253F">
      <w:pPr>
        <w:spacing w:line="600" w:lineRule="auto"/>
        <w:rPr>
          <w:rFonts w:ascii="宋体" w:hAnsi="宋体" w:cs="宋体"/>
          <w:sz w:val="22"/>
          <w:szCs w:val="22"/>
        </w:rPr>
      </w:pPr>
      <w:r>
        <w:rPr>
          <w:rFonts w:hint="eastAsia" w:ascii="宋体" w:hAnsi="宋体" w:cs="宋体"/>
          <w:sz w:val="22"/>
          <w:szCs w:val="22"/>
        </w:rPr>
        <w:t>采购人</w:t>
      </w:r>
      <w:r>
        <w:rPr>
          <w:rFonts w:ascii="宋体" w:hAnsi="宋体" w:cs="宋体"/>
          <w:sz w:val="22"/>
          <w:szCs w:val="22"/>
        </w:rPr>
        <w:t>(</w:t>
      </w:r>
      <w:r>
        <w:rPr>
          <w:rFonts w:hint="eastAsia" w:ascii="宋体" w:hAnsi="宋体" w:cs="宋体"/>
          <w:sz w:val="22"/>
          <w:szCs w:val="22"/>
        </w:rPr>
        <w:t>公章</w:t>
      </w:r>
      <w:r>
        <w:rPr>
          <w:rFonts w:ascii="宋体" w:hAnsi="宋体" w:cs="宋体"/>
          <w:sz w:val="22"/>
          <w:szCs w:val="22"/>
        </w:rPr>
        <w:t>)</w:t>
      </w:r>
      <w:r>
        <w:rPr>
          <w:rFonts w:hint="eastAsia" w:ascii="宋体" w:hAnsi="宋体" w:cs="宋体"/>
          <w:sz w:val="22"/>
          <w:szCs w:val="22"/>
        </w:rPr>
        <w:t>：</w:t>
      </w:r>
      <w:r>
        <w:rPr>
          <w:rFonts w:ascii="宋体" w:hAnsi="宋体" w:cs="宋体"/>
          <w:sz w:val="22"/>
          <w:szCs w:val="22"/>
        </w:rPr>
        <w:t xml:space="preserve"> </w:t>
      </w:r>
      <w:r>
        <w:rPr>
          <w:rFonts w:hint="eastAsia" w:ascii="宋体" w:hAnsi="宋体" w:cs="宋体"/>
          <w:sz w:val="22"/>
          <w:szCs w:val="22"/>
        </w:rPr>
        <w:t></w:t>
      </w:r>
      <w:r>
        <w:rPr>
          <w:rFonts w:ascii="宋体" w:hAnsi="宋体" w:cs="宋体"/>
          <w:sz w:val="22"/>
          <w:szCs w:val="22"/>
        </w:rPr>
        <w:t xml:space="preserve"> </w:t>
      </w:r>
      <w:r>
        <w:rPr>
          <w:rFonts w:hint="eastAsia" w:ascii="宋体" w:hAnsi="宋体" w:cs="宋体"/>
          <w:sz w:val="22"/>
          <w:szCs w:val="22"/>
        </w:rPr>
        <w:t></w:t>
      </w:r>
      <w:r>
        <w:rPr>
          <w:rFonts w:ascii="宋体" w:hAnsi="宋体" w:cs="宋体"/>
          <w:sz w:val="22"/>
          <w:szCs w:val="22"/>
        </w:rPr>
        <w:t xml:space="preserve">       </w:t>
      </w:r>
      <w:r>
        <w:rPr>
          <w:rFonts w:hint="eastAsia" w:ascii="宋体" w:hAnsi="宋体" w:cs="宋体"/>
          <w:sz w:val="22"/>
          <w:szCs w:val="22"/>
        </w:rPr>
        <w:t xml:space="preserve">     </w:t>
      </w:r>
      <w:r>
        <w:rPr>
          <w:rFonts w:hint="eastAsia" w:ascii="宋体" w:hAnsi="宋体" w:cs="宋体"/>
          <w:sz w:val="22"/>
          <w:szCs w:val="22"/>
          <w:lang w:val="en-US" w:eastAsia="zh-CN"/>
        </w:rPr>
        <w:t xml:space="preserve">  </w:t>
      </w:r>
      <w:r>
        <w:rPr>
          <w:rFonts w:hint="eastAsia" w:ascii="宋体" w:hAnsi="宋体" w:cs="宋体"/>
          <w:sz w:val="22"/>
          <w:szCs w:val="22"/>
        </w:rPr>
        <w:t xml:space="preserve"> 供应商</w:t>
      </w:r>
      <w:r>
        <w:rPr>
          <w:rFonts w:ascii="宋体" w:hAnsi="宋体" w:cs="宋体"/>
          <w:sz w:val="22"/>
          <w:szCs w:val="22"/>
        </w:rPr>
        <w:t>(</w:t>
      </w:r>
      <w:r>
        <w:rPr>
          <w:rFonts w:hint="eastAsia" w:ascii="宋体" w:hAnsi="宋体" w:cs="宋体"/>
          <w:sz w:val="22"/>
          <w:szCs w:val="22"/>
        </w:rPr>
        <w:t>公章</w:t>
      </w:r>
      <w:r>
        <w:rPr>
          <w:rFonts w:ascii="宋体" w:hAnsi="宋体" w:cs="宋体"/>
          <w:sz w:val="22"/>
          <w:szCs w:val="22"/>
        </w:rPr>
        <w:t>)</w:t>
      </w:r>
      <w:r>
        <w:rPr>
          <w:rFonts w:hint="eastAsia" w:ascii="宋体" w:hAnsi="宋体" w:cs="宋体"/>
          <w:sz w:val="22"/>
          <w:szCs w:val="22"/>
        </w:rPr>
        <w:t>：</w:t>
      </w:r>
      <w:r>
        <w:rPr>
          <w:rFonts w:ascii="宋体" w:hAnsi="宋体" w:cs="宋体"/>
          <w:sz w:val="22"/>
          <w:szCs w:val="22"/>
        </w:rPr>
        <w:t xml:space="preserve">          </w:t>
      </w:r>
      <w:r>
        <w:rPr>
          <w:rFonts w:hint="eastAsia" w:ascii="宋体" w:hAnsi="宋体" w:cs="宋体"/>
          <w:sz w:val="22"/>
          <w:szCs w:val="22"/>
        </w:rPr>
        <w:t></w:t>
      </w:r>
      <w:r>
        <w:rPr>
          <w:rFonts w:ascii="宋体" w:hAnsi="宋体" w:cs="宋体"/>
          <w:sz w:val="22"/>
          <w:szCs w:val="22"/>
        </w:rPr>
        <w:t xml:space="preserve"> </w:t>
      </w:r>
    </w:p>
    <w:p w14:paraId="289C2E0A">
      <w:pPr>
        <w:spacing w:line="600" w:lineRule="auto"/>
        <w:ind w:firstLine="440" w:firstLineChars="200"/>
        <w:rPr>
          <w:rFonts w:ascii="宋体" w:hAnsi="宋体" w:cs="宋体"/>
          <w:sz w:val="22"/>
          <w:szCs w:val="22"/>
        </w:rPr>
      </w:pPr>
      <w:r>
        <w:rPr>
          <w:rFonts w:hint="eastAsia" w:ascii="宋体" w:hAnsi="宋体" w:cs="宋体"/>
          <w:sz w:val="22"/>
          <w:szCs w:val="22"/>
        </w:rPr>
        <w:t></w:t>
      </w:r>
      <w:r>
        <w:rPr>
          <w:rFonts w:ascii="宋体" w:hAnsi="宋体" w:cs="宋体"/>
          <w:sz w:val="22"/>
          <w:szCs w:val="22"/>
        </w:rPr>
        <w:t xml:space="preserve"> </w:t>
      </w:r>
      <w:r>
        <w:rPr>
          <w:rFonts w:hint="eastAsia" w:ascii="宋体" w:hAnsi="宋体" w:cs="宋体"/>
          <w:sz w:val="22"/>
          <w:szCs w:val="22"/>
        </w:rPr>
        <w:t></w:t>
      </w:r>
      <w:r>
        <w:rPr>
          <w:rFonts w:ascii="宋体" w:hAnsi="宋体" w:cs="宋体"/>
          <w:sz w:val="22"/>
          <w:szCs w:val="22"/>
        </w:rPr>
        <w:t xml:space="preserve">      </w:t>
      </w:r>
    </w:p>
    <w:p w14:paraId="3217356D">
      <w:pPr>
        <w:spacing w:line="600" w:lineRule="auto"/>
        <w:rPr>
          <w:rFonts w:ascii="宋体" w:hAnsi="宋体" w:cs="宋体"/>
          <w:sz w:val="22"/>
          <w:szCs w:val="22"/>
        </w:rPr>
      </w:pPr>
      <w:r>
        <w:rPr>
          <w:rFonts w:hint="eastAsia" w:ascii="宋体" w:hAnsi="宋体" w:cs="宋体"/>
          <w:sz w:val="22"/>
          <w:szCs w:val="22"/>
        </w:rPr>
        <w:t>法定代表人或</w:t>
      </w:r>
      <w:r>
        <w:rPr>
          <w:rFonts w:ascii="宋体" w:hAnsi="宋体" w:cs="宋体"/>
          <w:sz w:val="22"/>
          <w:szCs w:val="22"/>
        </w:rPr>
        <w:t xml:space="preserve">      </w:t>
      </w:r>
      <w:r>
        <w:rPr>
          <w:rFonts w:hint="eastAsia" w:ascii="宋体" w:hAnsi="宋体" w:cs="宋体"/>
          <w:sz w:val="22"/>
          <w:szCs w:val="22"/>
        </w:rPr>
        <w:t xml:space="preserve">            </w:t>
      </w:r>
      <w:r>
        <w:rPr>
          <w:rFonts w:hint="eastAsia" w:ascii="宋体" w:hAnsi="宋体" w:cs="宋体"/>
          <w:sz w:val="22"/>
          <w:szCs w:val="22"/>
          <w:lang w:val="en-US" w:eastAsia="zh-CN"/>
        </w:rPr>
        <w:t xml:space="preserve">  </w:t>
      </w:r>
      <w:r>
        <w:rPr>
          <w:rFonts w:hint="eastAsia" w:ascii="宋体" w:hAnsi="宋体" w:cs="宋体"/>
          <w:sz w:val="22"/>
          <w:szCs w:val="22"/>
        </w:rPr>
        <w:t xml:space="preserve"> 法定代表人或</w:t>
      </w:r>
      <w:r>
        <w:rPr>
          <w:rFonts w:ascii="宋体" w:hAnsi="宋体" w:cs="宋体"/>
          <w:sz w:val="22"/>
          <w:szCs w:val="22"/>
        </w:rPr>
        <w:t xml:space="preserve">       </w:t>
      </w:r>
    </w:p>
    <w:p w14:paraId="3F659302">
      <w:pPr>
        <w:spacing w:line="600" w:lineRule="auto"/>
      </w:pPr>
      <w:r>
        <w:rPr>
          <w:rFonts w:hint="eastAsia" w:ascii="宋体" w:hAnsi="宋体" w:cs="宋体"/>
          <w:sz w:val="22"/>
          <w:szCs w:val="22"/>
        </w:rPr>
        <w:t>委托代理人</w:t>
      </w:r>
      <w:r>
        <w:rPr>
          <w:rFonts w:ascii="宋体" w:hAnsi="宋体" w:cs="宋体"/>
          <w:sz w:val="22"/>
          <w:szCs w:val="22"/>
        </w:rPr>
        <w:t>(</w:t>
      </w:r>
      <w:r>
        <w:rPr>
          <w:rFonts w:hint="eastAsia" w:ascii="宋体" w:hAnsi="宋体" w:cs="宋体"/>
          <w:sz w:val="22"/>
          <w:szCs w:val="22"/>
        </w:rPr>
        <w:t>签字或盖章</w:t>
      </w:r>
      <w:r>
        <w:rPr>
          <w:rFonts w:ascii="宋体" w:hAnsi="宋体" w:cs="宋体"/>
          <w:sz w:val="22"/>
          <w:szCs w:val="22"/>
        </w:rPr>
        <w:t>)</w:t>
      </w:r>
      <w:r>
        <w:rPr>
          <w:rFonts w:hint="eastAsia" w:ascii="宋体" w:hAnsi="宋体" w:cs="宋体"/>
          <w:sz w:val="22"/>
          <w:szCs w:val="22"/>
        </w:rPr>
        <w:t>：</w:t>
      </w:r>
      <w:r>
        <w:rPr>
          <w:rFonts w:ascii="宋体" w:hAnsi="宋体" w:cs="宋体"/>
          <w:sz w:val="22"/>
          <w:szCs w:val="22"/>
        </w:rPr>
        <w:t xml:space="preserve">      </w:t>
      </w:r>
      <w:r>
        <w:rPr>
          <w:rFonts w:hint="eastAsia" w:ascii="宋体" w:hAnsi="宋体" w:cs="宋体"/>
          <w:sz w:val="22"/>
          <w:szCs w:val="22"/>
          <w:lang w:val="en-US" w:eastAsia="zh-CN"/>
        </w:rPr>
        <w:t xml:space="preserve">  </w:t>
      </w:r>
      <w:r>
        <w:rPr>
          <w:rFonts w:ascii="宋体" w:hAnsi="宋体" w:cs="宋体"/>
          <w:sz w:val="22"/>
          <w:szCs w:val="22"/>
        </w:rPr>
        <w:t xml:space="preserve"> </w:t>
      </w:r>
      <w:r>
        <w:rPr>
          <w:rFonts w:hint="eastAsia" w:ascii="宋体" w:hAnsi="宋体" w:cs="宋体"/>
          <w:sz w:val="22"/>
          <w:szCs w:val="22"/>
        </w:rPr>
        <w:t>委托代理人</w:t>
      </w:r>
      <w:r>
        <w:rPr>
          <w:rFonts w:ascii="宋体" w:hAnsi="宋体" w:cs="宋体"/>
          <w:sz w:val="22"/>
          <w:szCs w:val="22"/>
        </w:rPr>
        <w:t>(</w:t>
      </w:r>
      <w:r>
        <w:rPr>
          <w:rFonts w:hint="eastAsia" w:ascii="宋体" w:hAnsi="宋体" w:cs="宋体"/>
          <w:sz w:val="22"/>
          <w:szCs w:val="22"/>
        </w:rPr>
        <w:t>签字或盖章</w:t>
      </w:r>
      <w:r>
        <w:rPr>
          <w:rFonts w:ascii="宋体" w:hAnsi="宋体" w:cs="宋体"/>
          <w:sz w:val="22"/>
          <w:szCs w:val="22"/>
        </w:rPr>
        <w:t>)</w:t>
      </w:r>
      <w:r>
        <w:rPr>
          <w:rFonts w:hint="eastAsia" w:ascii="宋体" w:hAnsi="宋体" w:cs="宋体"/>
          <w:sz w:val="22"/>
          <w:szCs w:val="22"/>
        </w:rPr>
        <w:t>：</w:t>
      </w:r>
    </w:p>
    <w:p w14:paraId="3CE066A1">
      <w:pPr>
        <w:pStyle w:val="5"/>
        <w:spacing w:line="440" w:lineRule="exact"/>
        <w:ind w:firstLine="600" w:firstLineChars="250"/>
        <w:rPr>
          <w:rFonts w:hint="eastAsia" w:ascii="宋体" w:hAnsi="宋体" w:cs="宋体"/>
          <w:color w:val="auto"/>
          <w:kern w:val="0"/>
          <w:szCs w:val="21"/>
        </w:rPr>
      </w:pPr>
    </w:p>
    <w:p w14:paraId="4FD3850A">
      <w:pPr>
        <w:pStyle w:val="5"/>
        <w:spacing w:line="440" w:lineRule="exact"/>
        <w:ind w:firstLine="840" w:firstLineChars="350"/>
      </w:pPr>
      <w:r>
        <w:rPr>
          <w:rFonts w:hint="eastAsia" w:ascii="宋体" w:hAnsi="宋体" w:cs="宋体"/>
          <w:color w:val="auto"/>
          <w:kern w:val="0"/>
          <w:szCs w:val="21"/>
        </w:rPr>
        <w:t xml:space="preserve">年   月   日                      </w:t>
      </w:r>
      <w:r>
        <w:rPr>
          <w:rFonts w:ascii="宋体" w:hAnsi="宋体" w:cs="宋体"/>
          <w:color w:val="auto"/>
          <w:kern w:val="0"/>
          <w:szCs w:val="21"/>
        </w:rPr>
        <w:t xml:space="preserve">  </w:t>
      </w:r>
      <w:r>
        <w:rPr>
          <w:rFonts w:hint="eastAsia" w:ascii="宋体" w:hAnsi="宋体" w:cs="宋体"/>
          <w:color w:val="auto"/>
          <w:kern w:val="0"/>
          <w:szCs w:val="21"/>
        </w:rPr>
        <w:t xml:space="preserve">         年   月   日</w:t>
      </w:r>
    </w:p>
    <w:sectPr>
      <w:headerReference r:id="rId5" w:type="default"/>
      <w:footerReference r:id="rId6" w:type="default"/>
      <w:pgSz w:w="11906" w:h="16838"/>
      <w:pgMar w:top="1587" w:right="1587" w:bottom="1587"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FFBB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CEBA04">
                          <w:pPr>
                            <w:pStyle w:val="6"/>
                            <w:rPr>
                              <w:rStyle w:val="12"/>
                            </w:rPr>
                          </w:pPr>
                          <w:r>
                            <w:fldChar w:fldCharType="begin"/>
                          </w:r>
                          <w:r>
                            <w:rPr>
                              <w:rStyle w:val="12"/>
                            </w:rPr>
                            <w:instrText xml:space="preserve">PAGE  </w:instrText>
                          </w:r>
                          <w:r>
                            <w:fldChar w:fldCharType="separate"/>
                          </w:r>
                          <w:r>
                            <w:rPr>
                              <w:rStyle w:val="12"/>
                            </w:rPr>
                            <w:t>52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RlUGnRAAAABQEAAA8AAAAAAAAAAQAgAAAAIgAAAGRycy9kb3ducmV2Lnht&#10;bFBLAQIUABQAAAAIAIdO4kD0CSeXxwEAAJkDAAAOAAAAAAAAAAEAIAAAACABAABkcnMvZTJvRG9j&#10;LnhtbFBLBQYAAAAABgAGAFkBAABZBQAAAAA=&#10;">
              <v:path/>
              <v:fill on="f" focussize="0,0"/>
              <v:stroke on="f"/>
              <v:imagedata o:title=""/>
              <o:lock v:ext="edit" aspectratio="f"/>
              <v:textbox inset="0mm,0mm,0mm,0mm" style="mso-fit-shape-to-text:t;">
                <w:txbxContent>
                  <w:p w14:paraId="3FCEBA04">
                    <w:pPr>
                      <w:pStyle w:val="6"/>
                      <w:rPr>
                        <w:rStyle w:val="12"/>
                      </w:rPr>
                    </w:pPr>
                    <w:r>
                      <w:fldChar w:fldCharType="begin"/>
                    </w:r>
                    <w:r>
                      <w:rPr>
                        <w:rStyle w:val="12"/>
                      </w:rPr>
                      <w:instrText xml:space="preserve">PAGE  </w:instrText>
                    </w:r>
                    <w:r>
                      <w:fldChar w:fldCharType="separate"/>
                    </w:r>
                    <w:r>
                      <w:rPr>
                        <w:rStyle w:val="12"/>
                      </w:rPr>
                      <w:t>52</w:t>
                    </w:r>
                    <w: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908B8">
    <w:pPr>
      <w:pStyle w:val="7"/>
      <w:pBdr>
        <w:bottom w:val="none" w:color="auto" w:sz="0" w:space="2"/>
      </w:pBdr>
      <w:ind w:left="8250" w:hanging="9900" w:hangingChars="5500"/>
      <w:jc w:val="left"/>
      <w:rPr>
        <w:rFonts w:hint="eastAsia"/>
        <w:b w:val="0"/>
        <w:bCs/>
        <w:sz w:val="18"/>
        <w:szCs w:val="18"/>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54549"/>
    <w:rsid w:val="0D3A20AB"/>
    <w:rsid w:val="21EA3AD6"/>
    <w:rsid w:val="2F077AEC"/>
    <w:rsid w:val="32C5658A"/>
    <w:rsid w:val="46E620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1"/>
    <w:pPr>
      <w:widowControl w:val="0"/>
      <w:jc w:val="both"/>
    </w:pPr>
    <w:rPr>
      <w:rFonts w:ascii="Times New Roman" w:hAnsi="Times New Roman" w:eastAsia="宋体" w:cs="Times New Roman"/>
      <w:kern w:val="2"/>
      <w:sz w:val="21"/>
      <w:lang w:val="en-US" w:eastAsia="zh-CN" w:bidi="ar-SA"/>
    </w:rPr>
  </w:style>
  <w:style w:type="paragraph" w:styleId="4">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5">
    <w:name w:val="Body Text"/>
    <w:basedOn w:val="1"/>
    <w:next w:val="1"/>
    <w:qFormat/>
    <w:uiPriority w:val="99"/>
    <w:rPr>
      <w:color w:val="993300"/>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table of figures"/>
    <w:basedOn w:val="1"/>
    <w:next w:val="1"/>
    <w:qFormat/>
    <w:uiPriority w:val="0"/>
    <w:pPr>
      <w:spacing w:line="360" w:lineRule="auto"/>
      <w:ind w:hanging="200"/>
    </w:pPr>
    <w:rPr>
      <w:rFonts w:ascii="宋体"/>
      <w:kern w:val="0"/>
      <w:sz w:val="20"/>
      <w:szCs w:val="20"/>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character" w:styleId="12">
    <w:name w:val="page number"/>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1539</Words>
  <Characters>1558</Characters>
  <Lines>0</Lines>
  <Paragraphs>0</Paragraphs>
  <TotalTime>0</TotalTime>
  <ScaleCrop>false</ScaleCrop>
  <LinksUpToDate>false</LinksUpToDate>
  <CharactersWithSpaces>1809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2025-07-24T14:57:00Z</dcterms:created>
  <dc:creator>msi</dc:creator>
  <cp:lastModifiedBy>WPS_1730446345</cp:lastModifiedBy>
  <dcterms:modified xsi:type="dcterms:W3CDTF">2026-08-20T13:40:54Z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eyJoZGlkIjoiYTk5ODUyYTgyNTY4OGUzMmEyYmJiMDE0NmU0YjliZGYiLCJ1c2VySWQiOiIxNjUwNzU2NTAyIn0=</vt:lpwstr>
  </property>
  <property fmtid="{D5CDD505-2E9C-101B-9397-08002B2CF9AE}" pid="4" name="ICV">
    <vt:lpwstr>B7CA3F5DD53541B89A25A61614AE22F6_12</vt:lpwstr>
  </property>
</Properties>
</file>