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版本号：SXJH-2026-01220260626001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伞铺街幼儿园提升改造项目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SXJH-2026-012</w:t>
      </w:r>
      <w:r>
        <w:br/>
      </w:r>
      <w:r>
        <w:br/>
      </w:r>
      <w:r>
        <w:br/>
      </w:r>
    </w:p>
    <w:p>
      <w:pPr>
        <w:pStyle w:val="null3"/>
        <w:jc w:val="center"/>
        <w:outlineLvl w:val="2"/>
      </w:pPr>
      <w:r>
        <w:rPr>
          <w:rFonts w:ascii="仿宋_GB2312" w:hAnsi="仿宋_GB2312" w:cs="仿宋_GB2312" w:eastAsia="仿宋_GB2312"/>
          <w:sz w:val="28"/>
          <w:b/>
        </w:rPr>
        <w:t>汉中市伞铺街幼儿园</w:t>
      </w:r>
    </w:p>
    <w:p>
      <w:pPr>
        <w:pStyle w:val="null3"/>
        <w:jc w:val="center"/>
        <w:outlineLvl w:val="2"/>
      </w:pPr>
      <w:r>
        <w:rPr>
          <w:rFonts w:ascii="仿宋_GB2312" w:hAnsi="仿宋_GB2312" w:cs="仿宋_GB2312" w:eastAsia="仿宋_GB2312"/>
          <w:sz w:val="28"/>
          <w:b/>
        </w:rPr>
        <w:t>陕西佳鸿项目管理咨询有限公司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陕西佳鸿项目管理咨询有限公司</w:t>
      </w:r>
      <w:r>
        <w:rPr>
          <w:rFonts w:ascii="仿宋_GB2312" w:hAnsi="仿宋_GB2312" w:cs="仿宋_GB2312" w:eastAsia="仿宋_GB2312"/>
        </w:rPr>
        <w:t>（以下简称“代理机构”）受</w:t>
      </w:r>
      <w:r>
        <w:rPr>
          <w:rFonts w:ascii="仿宋_GB2312" w:hAnsi="仿宋_GB2312" w:cs="仿宋_GB2312" w:eastAsia="仿宋_GB2312"/>
        </w:rPr>
        <w:t>汉中市伞铺街幼儿园</w:t>
      </w:r>
      <w:r>
        <w:rPr>
          <w:rFonts w:ascii="仿宋_GB2312" w:hAnsi="仿宋_GB2312" w:cs="仿宋_GB2312" w:eastAsia="仿宋_GB2312"/>
        </w:rPr>
        <w:t>委托，拟对</w:t>
      </w:r>
      <w:r>
        <w:rPr>
          <w:rFonts w:ascii="仿宋_GB2312" w:hAnsi="仿宋_GB2312" w:cs="仿宋_GB2312" w:eastAsia="仿宋_GB2312"/>
        </w:rPr>
        <w:t>伞铺街幼儿园提升改造项目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SXJH-2026-012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伞铺街幼儿园提升改造项目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本工程建设地点位于汉中市伞铺街幼儿园院内，主要建设内容为：喷涂外墙真石漆、乳胶漆修补、安装墙裙板、教学楼、厨房、消防蓄水池水电改造、屋面防水等。（具体详见工程量清单及施工图）</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采购包1（教学楼及其他用 房维修改造）：属于专门面向中小企业采购。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独立承担民事责任能力的法人或其他组织或自然人：供应商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身份证明或授权委托书：法定代表人参加投标须提供《法定代表人身份证明》(附法定代表人身份证复印件)；法定代表人授权他人参加投标，须提供《法定代表人身份证明》、《法定代表人授权委托书》(附法定代表人身份证复印件及被授权人身份证复印件)；</w:t>
      </w:r>
    </w:p>
    <w:p>
      <w:pPr>
        <w:pStyle w:val="null3"/>
      </w:pPr>
      <w:r>
        <w:rPr>
          <w:rFonts w:ascii="仿宋_GB2312" w:hAnsi="仿宋_GB2312" w:cs="仿宋_GB2312" w:eastAsia="仿宋_GB2312"/>
        </w:rPr>
        <w:t>3、资质要求：供应商须具备建设行政主管部门核发的建筑工程施工总承包三级（含三级）及以上资质，具有有效的安全生产许可证；</w:t>
      </w:r>
    </w:p>
    <w:p>
      <w:pPr>
        <w:pStyle w:val="null3"/>
      </w:pPr>
      <w:r>
        <w:rPr>
          <w:rFonts w:ascii="仿宋_GB2312" w:hAnsi="仿宋_GB2312" w:cs="仿宋_GB2312" w:eastAsia="仿宋_GB2312"/>
        </w:rPr>
        <w:t>4、拟派项目经理要求：拟派的项目经理须具备建筑工程专业注册建造师二级（含二级）及以上资格和有效的安全生产考核合格证（建安B 证），且无在建工程、无不良记录（提供无在建工程、无不良记录承诺书）；</w:t>
      </w:r>
    </w:p>
    <w:p>
      <w:pPr>
        <w:pStyle w:val="null3"/>
      </w:pPr>
      <w:r>
        <w:rPr>
          <w:rFonts w:ascii="仿宋_GB2312" w:hAnsi="仿宋_GB2312" w:cs="仿宋_GB2312" w:eastAsia="仿宋_GB2312"/>
        </w:rPr>
        <w:t>5、汉中市政府采购供应商资格承诺函：供应商须具有健全的财务会计制度、履行合同所需的设备和专业技术能力、依法缴纳税收和社会保障资金，以及参加采购活动前3年内经营活动无重大违法活动记录，供应商须提供有效的《汉中市政府采购供应商资格承诺函》原件；</w:t>
      </w:r>
    </w:p>
    <w:p>
      <w:pPr>
        <w:pStyle w:val="null3"/>
      </w:pPr>
      <w:r>
        <w:rPr>
          <w:rFonts w:ascii="仿宋_GB2312" w:hAnsi="仿宋_GB2312" w:cs="仿宋_GB2312" w:eastAsia="仿宋_GB2312"/>
        </w:rPr>
        <w:t>6、非联合体声明：本项目不接受联合体响应</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汉中市伞铺街幼儿园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汉中市汉台区挂匾巷31号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汉中市伞铺街幼儿园经办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0916-2513606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陕西佳鸿项目管理咨询有限公司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陕西省汉中市汉台区东关街道办事处滨江路中青凯旋门4号楼底商202号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723099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冯工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0916-8818681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汉中市汉台区政府采购管理股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李红</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13509168535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采购包1：920,000.00元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开户名称：陕西佳鸿项目管理咨询有限公司</w:t>
            </w:r>
          </w:p>
          <w:p>
            <w:pPr>
              <w:pStyle w:val="null3"/>
            </w:pPr>
            <w:r>
              <w:rPr>
                <w:rFonts w:ascii="仿宋_GB2312" w:hAnsi="仿宋_GB2312" w:cs="仿宋_GB2312" w:eastAsia="仿宋_GB2312"/>
              </w:rPr>
              <w:t>开户银行：中国建设银行股份有限公司汉中西环路支行</w:t>
            </w:r>
          </w:p>
          <w:p>
            <w:pPr>
              <w:pStyle w:val="null3"/>
            </w:pPr>
            <w:r>
              <w:rPr>
                <w:rFonts w:ascii="仿宋_GB2312" w:hAnsi="仿宋_GB2312" w:cs="仿宋_GB2312" w:eastAsia="仿宋_GB2312"/>
              </w:rPr>
              <w:t>银行账号：61050165500009666999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代理服务费收费标准：按照《招标代理服务管理暂行办法》（计价格〔2002〕1980号）和（发改价格〔2011〕534号计算）计取。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汉中市伞铺街幼儿园</w:t>
      </w:r>
      <w:r>
        <w:rPr>
          <w:rFonts w:ascii="仿宋_GB2312" w:hAnsi="仿宋_GB2312" w:cs="仿宋_GB2312" w:eastAsia="仿宋_GB2312"/>
        </w:rPr>
        <w:t>和</w:t>
      </w:r>
      <w:r>
        <w:rPr>
          <w:rFonts w:ascii="仿宋_GB2312" w:hAnsi="仿宋_GB2312" w:cs="仿宋_GB2312" w:eastAsia="仿宋_GB2312"/>
        </w:rPr>
        <w:t>陕西佳鸿项目管理咨询有限公司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汉中市伞铺街幼儿园</w:t>
      </w:r>
      <w:r>
        <w:rPr>
          <w:rFonts w:ascii="仿宋_GB2312" w:hAnsi="仿宋_GB2312" w:cs="仿宋_GB2312" w:eastAsia="仿宋_GB2312"/>
        </w:rPr>
        <w:t>负责解释。除上述磋商文件内容，其他内容由</w:t>
      </w:r>
      <w:r>
        <w:rPr>
          <w:rFonts w:ascii="仿宋_GB2312" w:hAnsi="仿宋_GB2312" w:cs="仿宋_GB2312" w:eastAsia="仿宋_GB2312"/>
        </w:rPr>
        <w:t>陕西佳鸿项目管理咨询有限公司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汉中市伞铺街幼儿园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陕西佳鸿项目管理咨询有限公司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符合国家规定及相关行业标准要求。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陕西佳鸿项目管理咨询有限公司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陕西佳鸿项目管理咨询有限公司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陕西佳鸿项目管理咨询有限公司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联系人：冯工</w:t>
      </w:r>
    </w:p>
    <w:p>
      <w:pPr>
        <w:pStyle w:val="null3"/>
      </w:pPr>
      <w:r>
        <w:rPr>
          <w:rFonts w:ascii="仿宋_GB2312" w:hAnsi="仿宋_GB2312" w:cs="仿宋_GB2312" w:eastAsia="仿宋_GB2312"/>
        </w:rPr>
        <w:t>联系电话：0916-8818681</w:t>
      </w:r>
    </w:p>
    <w:p>
      <w:pPr>
        <w:pStyle w:val="null3"/>
      </w:pPr>
      <w:r>
        <w:rPr>
          <w:rFonts w:ascii="仿宋_GB2312" w:hAnsi="仿宋_GB2312" w:cs="仿宋_GB2312" w:eastAsia="仿宋_GB2312"/>
        </w:rPr>
        <w:t>地址：陕西省汉中市汉台区东关街道办事处滨江路中青凯旋门4号楼底商202号</w:t>
      </w:r>
    </w:p>
    <w:p>
      <w:pPr>
        <w:pStyle w:val="null3"/>
      </w:pPr>
      <w:r>
        <w:rPr>
          <w:rFonts w:ascii="仿宋_GB2312" w:hAnsi="仿宋_GB2312" w:cs="仿宋_GB2312" w:eastAsia="仿宋_GB2312"/>
        </w:rPr>
        <w:t>邮编：723099</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920,000.00</w:t>
      </w:r>
    </w:p>
    <w:p>
      <w:pPr>
        <w:pStyle w:val="null3"/>
      </w:pPr>
      <w:r>
        <w:rPr>
          <w:rFonts w:ascii="仿宋_GB2312" w:hAnsi="仿宋_GB2312" w:cs="仿宋_GB2312" w:eastAsia="仿宋_GB2312"/>
        </w:rPr>
        <w:t>采购包最高限价（元）: 920,000.00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教学楼及其他用房维修改造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920,000.00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标的名称：教学楼及其他用房维修改造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b/>
              </w:rPr>
              <w:t>一、</w:t>
            </w:r>
            <w:r>
              <w:rPr>
                <w:rFonts w:ascii="仿宋_GB2312" w:hAnsi="仿宋_GB2312" w:cs="仿宋_GB2312" w:eastAsia="仿宋_GB2312"/>
                <w:sz w:val="28"/>
                <w:b/>
              </w:rPr>
              <w:t>工程</w:t>
            </w:r>
            <w:r>
              <w:rPr>
                <w:rFonts w:ascii="仿宋_GB2312" w:hAnsi="仿宋_GB2312" w:cs="仿宋_GB2312" w:eastAsia="仿宋_GB2312"/>
                <w:sz w:val="28"/>
                <w:b/>
              </w:rPr>
              <w:t>概况：</w:t>
            </w:r>
          </w:p>
          <w:p>
            <w:pPr>
              <w:pStyle w:val="null3"/>
              <w:ind w:firstLine="560"/>
              <w:jc w:val="both"/>
            </w:pPr>
            <w:r>
              <w:rPr>
                <w:rFonts w:ascii="仿宋_GB2312" w:hAnsi="仿宋_GB2312" w:cs="仿宋_GB2312" w:eastAsia="仿宋_GB2312"/>
                <w:sz w:val="28"/>
              </w:rPr>
              <w:t xml:space="preserve">  </w:t>
            </w:r>
            <w:r>
              <w:rPr>
                <w:rFonts w:ascii="仿宋_GB2312" w:hAnsi="仿宋_GB2312" w:cs="仿宋_GB2312" w:eastAsia="仿宋_GB2312"/>
                <w:sz w:val="28"/>
              </w:rPr>
              <w:t>伞铺街幼儿园提升改造项目</w:t>
            </w:r>
            <w:r>
              <w:rPr>
                <w:rFonts w:ascii="仿宋_GB2312" w:hAnsi="仿宋_GB2312" w:cs="仿宋_GB2312" w:eastAsia="仿宋_GB2312"/>
                <w:sz w:val="28"/>
              </w:rPr>
              <w:t>。</w:t>
            </w:r>
            <w:r>
              <w:rPr>
                <w:rFonts w:ascii="仿宋_GB2312" w:hAnsi="仿宋_GB2312" w:cs="仿宋_GB2312" w:eastAsia="仿宋_GB2312"/>
                <w:sz w:val="28"/>
              </w:rPr>
              <w:t>工程地点位于汉中市汉台区。</w:t>
            </w:r>
            <w:r>
              <w:rPr>
                <w:rFonts w:ascii="仿宋_GB2312" w:hAnsi="仿宋_GB2312" w:cs="仿宋_GB2312" w:eastAsia="仿宋_GB2312"/>
                <w:sz w:val="28"/>
              </w:rPr>
              <w:t>建设内容为：新、旧教学楼改造及室外配套工程。</w:t>
            </w:r>
          </w:p>
          <w:p>
            <w:pPr>
              <w:pStyle w:val="null3"/>
              <w:jc w:val="both"/>
            </w:pPr>
            <w:r>
              <w:rPr>
                <w:rFonts w:ascii="仿宋_GB2312" w:hAnsi="仿宋_GB2312" w:cs="仿宋_GB2312" w:eastAsia="仿宋_GB2312"/>
                <w:sz w:val="28"/>
                <w:b/>
              </w:rPr>
              <w:t>二、编制范围：</w:t>
            </w:r>
          </w:p>
          <w:p>
            <w:pPr>
              <w:pStyle w:val="null3"/>
              <w:ind w:firstLine="700"/>
              <w:jc w:val="both"/>
            </w:pPr>
            <w:r>
              <w:rPr>
                <w:rFonts w:ascii="仿宋_GB2312" w:hAnsi="仿宋_GB2312" w:cs="仿宋_GB2312" w:eastAsia="仿宋_GB2312"/>
                <w:sz w:val="28"/>
              </w:rPr>
              <w:t>此次招标范围</w:t>
            </w:r>
            <w:r>
              <w:rPr>
                <w:rFonts w:ascii="仿宋_GB2312" w:hAnsi="仿宋_GB2312" w:cs="仿宋_GB2312" w:eastAsia="仿宋_GB2312"/>
                <w:sz w:val="28"/>
              </w:rPr>
              <w:t>，</w:t>
            </w:r>
            <w:r>
              <w:rPr>
                <w:rFonts w:ascii="仿宋_GB2312" w:hAnsi="仿宋_GB2312" w:cs="仿宋_GB2312" w:eastAsia="仿宋_GB2312"/>
                <w:sz w:val="28"/>
              </w:rPr>
              <w:t>详见工程量清单（见附件）。</w:t>
            </w:r>
          </w:p>
          <w:p>
            <w:pPr>
              <w:pStyle w:val="null3"/>
              <w:jc w:val="both"/>
            </w:pPr>
            <w:r>
              <w:rPr>
                <w:rFonts w:ascii="仿宋_GB2312" w:hAnsi="仿宋_GB2312" w:cs="仿宋_GB2312" w:eastAsia="仿宋_GB2312"/>
                <w:sz w:val="28"/>
                <w:b/>
              </w:rPr>
              <w:t>三、编制依据：</w:t>
            </w:r>
          </w:p>
          <w:p>
            <w:pPr>
              <w:pStyle w:val="null3"/>
              <w:ind w:firstLine="560"/>
              <w:jc w:val="both"/>
            </w:pPr>
            <w:r>
              <w:rPr>
                <w:rFonts w:ascii="仿宋_GB2312" w:hAnsi="仿宋_GB2312" w:cs="仿宋_GB2312" w:eastAsia="仿宋_GB2312"/>
                <w:sz w:val="28"/>
              </w:rPr>
              <w:t>1、建设工程文件及相关资料</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、与建设项目相关的标准、规范等技术资料</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3</w:t>
            </w:r>
            <w:r>
              <w:rPr>
                <w:rFonts w:ascii="仿宋_GB2312" w:hAnsi="仿宋_GB2312" w:cs="仿宋_GB2312" w:eastAsia="仿宋_GB2312"/>
                <w:sz w:val="28"/>
              </w:rPr>
              <w:t>、《陕西省建设工程工程量清单计价计算标准</w:t>
            </w:r>
            <w:r>
              <w:rPr>
                <w:rFonts w:ascii="仿宋_GB2312" w:hAnsi="仿宋_GB2312" w:cs="仿宋_GB2312" w:eastAsia="仿宋_GB2312"/>
                <w:sz w:val="28"/>
              </w:rPr>
              <w:t>(2025)》</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4</w:t>
            </w:r>
            <w:r>
              <w:rPr>
                <w:rFonts w:ascii="仿宋_GB2312" w:hAnsi="仿宋_GB2312" w:cs="仿宋_GB2312" w:eastAsia="仿宋_GB2312"/>
                <w:sz w:val="28"/>
              </w:rPr>
              <w:t>、《陕西省房屋建筑与装饰工程基价表</w:t>
            </w:r>
            <w:r>
              <w:rPr>
                <w:rFonts w:ascii="仿宋_GB2312" w:hAnsi="仿宋_GB2312" w:cs="仿宋_GB2312" w:eastAsia="仿宋_GB2312"/>
                <w:sz w:val="28"/>
              </w:rPr>
              <w:t>(2025)》</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5</w:t>
            </w:r>
            <w:r>
              <w:rPr>
                <w:rFonts w:ascii="仿宋_GB2312" w:hAnsi="仿宋_GB2312" w:cs="仿宋_GB2312" w:eastAsia="仿宋_GB2312"/>
                <w:sz w:val="28"/>
              </w:rPr>
              <w:t>、《陕西省</w:t>
            </w:r>
            <w:r>
              <w:rPr>
                <w:rFonts w:ascii="仿宋_GB2312" w:hAnsi="仿宋_GB2312" w:cs="仿宋_GB2312" w:eastAsia="仿宋_GB2312"/>
                <w:sz w:val="28"/>
              </w:rPr>
              <w:t>基价表说明</w:t>
            </w:r>
            <w:r>
              <w:rPr>
                <w:rFonts w:ascii="仿宋_GB2312" w:hAnsi="仿宋_GB2312" w:cs="仿宋_GB2312" w:eastAsia="仿宋_GB2312"/>
                <w:sz w:val="28"/>
              </w:rPr>
              <w:t>(2025)》</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6、</w:t>
            </w:r>
            <w:r>
              <w:rPr>
                <w:rFonts w:ascii="仿宋_GB2312" w:hAnsi="仿宋_GB2312" w:cs="仿宋_GB2312" w:eastAsia="仿宋_GB2312"/>
                <w:sz w:val="28"/>
              </w:rPr>
              <w:t>陕建管发〔</w:t>
            </w:r>
            <w:r>
              <w:rPr>
                <w:rFonts w:ascii="仿宋_GB2312" w:hAnsi="仿宋_GB2312" w:cs="仿宋_GB2312" w:eastAsia="仿宋_GB2312"/>
                <w:sz w:val="28"/>
              </w:rPr>
              <w:t>2025〕10号</w:t>
            </w:r>
            <w:r>
              <w:rPr>
                <w:rFonts w:ascii="仿宋_GB2312" w:hAnsi="仿宋_GB2312" w:cs="仿宋_GB2312" w:eastAsia="仿宋_GB2312"/>
                <w:sz w:val="28"/>
              </w:rPr>
              <w:t>，《陕西省住房和城乡建设厅关于印发</w:t>
            </w:r>
            <w:r>
              <w:rPr>
                <w:rFonts w:ascii="仿宋_GB2312" w:hAnsi="仿宋_GB2312" w:cs="仿宋_GB2312" w:eastAsia="仿宋_GB2312"/>
                <w:sz w:val="28"/>
              </w:rPr>
              <w:t>2025 陕西省建设工程费用规则等计价依据的通知》</w:t>
            </w:r>
          </w:p>
          <w:p>
            <w:pPr>
              <w:pStyle w:val="null3"/>
              <w:ind w:firstLine="560"/>
              <w:jc w:val="both"/>
            </w:pPr>
            <w:r>
              <w:rPr>
                <w:rFonts w:ascii="仿宋_GB2312" w:hAnsi="仿宋_GB2312" w:cs="仿宋_GB2312" w:eastAsia="仿宋_GB2312"/>
                <w:sz w:val="28"/>
              </w:rPr>
              <w:t>7、《2026年4月汉中建设工程造价信息》。</w:t>
            </w:r>
          </w:p>
          <w:p>
            <w:pPr>
              <w:pStyle w:val="null3"/>
              <w:jc w:val="both"/>
            </w:pPr>
            <w:r>
              <w:rPr>
                <w:rFonts w:ascii="仿宋_GB2312" w:hAnsi="仿宋_GB2312" w:cs="仿宋_GB2312" w:eastAsia="仿宋_GB2312"/>
                <w:sz w:val="28"/>
                <w:b/>
              </w:rPr>
              <w:t>四</w:t>
            </w:r>
            <w:r>
              <w:rPr>
                <w:rFonts w:ascii="仿宋_GB2312" w:hAnsi="仿宋_GB2312" w:cs="仿宋_GB2312" w:eastAsia="仿宋_GB2312"/>
                <w:sz w:val="28"/>
                <w:b/>
              </w:rPr>
              <w:t>、</w:t>
            </w:r>
            <w:r>
              <w:rPr>
                <w:rFonts w:ascii="仿宋_GB2312" w:hAnsi="仿宋_GB2312" w:cs="仿宋_GB2312" w:eastAsia="仿宋_GB2312"/>
                <w:sz w:val="28"/>
                <w:b/>
              </w:rPr>
              <w:t>编制</w:t>
            </w:r>
            <w:r>
              <w:rPr>
                <w:rFonts w:ascii="仿宋_GB2312" w:hAnsi="仿宋_GB2312" w:cs="仿宋_GB2312" w:eastAsia="仿宋_GB2312"/>
                <w:sz w:val="28"/>
                <w:b/>
              </w:rPr>
              <w:t>其它说明</w:t>
            </w:r>
            <w:r>
              <w:rPr>
                <w:rFonts w:ascii="仿宋_GB2312" w:hAnsi="仿宋_GB2312" w:cs="仿宋_GB2312" w:eastAsia="仿宋_GB2312"/>
                <w:sz w:val="28"/>
                <w:b/>
              </w:rPr>
              <w:t>:</w:t>
            </w:r>
          </w:p>
          <w:p>
            <w:pPr>
              <w:pStyle w:val="null3"/>
              <w:ind w:firstLine="560"/>
              <w:jc w:val="both"/>
            </w:pPr>
            <w:r>
              <w:rPr>
                <w:rFonts w:ascii="仿宋_GB2312" w:hAnsi="仿宋_GB2312" w:cs="仿宋_GB2312" w:eastAsia="仿宋_GB2312"/>
                <w:sz w:val="28"/>
              </w:rPr>
              <w:t>1.本工程混凝土按商品混凝土计入</w:t>
            </w:r>
          </w:p>
          <w:p>
            <w:pPr>
              <w:pStyle w:val="null3"/>
              <w:ind w:firstLine="560"/>
              <w:jc w:val="both"/>
            </w:pPr>
            <w:r>
              <w:rPr>
                <w:rFonts w:ascii="仿宋_GB2312" w:hAnsi="仿宋_GB2312" w:cs="仿宋_GB2312" w:eastAsia="仿宋_GB2312"/>
                <w:sz w:val="28"/>
              </w:rPr>
              <w:t>2.本工程砂浆按预拌砂浆计入</w:t>
            </w:r>
          </w:p>
          <w:p>
            <w:pPr>
              <w:pStyle w:val="null3"/>
              <w:ind w:firstLine="560"/>
              <w:jc w:val="both"/>
            </w:pPr>
            <w:r>
              <w:rPr>
                <w:rFonts w:ascii="仿宋_GB2312" w:hAnsi="仿宋_GB2312" w:cs="仿宋_GB2312" w:eastAsia="仿宋_GB2312"/>
                <w:sz w:val="28"/>
              </w:rPr>
              <w:t>3.操场座椅防腐木拆除换新，暂定综合单价550元/个</w:t>
            </w:r>
          </w:p>
          <w:p>
            <w:pPr>
              <w:pStyle w:val="null3"/>
              <w:ind w:firstLine="560"/>
              <w:jc w:val="both"/>
            </w:pPr>
            <w:r>
              <w:rPr>
                <w:rFonts w:ascii="仿宋_GB2312" w:hAnsi="仿宋_GB2312" w:cs="仿宋_GB2312" w:eastAsia="仿宋_GB2312"/>
                <w:sz w:val="28"/>
              </w:rPr>
              <w:t>4.地下管网改造，暂定综合单价150元/m</w:t>
            </w:r>
          </w:p>
          <w:p>
            <w:pPr>
              <w:pStyle w:val="null3"/>
              <w:ind w:firstLine="560"/>
              <w:jc w:val="both"/>
            </w:pPr>
            <w:r>
              <w:rPr>
                <w:rFonts w:ascii="仿宋_GB2312" w:hAnsi="仿宋_GB2312" w:cs="仿宋_GB2312" w:eastAsia="仿宋_GB2312"/>
                <w:sz w:val="28"/>
              </w:rPr>
              <w:t>5.阶梯教室座位丝杠加固,共计150点位，暂定综合单价60元/个</w:t>
            </w:r>
          </w:p>
          <w:p>
            <w:pPr>
              <w:pStyle w:val="null3"/>
              <w:ind w:firstLine="560"/>
              <w:jc w:val="both"/>
            </w:pPr>
            <w:r>
              <w:rPr>
                <w:rFonts w:ascii="仿宋_GB2312" w:hAnsi="仿宋_GB2312" w:cs="仿宋_GB2312" w:eastAsia="仿宋_GB2312"/>
                <w:sz w:val="28"/>
              </w:rPr>
              <w:t>6.全园乳胶漆修补，暂定综合单价30元/</w:t>
            </w:r>
            <w:r>
              <w:rPr>
                <w:rFonts w:ascii="仿宋_GB2312" w:hAnsi="仿宋_GB2312" w:cs="仿宋_GB2312" w:eastAsia="仿宋_GB2312"/>
                <w:sz w:val="28"/>
              </w:rPr>
              <w:t>m</w:t>
            </w:r>
            <w:r>
              <w:rPr>
                <w:rFonts w:ascii="仿宋_GB2312" w:hAnsi="仿宋_GB2312" w:cs="仿宋_GB2312" w:eastAsia="仿宋_GB2312"/>
                <w:sz w:val="21"/>
                <w:vertAlign w:val="superscript"/>
              </w:rPr>
              <w:t>2</w:t>
            </w:r>
          </w:p>
          <w:p>
            <w:pPr>
              <w:pStyle w:val="null3"/>
              <w:ind w:firstLine="560"/>
              <w:jc w:val="both"/>
            </w:pPr>
            <w:r>
              <w:rPr>
                <w:rFonts w:ascii="仿宋_GB2312" w:hAnsi="仿宋_GB2312" w:cs="仿宋_GB2312" w:eastAsia="仿宋_GB2312"/>
                <w:sz w:val="28"/>
              </w:rPr>
              <w:t>7.盥洗间内门，暂定综合单价800元/套</w:t>
            </w:r>
          </w:p>
          <w:p>
            <w:pPr>
              <w:pStyle w:val="null3"/>
              <w:ind w:right="180"/>
              <w:jc w:val="both"/>
            </w:pPr>
            <w:r>
              <w:rPr>
                <w:rFonts w:ascii="仿宋_GB2312" w:hAnsi="仿宋_GB2312" w:cs="仿宋_GB2312" w:eastAsia="仿宋_GB2312"/>
                <w:sz w:val="28"/>
                <w:b/>
              </w:rPr>
              <w:t>五、</w:t>
            </w:r>
            <w:r>
              <w:rPr>
                <w:rFonts w:ascii="仿宋_GB2312" w:hAnsi="仿宋_GB2312" w:cs="仿宋_GB2312" w:eastAsia="仿宋_GB2312"/>
                <w:sz w:val="28"/>
                <w:b/>
              </w:rPr>
              <w:t>工程</w:t>
            </w:r>
            <w:r>
              <w:rPr>
                <w:rFonts w:ascii="仿宋_GB2312" w:hAnsi="仿宋_GB2312" w:cs="仿宋_GB2312" w:eastAsia="仿宋_GB2312"/>
                <w:sz w:val="28"/>
                <w:b/>
              </w:rPr>
              <w:t>预算</w:t>
            </w:r>
            <w:r>
              <w:rPr>
                <w:rFonts w:ascii="仿宋_GB2312" w:hAnsi="仿宋_GB2312" w:cs="仿宋_GB2312" w:eastAsia="仿宋_GB2312"/>
                <w:sz w:val="28"/>
                <w:b/>
              </w:rPr>
              <w:t>价</w:t>
            </w:r>
          </w:p>
          <w:p>
            <w:pPr>
              <w:pStyle w:val="null3"/>
              <w:ind w:firstLine="829"/>
              <w:jc w:val="both"/>
            </w:pPr>
            <w:r>
              <w:rPr>
                <w:rFonts w:ascii="仿宋_GB2312" w:hAnsi="仿宋_GB2312" w:cs="仿宋_GB2312" w:eastAsia="仿宋_GB2312"/>
                <w:sz w:val="28"/>
                <w:b/>
              </w:rPr>
              <w:t>小写：</w:t>
            </w:r>
            <w:r>
              <w:rPr>
                <w:rFonts w:ascii="仿宋_GB2312" w:hAnsi="仿宋_GB2312" w:cs="仿宋_GB2312" w:eastAsia="仿宋_GB2312"/>
                <w:sz w:val="28"/>
                <w:b/>
                <w:u w:val="single"/>
              </w:rPr>
              <w:t>918 ,408.55</w:t>
            </w:r>
            <w:r>
              <w:rPr>
                <w:rFonts w:ascii="仿宋_GB2312" w:hAnsi="仿宋_GB2312" w:cs="仿宋_GB2312" w:eastAsia="仿宋_GB2312"/>
                <w:sz w:val="28"/>
                <w:b/>
              </w:rPr>
              <w:t>元</w:t>
            </w:r>
            <w:r>
              <w:rPr>
                <w:rFonts w:ascii="仿宋_GB2312" w:hAnsi="仿宋_GB2312" w:cs="仿宋_GB2312" w:eastAsia="仿宋_GB2312"/>
                <w:sz w:val="28"/>
                <w:b/>
              </w:rPr>
              <w:t xml:space="preserve">   </w:t>
            </w:r>
          </w:p>
          <w:p>
            <w:pPr>
              <w:pStyle w:val="null3"/>
              <w:ind w:firstLine="829"/>
              <w:jc w:val="both"/>
            </w:pPr>
            <w:r>
              <w:rPr>
                <w:rFonts w:ascii="仿宋_GB2312" w:hAnsi="仿宋_GB2312" w:cs="仿宋_GB2312" w:eastAsia="仿宋_GB2312"/>
                <w:sz w:val="28"/>
                <w:b/>
              </w:rPr>
              <w:t>大写：</w:t>
            </w:r>
            <w:r>
              <w:rPr>
                <w:rFonts w:ascii="仿宋_GB2312" w:hAnsi="仿宋_GB2312" w:cs="仿宋_GB2312" w:eastAsia="仿宋_GB2312"/>
                <w:sz w:val="28"/>
                <w:b/>
                <w:u w:val="single"/>
              </w:rPr>
              <w:t>玖拾壹万捌仟肆佰零捌元伍角伍分</w:t>
            </w:r>
          </w:p>
          <w:p>
            <w:pPr>
              <w:pStyle w:val="null3"/>
              <w:ind w:firstLine="829"/>
              <w:jc w:val="both"/>
            </w:pPr>
            <w:r>
              <w:rPr>
                <w:rFonts w:ascii="仿宋_GB2312" w:hAnsi="仿宋_GB2312" w:cs="仿宋_GB2312" w:eastAsia="仿宋_GB2312"/>
                <w:sz w:val="28"/>
                <w:b/>
              </w:rPr>
              <w:t>其中：分部分项工程费：</w:t>
            </w:r>
            <w:r>
              <w:rPr>
                <w:rFonts w:ascii="仿宋_GB2312" w:hAnsi="仿宋_GB2312" w:cs="仿宋_GB2312" w:eastAsia="仿宋_GB2312"/>
                <w:sz w:val="28"/>
                <w:b/>
                <w:u w:val="single"/>
              </w:rPr>
              <w:t xml:space="preserve">  </w:t>
            </w:r>
            <w:r>
              <w:rPr>
                <w:rFonts w:ascii="仿宋_GB2312" w:hAnsi="仿宋_GB2312" w:cs="仿宋_GB2312" w:eastAsia="仿宋_GB2312"/>
                <w:sz w:val="28"/>
                <w:b/>
                <w:u w:val="single"/>
              </w:rPr>
              <w:t xml:space="preserve">778 ,524.89 </w:t>
            </w:r>
            <w:r>
              <w:rPr>
                <w:rFonts w:ascii="仿宋_GB2312" w:hAnsi="仿宋_GB2312" w:cs="仿宋_GB2312" w:eastAsia="仿宋_GB2312"/>
                <w:sz w:val="28"/>
                <w:b/>
              </w:rPr>
              <w:t>元</w:t>
            </w:r>
          </w:p>
          <w:p>
            <w:pPr>
              <w:pStyle w:val="null3"/>
              <w:jc w:val="both"/>
            </w:pPr>
            <w:r>
              <w:rPr>
                <w:rFonts w:ascii="仿宋_GB2312" w:hAnsi="仿宋_GB2312" w:cs="仿宋_GB2312" w:eastAsia="仿宋_GB2312"/>
                <w:sz w:val="28"/>
                <w:b/>
              </w:rPr>
              <w:t xml:space="preserve">            </w:t>
            </w:r>
            <w:r>
              <w:rPr>
                <w:rFonts w:ascii="仿宋_GB2312" w:hAnsi="仿宋_GB2312" w:cs="仿宋_GB2312" w:eastAsia="仿宋_GB2312"/>
                <w:sz w:val="28"/>
                <w:b/>
              </w:rPr>
              <w:t>措施项目费汇总：</w:t>
            </w:r>
            <w:r>
              <w:rPr>
                <w:rFonts w:ascii="仿宋_GB2312" w:hAnsi="仿宋_GB2312" w:cs="仿宋_GB2312" w:eastAsia="仿宋_GB2312"/>
                <w:sz w:val="28"/>
                <w:b/>
                <w:u w:val="single"/>
              </w:rPr>
              <w:t xml:space="preserve">  </w:t>
            </w:r>
            <w:r>
              <w:rPr>
                <w:rFonts w:ascii="仿宋_GB2312" w:hAnsi="仿宋_GB2312" w:cs="仿宋_GB2312" w:eastAsia="仿宋_GB2312"/>
                <w:sz w:val="28"/>
                <w:b/>
                <w:u w:val="single"/>
              </w:rPr>
              <w:t xml:space="preserve">64 ,051.77 </w:t>
            </w:r>
            <w:r>
              <w:rPr>
                <w:rFonts w:ascii="仿宋_GB2312" w:hAnsi="仿宋_GB2312" w:cs="仿宋_GB2312" w:eastAsia="仿宋_GB2312"/>
                <w:sz w:val="28"/>
                <w:b/>
              </w:rPr>
              <w:t>元</w:t>
            </w:r>
          </w:p>
          <w:p>
            <w:pPr>
              <w:pStyle w:val="null3"/>
              <w:jc w:val="both"/>
            </w:pPr>
            <w:r>
              <w:rPr>
                <w:rFonts w:ascii="仿宋_GB2312" w:hAnsi="仿宋_GB2312" w:cs="仿宋_GB2312" w:eastAsia="仿宋_GB2312"/>
                <w:sz w:val="28"/>
                <w:b/>
              </w:rPr>
              <w:t xml:space="preserve">            </w:t>
            </w:r>
            <w:r>
              <w:rPr>
                <w:rFonts w:ascii="仿宋_GB2312" w:hAnsi="仿宋_GB2312" w:cs="仿宋_GB2312" w:eastAsia="仿宋_GB2312"/>
                <w:sz w:val="28"/>
                <w:b/>
              </w:rPr>
              <w:t>增值税销项税额</w:t>
            </w:r>
            <w:r>
              <w:rPr>
                <w:rFonts w:ascii="仿宋_GB2312" w:hAnsi="仿宋_GB2312" w:cs="仿宋_GB2312" w:eastAsia="仿宋_GB2312"/>
                <w:sz w:val="28"/>
                <w:b/>
              </w:rPr>
              <w:t>:</w:t>
            </w:r>
            <w:r>
              <w:rPr>
                <w:rFonts w:ascii="仿宋_GB2312" w:hAnsi="仿宋_GB2312" w:cs="仿宋_GB2312" w:eastAsia="仿宋_GB2312"/>
                <w:sz w:val="28"/>
                <w:b/>
                <w:u w:val="single"/>
              </w:rPr>
              <w:t xml:space="preserve">  </w:t>
            </w:r>
            <w:r>
              <w:rPr>
                <w:rFonts w:ascii="仿宋_GB2312" w:hAnsi="仿宋_GB2312" w:cs="仿宋_GB2312" w:eastAsia="仿宋_GB2312"/>
                <w:sz w:val="28"/>
                <w:b/>
                <w:u w:val="single"/>
              </w:rPr>
              <w:t xml:space="preserve">75831.89  </w:t>
            </w:r>
            <w:r>
              <w:rPr>
                <w:rFonts w:ascii="仿宋_GB2312" w:hAnsi="仿宋_GB2312" w:cs="仿宋_GB2312" w:eastAsia="仿宋_GB2312"/>
                <w:sz w:val="28"/>
                <w:b/>
              </w:rPr>
              <w:t>元</w:t>
            </w:r>
          </w:p>
          <w:p>
            <w:pPr>
              <w:pStyle w:val="null3"/>
              <w:ind w:firstLine="1661"/>
              <w:jc w:val="both"/>
            </w:pPr>
            <w:r>
              <w:rPr>
                <w:rFonts w:ascii="仿宋_GB2312" w:hAnsi="仿宋_GB2312" w:cs="仿宋_GB2312" w:eastAsia="仿宋_GB2312"/>
                <w:sz w:val="28"/>
                <w:b/>
              </w:rPr>
              <w:t>安全文明施工费：</w:t>
            </w:r>
            <w:r>
              <w:rPr>
                <w:rFonts w:ascii="仿宋_GB2312" w:hAnsi="仿宋_GB2312" w:cs="仿宋_GB2312" w:eastAsia="仿宋_GB2312"/>
                <w:sz w:val="28"/>
                <w:b/>
                <w:u w:val="single"/>
              </w:rPr>
              <w:t xml:space="preserve">  </w:t>
            </w:r>
            <w:r>
              <w:rPr>
                <w:rFonts w:ascii="仿宋_GB2312" w:hAnsi="仿宋_GB2312" w:cs="仿宋_GB2312" w:eastAsia="仿宋_GB2312"/>
                <w:sz w:val="28"/>
                <w:b/>
                <w:u w:val="single"/>
              </w:rPr>
              <w:t xml:space="preserve">29 ,779.54 </w:t>
            </w:r>
            <w:r>
              <w:rPr>
                <w:rFonts w:ascii="仿宋_GB2312" w:hAnsi="仿宋_GB2312" w:cs="仿宋_GB2312" w:eastAsia="仿宋_GB2312"/>
                <w:sz w:val="28"/>
                <w:b/>
              </w:rPr>
              <w:t>元</w:t>
            </w:r>
          </w:p>
          <w:p>
            <w:pPr>
              <w:pStyle w:val="null3"/>
              <w:ind w:firstLine="1661"/>
              <w:jc w:val="both"/>
            </w:pPr>
            <w:r>
              <w:rPr>
                <w:rFonts w:ascii="仿宋_GB2312" w:hAnsi="仿宋_GB2312" w:cs="仿宋_GB2312" w:eastAsia="仿宋_GB2312"/>
                <w:sz w:val="28"/>
                <w:b/>
              </w:rPr>
              <w:t>其</w:t>
            </w:r>
            <w:r>
              <w:rPr>
                <w:rFonts w:ascii="仿宋_GB2312" w:hAnsi="仿宋_GB2312" w:cs="仿宋_GB2312" w:eastAsia="仿宋_GB2312"/>
                <w:sz w:val="21"/>
                <w:b/>
              </w:rPr>
              <w:t xml:space="preserve"> </w:t>
            </w:r>
            <w:r>
              <w:rPr>
                <w:rFonts w:ascii="仿宋_GB2312" w:hAnsi="仿宋_GB2312" w:cs="仿宋_GB2312" w:eastAsia="仿宋_GB2312"/>
                <w:sz w:val="28"/>
                <w:b/>
              </w:rPr>
              <w:t>他</w:t>
            </w:r>
            <w:r>
              <w:rPr>
                <w:rFonts w:ascii="仿宋_GB2312" w:hAnsi="仿宋_GB2312" w:cs="仿宋_GB2312" w:eastAsia="仿宋_GB2312"/>
                <w:sz w:val="21"/>
                <w:b/>
              </w:rPr>
              <w:t xml:space="preserve"> </w:t>
            </w:r>
            <w:r>
              <w:rPr>
                <w:rFonts w:ascii="仿宋_GB2312" w:hAnsi="仿宋_GB2312" w:cs="仿宋_GB2312" w:eastAsia="仿宋_GB2312"/>
                <w:sz w:val="28"/>
                <w:b/>
              </w:rPr>
              <w:t>项</w:t>
            </w:r>
            <w:r>
              <w:rPr>
                <w:rFonts w:ascii="仿宋_GB2312" w:hAnsi="仿宋_GB2312" w:cs="仿宋_GB2312" w:eastAsia="仿宋_GB2312"/>
                <w:sz w:val="21"/>
                <w:b/>
              </w:rPr>
              <w:t xml:space="preserve"> </w:t>
            </w:r>
            <w:r>
              <w:rPr>
                <w:rFonts w:ascii="仿宋_GB2312" w:hAnsi="仿宋_GB2312" w:cs="仿宋_GB2312" w:eastAsia="仿宋_GB2312"/>
                <w:sz w:val="28"/>
                <w:b/>
              </w:rPr>
              <w:t>目</w:t>
            </w:r>
            <w:r>
              <w:rPr>
                <w:rFonts w:ascii="仿宋_GB2312" w:hAnsi="仿宋_GB2312" w:cs="仿宋_GB2312" w:eastAsia="仿宋_GB2312"/>
                <w:sz w:val="21"/>
                <w:b/>
              </w:rPr>
              <w:t xml:space="preserve"> </w:t>
            </w:r>
            <w:r>
              <w:rPr>
                <w:rFonts w:ascii="仿宋_GB2312" w:hAnsi="仿宋_GB2312" w:cs="仿宋_GB2312" w:eastAsia="仿宋_GB2312"/>
                <w:sz w:val="28"/>
                <w:b/>
              </w:rPr>
              <w:t>费</w:t>
            </w:r>
            <w:r>
              <w:rPr>
                <w:rFonts w:ascii="仿宋_GB2312" w:hAnsi="仿宋_GB2312" w:cs="仿宋_GB2312" w:eastAsia="仿宋_GB2312"/>
                <w:sz w:val="28"/>
                <w:b/>
              </w:rPr>
              <w:t>：</w:t>
            </w:r>
            <w:r>
              <w:rPr>
                <w:rFonts w:ascii="仿宋_GB2312" w:hAnsi="仿宋_GB2312" w:cs="仿宋_GB2312" w:eastAsia="仿宋_GB2312"/>
                <w:sz w:val="28"/>
                <w:b/>
                <w:u w:val="single"/>
              </w:rPr>
              <w:t xml:space="preserve">   </w:t>
            </w:r>
            <w:r>
              <w:rPr>
                <w:rFonts w:ascii="仿宋_GB2312" w:hAnsi="仿宋_GB2312" w:cs="仿宋_GB2312" w:eastAsia="仿宋_GB2312"/>
                <w:sz w:val="28"/>
                <w:b/>
                <w:u w:val="single"/>
              </w:rPr>
              <w:t xml:space="preserve">0.00     </w:t>
            </w:r>
            <w:r>
              <w:rPr>
                <w:rFonts w:ascii="仿宋_GB2312" w:hAnsi="仿宋_GB2312" w:cs="仿宋_GB2312" w:eastAsia="仿宋_GB2312"/>
                <w:sz w:val="28"/>
                <w:b/>
              </w:rPr>
              <w:t>元</w:t>
            </w:r>
          </w:p>
          <w:p>
            <w:pPr>
              <w:pStyle w:val="null3"/>
              <w:ind w:firstLine="1658"/>
              <w:jc w:val="both"/>
            </w:pPr>
            <w:r>
              <w:rPr>
                <w:rFonts w:ascii="仿宋_GB2312" w:hAnsi="仿宋_GB2312" w:cs="仿宋_GB2312" w:eastAsia="仿宋_GB2312"/>
                <w:sz w:val="28"/>
                <w:b/>
              </w:rPr>
              <w:t>工</w:t>
            </w:r>
            <w:r>
              <w:rPr>
                <w:rFonts w:ascii="仿宋_GB2312" w:hAnsi="仿宋_GB2312" w:cs="仿宋_GB2312" w:eastAsia="仿宋_GB2312"/>
                <w:sz w:val="28"/>
                <w:b/>
              </w:rPr>
              <w:t xml:space="preserve">          </w:t>
            </w:r>
            <w:r>
              <w:rPr>
                <w:rFonts w:ascii="仿宋_GB2312" w:hAnsi="仿宋_GB2312" w:cs="仿宋_GB2312" w:eastAsia="仿宋_GB2312"/>
                <w:sz w:val="28"/>
                <w:b/>
              </w:rPr>
              <w:t>期：</w:t>
            </w:r>
            <w:r>
              <w:rPr>
                <w:rFonts w:ascii="仿宋_GB2312" w:hAnsi="仿宋_GB2312" w:cs="仿宋_GB2312" w:eastAsia="仿宋_GB2312"/>
                <w:sz w:val="21"/>
                <w:b/>
                <w:u w:val="single"/>
              </w:rPr>
              <w:t xml:space="preserve">   </w:t>
            </w:r>
            <w:r>
              <w:rPr>
                <w:rFonts w:ascii="仿宋_GB2312" w:hAnsi="仿宋_GB2312" w:cs="仿宋_GB2312" w:eastAsia="仿宋_GB2312"/>
                <w:sz w:val="28"/>
                <w:b/>
                <w:u w:val="single"/>
              </w:rPr>
              <w:t xml:space="preserve">35      </w:t>
            </w:r>
            <w:r>
              <w:rPr>
                <w:rFonts w:ascii="仿宋_GB2312" w:hAnsi="仿宋_GB2312" w:cs="仿宋_GB2312" w:eastAsia="仿宋_GB2312"/>
                <w:sz w:val="21"/>
                <w:b/>
                <w:u w:val="single"/>
              </w:rPr>
              <w:t xml:space="preserve"> </w:t>
            </w:r>
            <w:r>
              <w:rPr>
                <w:rFonts w:ascii="仿宋_GB2312" w:hAnsi="仿宋_GB2312" w:cs="仿宋_GB2312" w:eastAsia="仿宋_GB2312"/>
                <w:sz w:val="28"/>
                <w:b/>
              </w:rPr>
              <w:t>天</w:t>
            </w:r>
          </w:p>
          <w:p>
            <w:pPr>
              <w:pStyle w:val="null3"/>
              <w:ind w:firstLine="1661"/>
              <w:jc w:val="both"/>
            </w:pPr>
            <w:r>
              <w:rPr>
                <w:rFonts w:ascii="仿宋_GB2312" w:hAnsi="仿宋_GB2312" w:cs="仿宋_GB2312" w:eastAsia="仿宋_GB2312"/>
                <w:sz w:val="28"/>
                <w:b/>
              </w:rPr>
              <w:t>质</w:t>
            </w:r>
            <w:r>
              <w:rPr>
                <w:rFonts w:ascii="仿宋_GB2312" w:hAnsi="仿宋_GB2312" w:cs="仿宋_GB2312" w:eastAsia="仿宋_GB2312"/>
                <w:sz w:val="28"/>
                <w:b/>
              </w:rPr>
              <w:t xml:space="preserve">          </w:t>
            </w:r>
            <w:r>
              <w:rPr>
                <w:rFonts w:ascii="仿宋_GB2312" w:hAnsi="仿宋_GB2312" w:cs="仿宋_GB2312" w:eastAsia="仿宋_GB2312"/>
                <w:sz w:val="28"/>
                <w:b/>
              </w:rPr>
              <w:t>量：</w:t>
            </w:r>
            <w:r>
              <w:rPr>
                <w:rFonts w:ascii="仿宋_GB2312" w:hAnsi="仿宋_GB2312" w:cs="仿宋_GB2312" w:eastAsia="仿宋_GB2312"/>
                <w:sz w:val="21"/>
                <w:b/>
                <w:u w:val="single"/>
              </w:rPr>
              <w:t xml:space="preserve">  </w:t>
            </w:r>
            <w:r>
              <w:rPr>
                <w:rFonts w:ascii="仿宋_GB2312" w:hAnsi="仿宋_GB2312" w:cs="仿宋_GB2312" w:eastAsia="仿宋_GB2312"/>
                <w:sz w:val="21"/>
                <w:b/>
                <w:u w:val="single"/>
              </w:rPr>
              <w:t xml:space="preserve">  </w:t>
            </w:r>
            <w:r>
              <w:rPr>
                <w:rFonts w:ascii="仿宋_GB2312" w:hAnsi="仿宋_GB2312" w:cs="仿宋_GB2312" w:eastAsia="仿宋_GB2312"/>
                <w:sz w:val="28"/>
                <w:b/>
                <w:u w:val="single"/>
              </w:rPr>
              <w:t>合</w:t>
            </w:r>
            <w:r>
              <w:rPr>
                <w:rFonts w:ascii="仿宋_GB2312" w:hAnsi="仿宋_GB2312" w:cs="仿宋_GB2312" w:eastAsia="仿宋_GB2312"/>
                <w:sz w:val="28"/>
                <w:b/>
                <w:u w:val="single"/>
              </w:rPr>
              <w:t xml:space="preserve">   </w:t>
            </w:r>
            <w:r>
              <w:rPr>
                <w:rFonts w:ascii="仿宋_GB2312" w:hAnsi="仿宋_GB2312" w:cs="仿宋_GB2312" w:eastAsia="仿宋_GB2312"/>
                <w:sz w:val="28"/>
                <w:b/>
                <w:u w:val="single"/>
              </w:rPr>
              <w:t>格</w:t>
            </w:r>
            <w:r>
              <w:rPr>
                <w:rFonts w:ascii="仿宋_GB2312" w:hAnsi="仿宋_GB2312" w:cs="仿宋_GB2312" w:eastAsia="仿宋_GB2312"/>
                <w:sz w:val="21"/>
                <w:b/>
                <w:u w:val="single"/>
              </w:rPr>
              <w:t xml:space="preserve">  </w:t>
            </w:r>
            <w:r>
              <w:rPr>
                <w:rFonts w:ascii="仿宋_GB2312" w:hAnsi="仿宋_GB2312" w:cs="仿宋_GB2312" w:eastAsia="仿宋_GB2312"/>
                <w:sz w:val="21"/>
                <w:b/>
                <w:u w:val="single"/>
              </w:rPr>
              <w:t xml:space="preserve"> </w:t>
            </w:r>
            <w:r>
              <w:rPr>
                <w:rFonts w:ascii="仿宋_GB2312" w:hAnsi="仿宋_GB2312" w:cs="仿宋_GB2312" w:eastAsia="仿宋_GB2312"/>
                <w:sz w:val="21"/>
                <w:b/>
                <w:u w:val="single"/>
              </w:rPr>
              <w:t xml:space="preserve">  </w:t>
            </w:r>
          </w:p>
          <w:p>
            <w:pPr>
              <w:pStyle w:val="null3"/>
              <w:jc w:val="both"/>
            </w:pPr>
            <w:r>
              <w:rPr>
                <w:rFonts w:ascii="仿宋_GB2312" w:hAnsi="仿宋_GB2312" w:cs="仿宋_GB2312" w:eastAsia="仿宋_GB2312"/>
                <w:sz w:val="28"/>
                <w:b/>
              </w:rPr>
              <w:t>六、</w:t>
            </w:r>
            <w:r>
              <w:rPr>
                <w:rFonts w:ascii="仿宋_GB2312" w:hAnsi="仿宋_GB2312" w:cs="仿宋_GB2312" w:eastAsia="仿宋_GB2312"/>
                <w:sz w:val="28"/>
                <w:b/>
              </w:rPr>
              <w:t>计价软件广联达计价软件</w:t>
            </w:r>
            <w:r>
              <w:rPr>
                <w:rFonts w:ascii="仿宋_GB2312" w:hAnsi="仿宋_GB2312" w:cs="仿宋_GB2312" w:eastAsia="仿宋_GB2312"/>
                <w:sz w:val="28"/>
                <w:b/>
              </w:rPr>
              <w:t>GCCP</w:t>
            </w:r>
            <w:r>
              <w:rPr>
                <w:rFonts w:ascii="仿宋_GB2312" w:hAnsi="仿宋_GB2312" w:cs="仿宋_GB2312" w:eastAsia="仿宋_GB2312"/>
                <w:sz w:val="28"/>
                <w:b/>
              </w:rPr>
              <w:t>7</w:t>
            </w:r>
            <w:r>
              <w:rPr>
                <w:rFonts w:ascii="仿宋_GB2312" w:hAnsi="仿宋_GB2312" w:cs="仿宋_GB2312" w:eastAsia="仿宋_GB2312"/>
                <w:sz w:val="28"/>
                <w:b/>
              </w:rPr>
              <w:t>.0</w:t>
            </w:r>
          </w:p>
          <w:p>
            <w:pPr>
              <w:pStyle w:val="null3"/>
              <w:jc w:val="both"/>
            </w:pPr>
            <w:r>
              <w:rPr>
                <w:rFonts w:ascii="仿宋_GB2312" w:hAnsi="仿宋_GB2312" w:cs="仿宋_GB2312" w:eastAsia="仿宋_GB2312"/>
                <w:sz w:val="24"/>
                <w:b/>
              </w:rPr>
              <w:t>七、</w:t>
            </w:r>
            <w:r>
              <w:rPr>
                <w:rFonts w:ascii="仿宋_GB2312" w:hAnsi="仿宋_GB2312" w:cs="仿宋_GB2312" w:eastAsia="仿宋_GB2312"/>
                <w:sz w:val="28"/>
                <w:b/>
              </w:rPr>
              <w:t>工程量清单请查阅附件</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符合国家现⾏有关施⼯质量验收规范 “合格 ”要求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以转账⽅式交纳磋商保证⾦须注明项⽬名称及⽤途(磋商保证⾦)。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XXXX或XXXX年度经审计的财务报告（包含审计报告和审计报告中所涉及的财务报表和报表附注），②可提供XXXX或XXXX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独立承担民事责任能力的法人或其他组织或自然人</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身份证明或授权委托书</w:t>
            </w:r>
          </w:p>
        </w:tc>
        <w:tc>
          <w:tcPr>
            <w:tcW w:type="dxa" w:w="3322"/>
          </w:tcPr>
          <w:p>
            <w:pPr>
              <w:pStyle w:val="null3"/>
            </w:pPr>
            <w:r>
              <w:rPr>
                <w:rFonts w:ascii="仿宋_GB2312" w:hAnsi="仿宋_GB2312" w:cs="仿宋_GB2312" w:eastAsia="仿宋_GB2312"/>
              </w:rPr>
              <w:t>法定代表人参加投标须提供《法定代表人身份证明》(附法定代表人身份证复印件)；法定代表人授权他人参加投标，须提供《法定代表人身份证明》、《法定代表人授权委托书》(附法定代表人身份证复印件及被授权人身份证复印件)；</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供应商须具备建设行政主管部门核发的建筑工程施工总承包三级（含三级）及以上资质，具有有效的安全生产许可证；</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拟派项目经理要求</w:t>
            </w:r>
          </w:p>
        </w:tc>
        <w:tc>
          <w:tcPr>
            <w:tcW w:type="dxa" w:w="3322"/>
          </w:tcPr>
          <w:p>
            <w:pPr>
              <w:pStyle w:val="null3"/>
            </w:pPr>
            <w:r>
              <w:rPr>
                <w:rFonts w:ascii="仿宋_GB2312" w:hAnsi="仿宋_GB2312" w:cs="仿宋_GB2312" w:eastAsia="仿宋_GB2312"/>
              </w:rPr>
              <w:t>拟派的项目经理须具备建筑工程专业注册建造师二级（含二级）及以上资格和有效的安全生产考核合格证（建安B 证），且无在建工程、无不良记录（提供无在建工程、无不良记录承诺书）；</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健全的财务会计制度、履行合同所需的设备和专业技术能力、依法缴纳税收和社会保障资金，以及参加采购活动前3年内经营活动无重大违法活动记录，供应商须提供有效的《汉中市政府采购供应商资格承诺函》原件；</w:t>
            </w:r>
          </w:p>
        </w:tc>
        <w:tc>
          <w:tcPr>
            <w:tcW w:type="dxa" w:w="1661"/>
          </w:tcPr>
          <w:p>
            <w:pPr>
              <w:pStyle w:val="null3"/>
            </w:pPr>
            <w:r>
              <w:rPr>
                <w:rFonts w:ascii="仿宋_GB2312" w:hAnsi="仿宋_GB2312" w:cs="仿宋_GB2312" w:eastAsia="仿宋_GB2312"/>
              </w:rPr>
              <w:t>供应商资格承诺函.pdf 资格证明文件.pdf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本项目不接受联合体响应</w:t>
            </w:r>
          </w:p>
        </w:tc>
        <w:tc>
          <w:tcPr>
            <w:tcW w:type="dxa" w:w="1661"/>
          </w:tcPr>
          <w:p>
            <w:pPr>
              <w:pStyle w:val="null3"/>
            </w:pPr>
            <w:r>
              <w:rPr>
                <w:rFonts w:ascii="仿宋_GB2312" w:hAnsi="仿宋_GB2312" w:cs="仿宋_GB2312" w:eastAsia="仿宋_GB2312"/>
              </w:rPr>
              <w:t>资格证明文件.pdf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响应文件封面 已标价工程量清单 报价函 标的清单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 且不高于最高限价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工期、质量</w:t>
            </w:r>
          </w:p>
        </w:tc>
        <w:tc>
          <w:tcPr>
            <w:tcW w:type="dxa" w:w="3322"/>
          </w:tcPr>
          <w:p>
            <w:pPr>
              <w:pStyle w:val="null3"/>
            </w:pPr>
            <w:r>
              <w:rPr>
                <w:rFonts w:ascii="仿宋_GB2312" w:hAnsi="仿宋_GB2312" w:cs="仿宋_GB2312" w:eastAsia="仿宋_GB2312"/>
              </w:rPr>
              <w:t xml:space="preserve"> 符合磋商文件要求</w:t>
            </w:r>
          </w:p>
        </w:tc>
        <w:tc>
          <w:tcPr>
            <w:tcW w:type="dxa" w:w="1661"/>
          </w:tcPr>
          <w:p>
            <w:pPr>
              <w:pStyle w:val="null3"/>
            </w:pPr>
            <w:r>
              <w:rPr>
                <w:rFonts w:ascii="仿宋_GB2312" w:hAnsi="仿宋_GB2312" w:cs="仿宋_GB2312" w:eastAsia="仿宋_GB2312"/>
              </w:rPr>
              <w:t>技术服务合同条款及其他商务要求应答表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供应商认为需要递交的其他材料.pdf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法律法规和招标文件规定的其他无效情形的</w:t>
            </w:r>
          </w:p>
        </w:tc>
        <w:tc>
          <w:tcPr>
            <w:tcW w:type="dxa" w:w="1661"/>
          </w:tcPr>
          <w:p>
            <w:pPr>
              <w:pStyle w:val="null3"/>
            </w:pPr>
            <w:r>
              <w:rPr>
                <w:rFonts w:ascii="仿宋_GB2312" w:hAnsi="仿宋_GB2312" w:cs="仿宋_GB2312" w:eastAsia="仿宋_GB2312"/>
              </w:rPr>
              <w:t>供应商认为需要递交的其他材料.pdf 强制优先采购产品承诺函 环境保护措施.pdf 工程进度保证措施.pdf 施工方案.pdf 标的清单 供应商类似项目业绩一览表 供应商资格承诺函.pdf 质量保证措施.pdf 主要人员简历表 资格证明文件.pdf 监狱企业的证明文件 已标价工程量清单 项目组织管理人员构成.pdf 中小企业声明函 安全管理措施.pdf 技术服务合同条款及其他商务要求应答表 供应商应提交的相关资格证明材料 施工资源配备计划.pdf 响应文件封面 类似业绩.pdf 项目管理机构组成表 残疾人福利性单位声明函 报价函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评审内容：针对本项目各项要求制定施工方案及技术措施，包括但不限于： 1.对项目总体概况表述； 2.施工部署及措施； 3.对项目主要及关键方案的表述； 4.施工平面布置。 评审标准： 1、完整性：对上述各项内容均有描述，得4分；每缺1项扣1分，扣完为止。此项不提供不得分。 2、针对性：针对性强，上述各项内容 ,紧扣本项目施工特点、实际需求编制， 内容科学合理、贴合项目专属情况， 无通用套话。，对得4分；针对性一般，上述各项内容，贴合项目基本施工需求， 具备一定针对性， 但存在部分模板化通用内容， 未完全结合本项目专属特点细化优化，得2分；针对性差，上述各项内容， 内容通用模板化， 未结合本项目实际， 适配性差，每项内容得1分。此项不提供不得分。 3、可实施性：可实施性强，上述各项内容贴合本项目实际， 实施步骤清晰、流程合理 、符合施工规范， 具备落地可操作性，得2分；可实施性一般，上述各项内容基本贴合项目实际 , 核心实施步骤合规合理， 仅部分细节不够完善， 小幅优化后即可落地实施，得1分；此项不提供不得分。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施工方案.pdf</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评审内容：针对本项目制定完善的质量管理体系与措施 1.质量管理目标； 2.质量管理制度； 3.质量保证措施。 评审标准： 1、完整性：对上述各项内容均有描述，得3分；每缺1项扣1分，扣完为止。此项不提供不得分。 2、针对性：针对性强，上述各项内容，紧扣本项目施工特点、实际需求编制， 内容科学合理、贴合项目专属情况， 无通用套话，得3分；针对性一般，上述各项内容，贴合项目基本施工需求， 具备一定针对性， 但存在部分模板化通用内容， 未完全结合本项目专属特点细化优化，得2分；缺乏针对性，上述各项内容，通用模板化， 未结合本项目实际， 适配性差，得1分。此项不提供不得分。 3、可实施性：可实施性强，上述各项内容，实施步骤清晰、流程合理 、符合施工规范， 具备落地可操作性， 得4分；可实施性一般， 上述各项内容基本贴合项目实际 , 核心实施上述各项步骤合规合理， 仅部分细节不够完善， 小幅优化后即可落地实施，得2分；缺乏可实施性，内容与项目实际不太符、步骤凌乱、不科学，得1分。此项不提供不得分。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质量保证措施.pdf</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针对本项目制定环境保护管理体系与措施 1.环境保护管理目标； 2.环境保护管理制度； 3.环境保护管理措施。 评审标准： 1、完整性：对上述各项内容均有描述，得3分；每缺1项扣1分，扣完为止。此项不提供不得分。 2、针对性：针对性强，上述各项内容，紧扣本项目施工特点、实际需求编制， 内容科学合理、贴合项目专属情况， 无通用套话，得3分；针对性一般，上述各项内容，贴合项目基本施工需求， 具备一定针对性， 但存在部分模板化通用内容， 未完全结合本项目专属特点细化优化，得2分；缺乏针对性，上述各项内容，通用模板化， 未结合本项目实际， 适配性差，得1分。此项不提供不得分。 3、可实施性：可实施性强，上述各项内容，实施步骤清晰、流程合理 、符合施工规范， 具备落地可操作性，得4分；可实施性一般，上述各项内容，基本贴合项目实际 , 核心实施步骤合规合理， 仅部分细节不够完善， 小幅优化后即可落地实施，得2分；缺乏可实施性，对上述各项，内容与项目实际不太符、步骤凌乱、不科学，得1分得1分。此项不提供不得分。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环境保护措施.pdf</w:t>
            </w:r>
          </w:p>
        </w:tc>
      </w:tr>
      <w:tr>
        <w:tc>
          <w:tcPr>
            <w:tcW w:type="dxa" w:w="831"/>
            <w:vMerge/>
          </w:tcPr>
          <w:p/>
        </w:tc>
        <w:tc>
          <w:tcPr>
            <w:tcW w:type="dxa" w:w="1661"/>
          </w:tcPr>
          <w:p>
            <w:pPr>
              <w:pStyle w:val="null3"/>
            </w:pPr>
            <w:r>
              <w:rPr>
                <w:rFonts w:ascii="仿宋_GB2312" w:hAnsi="仿宋_GB2312" w:cs="仿宋_GB2312" w:eastAsia="仿宋_GB2312"/>
              </w:rPr>
              <w:t>安全管理措施</w:t>
            </w:r>
          </w:p>
        </w:tc>
        <w:tc>
          <w:tcPr>
            <w:tcW w:type="dxa" w:w="2492"/>
          </w:tcPr>
          <w:p>
            <w:pPr>
              <w:pStyle w:val="null3"/>
            </w:pPr>
            <w:r>
              <w:rPr>
                <w:rFonts w:ascii="仿宋_GB2312" w:hAnsi="仿宋_GB2312" w:cs="仿宋_GB2312" w:eastAsia="仿宋_GB2312"/>
              </w:rPr>
              <w:t>针对本项目的特点编制具体、可行的安全管理体系与措施 1.安全管理目标； 2.安全管理制度； 3.安全管理措施。 评审标准： 1、完整性：对上述各项内容均有描述，得3分；每缺1项扣1分，扣完为止。此项不提供不得分。 2、针对性：针对性强，上述各项内容，紧扣本项目施工特点、实际需求编制， 内容科学合理、贴合项目专属情况， 无通用套话，得3分；针对性一般，上述各项内容，贴合项目基本施工需求， 具备一定针对性， 但存在部分模板化通用内容， 未完全结合本项目专属特点细化优化，得2分；缺乏针对性，上述各项内容，通用模板化， 未结合本项目实际， 适配性差，得1分。此项不提供不得分。 3、可实施性：可实施性强，上述各项内容，实施步骤清晰、流程合理 、符合施工规范， 具备落地可操作性，得4分；可实施性一般，上述各项内容，基本贴合项目实际 , 核心实施步骤合规合理， 仅部分细节不够完善， 小幅优化后即可落地实施，得2分；缺乏可实施性，对上述各项，内容与项目实际不太符、步骤凌乱、不科学，得1分。此项不提供不得分。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安全管理措施.pdf</w:t>
            </w:r>
          </w:p>
        </w:tc>
      </w:tr>
      <w:tr>
        <w:tc>
          <w:tcPr>
            <w:tcW w:type="dxa" w:w="831"/>
            <w:vMerge/>
          </w:tcPr>
          <w:p/>
        </w:tc>
        <w:tc>
          <w:tcPr>
            <w:tcW w:type="dxa" w:w="1661"/>
          </w:tcPr>
          <w:p>
            <w:pPr>
              <w:pStyle w:val="null3"/>
            </w:pPr>
            <w:r>
              <w:rPr>
                <w:rFonts w:ascii="仿宋_GB2312" w:hAnsi="仿宋_GB2312" w:cs="仿宋_GB2312" w:eastAsia="仿宋_GB2312"/>
              </w:rPr>
              <w:t>项目组织管理人员构成</w:t>
            </w:r>
          </w:p>
        </w:tc>
        <w:tc>
          <w:tcPr>
            <w:tcW w:type="dxa" w:w="2492"/>
          </w:tcPr>
          <w:p>
            <w:pPr>
              <w:pStyle w:val="null3"/>
            </w:pPr>
            <w:r>
              <w:rPr>
                <w:rFonts w:ascii="仿宋_GB2312" w:hAnsi="仿宋_GB2312" w:cs="仿宋_GB2312" w:eastAsia="仿宋_GB2312"/>
              </w:rPr>
              <w:t>项目组织管理人员构成： 项目经理近三年内（2023年1月1日至今），具有类似施工业绩，每提供得1分，最高的的2分； 项目技术负责人职称为工程师得1分，高级工程师得2分； 拟投入的资料员、施工员、质量员、材料员、安全员、财务应具有有效岗位证书，每一人计1分，计满6分为止。（以上人员需提供相关人员证书、社保证明复印件加盖响应供应商公章装入响应文件中）</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项目组织管理人员构成.pdf</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施工资源配备计划</w:t>
            </w:r>
          </w:p>
        </w:tc>
        <w:tc>
          <w:tcPr>
            <w:tcW w:type="dxa" w:w="2492"/>
          </w:tcPr>
          <w:p>
            <w:pPr>
              <w:pStyle w:val="null3"/>
            </w:pPr>
            <w:r>
              <w:rPr>
                <w:rFonts w:ascii="仿宋_GB2312" w:hAnsi="仿宋_GB2312" w:cs="仿宋_GB2312" w:eastAsia="仿宋_GB2312"/>
              </w:rPr>
              <w:t>针对本项目制定的制定施工资源配备计划应包含： 1.劳动力配备计划； 2.拟投入的机械设备配备计划； 3.资金使用计划 评审标准： 1、完整性：对上述各项内容均有描述，得3分；每缺1项扣1分，扣完为止。此项不提供不得分。 2、针对性：针对性强，上述各项内容，紧扣本项目施工特点、实际需求编制， 内容科学合理、贴合项目专属情况， 无通用套话，得3分；针对性一般，上述各项内容，贴合项目基本施工需求， 具备一定针对性， 但存在部分模板化通用内容， 未完全结合本项目专属特点细化优化，得2分；缺乏针对性，上述各项内容，通用模板化， 未结合本项目实际， 适配性差，得1分。此项不提供不得分。 3、可实施性：可实施性强，上述各项内容，实施步骤清晰、流程合理 、符合施工规范， 具备落地可操作性，得3分；可实施性一般，上述各项内容，基本贴合项目实际 , 核心实施步骤合规合理， 仅部分细节不够完善， 小幅优化后即可落地实施，得2分；缺乏可实施性，对上述各项，内容与项目实际不太符、步骤凌乱、不科学，得1分。此项不提供不得分。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施工资源配备计划.pdf</w:t>
            </w:r>
          </w:p>
        </w:tc>
      </w:tr>
      <w:tr>
        <w:tc>
          <w:tcPr>
            <w:tcW w:type="dxa" w:w="831"/>
            <w:vMerge/>
          </w:tcPr>
          <w:p/>
        </w:tc>
        <w:tc>
          <w:tcPr>
            <w:tcW w:type="dxa" w:w="1661"/>
          </w:tcPr>
          <w:p>
            <w:pPr>
              <w:pStyle w:val="null3"/>
            </w:pPr>
            <w:r>
              <w:rPr>
                <w:rFonts w:ascii="仿宋_GB2312" w:hAnsi="仿宋_GB2312" w:cs="仿宋_GB2312" w:eastAsia="仿宋_GB2312"/>
              </w:rPr>
              <w:t>工程进度保证措施</w:t>
            </w:r>
          </w:p>
        </w:tc>
        <w:tc>
          <w:tcPr>
            <w:tcW w:type="dxa" w:w="2492"/>
          </w:tcPr>
          <w:p>
            <w:pPr>
              <w:pStyle w:val="null3"/>
            </w:pPr>
            <w:r>
              <w:rPr>
                <w:rFonts w:ascii="仿宋_GB2312" w:hAnsi="仿宋_GB2312" w:cs="仿宋_GB2312" w:eastAsia="仿宋_GB2312"/>
              </w:rPr>
              <w:t>针对本项目制定的工程进度保证措施应包含： ①总工期及节点工期安排； ②施工进度计划安排及保证措施。 评审标准： 1、完整性：对上述各项内容均有描述，得2分；每缺1项扣1分，扣完为止。此项不提供不得分。 2、针对性：针对性强，上述各项内容，紧扣本项目施工特点、实际需求编制， 内容科学合理、贴合项目专属情况， 无通用套话，得2分；针对性一般，上述各项内容，贴合项目基本施工需求， 具备一定针对性， 但存在部分模板化通用内容， 未完全结合本项目专属特点细化优化，得1分；缺乏针对性，上述各项内容，通用模板化， 未结合本项目实际， 适配性差，得0.5分。此项不提供不得分。 3、可实施性：施性强，上述各项内容，实施步骤清晰、流程合理 、符合施工规范， 具备落地可操作性，得2分；可实施性一般，上述各项内容，基本贴合项目实际 , 核心实施步骤合规合理， 仅部分细节不够完善， 小幅优化后即可落地实施，得1分；缺乏可实施性，对上述各项，内容与项目实际不太符、步骤凌乱、不科学，得0.5分。此项不提供不得分。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工程进度保证措施.pdf</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近3年来（2023年-至今），响应供应商承担过的类似项目业绩，每有一个得1分，满分5分，（以中标通知书、施工合同复印件为准）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类似业绩.pdf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满足招标文件要求且投标价格最低的投标报价为评标基准价，其价格分为满分。其他投标人的价格分统一按照下列公式计算：响应报价得分=（评标基准价/响应报价）×100%×30。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详见附件：资格证明文件.pdf</w:t>
      </w:r>
    </w:p>
    <w:p>
      <w:pPr>
        <w:pStyle w:val="null3"/>
        <w:ind w:firstLine="960"/>
      </w:pPr>
      <w:r>
        <w:rPr>
          <w:rFonts w:ascii="仿宋_GB2312" w:hAnsi="仿宋_GB2312" w:cs="仿宋_GB2312" w:eastAsia="仿宋_GB2312"/>
        </w:rPr>
        <w:t>详见附件：供应商资格承诺函.pdf</w:t>
      </w:r>
    </w:p>
    <w:p>
      <w:pPr>
        <w:pStyle w:val="null3"/>
        <w:ind w:firstLine="960"/>
      </w:pPr>
      <w:r>
        <w:rPr>
          <w:rFonts w:ascii="仿宋_GB2312" w:hAnsi="仿宋_GB2312" w:cs="仿宋_GB2312" w:eastAsia="仿宋_GB2312"/>
        </w:rPr>
        <w:t>详见附件：施工方案.pdf</w:t>
      </w:r>
    </w:p>
    <w:p>
      <w:pPr>
        <w:pStyle w:val="null3"/>
        <w:ind w:firstLine="960"/>
      </w:pPr>
      <w:r>
        <w:rPr>
          <w:rFonts w:ascii="仿宋_GB2312" w:hAnsi="仿宋_GB2312" w:cs="仿宋_GB2312" w:eastAsia="仿宋_GB2312"/>
        </w:rPr>
        <w:t>详见附件：安全管理措施.pdf</w:t>
      </w:r>
    </w:p>
    <w:p>
      <w:pPr>
        <w:pStyle w:val="null3"/>
        <w:ind w:firstLine="960"/>
      </w:pPr>
      <w:r>
        <w:rPr>
          <w:rFonts w:ascii="仿宋_GB2312" w:hAnsi="仿宋_GB2312" w:cs="仿宋_GB2312" w:eastAsia="仿宋_GB2312"/>
        </w:rPr>
        <w:t>详见附件：工程进度保证措施.pdf</w:t>
      </w:r>
    </w:p>
    <w:p>
      <w:pPr>
        <w:pStyle w:val="null3"/>
        <w:ind w:firstLine="960"/>
      </w:pPr>
      <w:r>
        <w:rPr>
          <w:rFonts w:ascii="仿宋_GB2312" w:hAnsi="仿宋_GB2312" w:cs="仿宋_GB2312" w:eastAsia="仿宋_GB2312"/>
        </w:rPr>
        <w:t>详见附件：环境保护措施.pdf</w:t>
      </w:r>
    </w:p>
    <w:p>
      <w:pPr>
        <w:pStyle w:val="null3"/>
        <w:ind w:firstLine="960"/>
      </w:pPr>
      <w:r>
        <w:rPr>
          <w:rFonts w:ascii="仿宋_GB2312" w:hAnsi="仿宋_GB2312" w:cs="仿宋_GB2312" w:eastAsia="仿宋_GB2312"/>
        </w:rPr>
        <w:t>详见附件：施工资源配备计划.pdf</w:t>
      </w:r>
    </w:p>
    <w:p>
      <w:pPr>
        <w:pStyle w:val="null3"/>
        <w:ind w:firstLine="960"/>
      </w:pPr>
      <w:r>
        <w:rPr>
          <w:rFonts w:ascii="仿宋_GB2312" w:hAnsi="仿宋_GB2312" w:cs="仿宋_GB2312" w:eastAsia="仿宋_GB2312"/>
        </w:rPr>
        <w:t>详见附件：项目组织管理人员构成.pdf</w:t>
      </w:r>
    </w:p>
    <w:p>
      <w:pPr>
        <w:pStyle w:val="null3"/>
        <w:ind w:firstLine="960"/>
      </w:pPr>
      <w:r>
        <w:rPr>
          <w:rFonts w:ascii="仿宋_GB2312" w:hAnsi="仿宋_GB2312" w:cs="仿宋_GB2312" w:eastAsia="仿宋_GB2312"/>
        </w:rPr>
        <w:t>详见附件：质量保证措施.pdf</w:t>
      </w:r>
    </w:p>
    <w:p>
      <w:pPr>
        <w:pStyle w:val="null3"/>
        <w:ind w:firstLine="960"/>
      </w:pPr>
      <w:r>
        <w:rPr>
          <w:rFonts w:ascii="仿宋_GB2312" w:hAnsi="仿宋_GB2312" w:cs="仿宋_GB2312" w:eastAsia="仿宋_GB2312"/>
        </w:rPr>
        <w:t>详见附件：类似业绩.pdf</w:t>
      </w:r>
    </w:p>
    <w:p>
      <w:pPr>
        <w:pStyle w:val="null3"/>
        <w:ind w:firstLine="960"/>
      </w:pPr>
      <w:r>
        <w:rPr>
          <w:rFonts w:ascii="仿宋_GB2312" w:hAnsi="仿宋_GB2312" w:cs="仿宋_GB2312" w:eastAsia="仿宋_GB2312"/>
        </w:rPr>
        <w:t>详见附件：供应商认为需要递交的其他材料.pdf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