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A7EFC4">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default" w:ascii="微软雅黑" w:hAnsi="微软雅黑" w:eastAsia="仿宋" w:cs="微软雅黑"/>
          <w:b/>
          <w:bCs/>
          <w:i w:val="0"/>
          <w:iCs w:val="0"/>
          <w:caps w:val="0"/>
          <w:color w:val="auto"/>
          <w:spacing w:val="0"/>
          <w:sz w:val="20"/>
          <w:szCs w:val="20"/>
          <w:lang w:val="en-US" w:eastAsia="zh-CN"/>
        </w:rPr>
      </w:pPr>
      <w:r>
        <w:rPr>
          <w:rFonts w:hint="eastAsia" w:ascii="仿宋" w:hAnsi="仿宋" w:eastAsia="仿宋" w:cs="仿宋"/>
          <w:b/>
          <w:bCs/>
          <w:color w:val="auto"/>
          <w:sz w:val="20"/>
          <w:szCs w:val="20"/>
        </w:rPr>
        <w:t>一、</w:t>
      </w:r>
      <w:r>
        <w:rPr>
          <w:rFonts w:hint="eastAsia" w:ascii="仿宋" w:hAnsi="仿宋" w:eastAsia="仿宋" w:cs="仿宋"/>
          <w:b/>
          <w:bCs/>
          <w:color w:val="auto"/>
          <w:sz w:val="20"/>
          <w:szCs w:val="20"/>
          <w:lang w:val="en-US" w:eastAsia="zh-CN"/>
        </w:rPr>
        <w:t>项目基本情况</w:t>
      </w:r>
    </w:p>
    <w:p w14:paraId="19F0DB48">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lang w:eastAsia="zh-CN"/>
        </w:rPr>
      </w:pPr>
      <w:r>
        <w:rPr>
          <w:rFonts w:hint="eastAsia" w:ascii="仿宋" w:hAnsi="仿宋" w:eastAsia="仿宋" w:cs="仿宋"/>
          <w:color w:val="auto"/>
          <w:sz w:val="20"/>
          <w:szCs w:val="20"/>
          <w:lang w:val="en-US" w:eastAsia="zh-CN"/>
        </w:rPr>
        <w:t>1、</w:t>
      </w:r>
      <w:r>
        <w:rPr>
          <w:rFonts w:hint="eastAsia" w:ascii="仿宋" w:hAnsi="仿宋" w:eastAsia="仿宋" w:cs="仿宋"/>
          <w:color w:val="auto"/>
          <w:sz w:val="20"/>
          <w:szCs w:val="20"/>
        </w:rPr>
        <w:t>项目名称：</w:t>
      </w:r>
      <w:r>
        <w:rPr>
          <w:rFonts w:hint="eastAsia" w:ascii="仿宋" w:hAnsi="仿宋" w:eastAsia="仿宋" w:cs="仿宋"/>
          <w:color w:val="auto"/>
          <w:sz w:val="20"/>
          <w:szCs w:val="20"/>
          <w:lang w:eastAsia="zh-CN"/>
        </w:rPr>
        <w:t>修订陕西省人民防空工程建设地方标准</w:t>
      </w:r>
    </w:p>
    <w:p w14:paraId="3CE473F5">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lang w:eastAsia="zh-CN"/>
        </w:rPr>
      </w:pPr>
      <w:r>
        <w:rPr>
          <w:rFonts w:hint="eastAsia" w:ascii="仿宋" w:hAnsi="仿宋" w:eastAsia="仿宋" w:cs="仿宋"/>
          <w:color w:val="auto"/>
          <w:sz w:val="20"/>
          <w:szCs w:val="20"/>
          <w:lang w:val="en-US" w:eastAsia="zh-CN"/>
        </w:rPr>
        <w:t>2、</w:t>
      </w:r>
      <w:r>
        <w:rPr>
          <w:rFonts w:hint="eastAsia" w:ascii="仿宋" w:hAnsi="仿宋" w:eastAsia="仿宋" w:cs="仿宋"/>
          <w:color w:val="auto"/>
          <w:sz w:val="20"/>
          <w:szCs w:val="20"/>
        </w:rPr>
        <w:t>服务</w:t>
      </w:r>
      <w:r>
        <w:rPr>
          <w:rFonts w:hint="eastAsia" w:ascii="仿宋" w:hAnsi="仿宋" w:eastAsia="仿宋" w:cs="仿宋"/>
          <w:color w:val="auto"/>
          <w:sz w:val="20"/>
          <w:szCs w:val="20"/>
          <w:lang w:val="en-US" w:eastAsia="zh-CN"/>
        </w:rPr>
        <w:t>期限</w:t>
      </w:r>
      <w:r>
        <w:rPr>
          <w:rFonts w:hint="eastAsia" w:ascii="仿宋" w:hAnsi="仿宋" w:eastAsia="仿宋" w:cs="仿宋"/>
          <w:color w:val="auto"/>
          <w:sz w:val="20"/>
          <w:szCs w:val="20"/>
        </w:rPr>
        <w:t>：</w:t>
      </w:r>
      <w:r>
        <w:rPr>
          <w:rFonts w:hint="eastAsia" w:ascii="仿宋" w:hAnsi="仿宋" w:eastAsia="仿宋" w:cs="仿宋"/>
          <w:color w:val="auto"/>
          <w:sz w:val="20"/>
          <w:szCs w:val="20"/>
          <w:lang w:val="en-US" w:eastAsia="zh-CN"/>
        </w:rPr>
        <w:t>自合同签订之日起</w:t>
      </w:r>
      <w:r>
        <w:rPr>
          <w:rFonts w:hint="eastAsia" w:ascii="仿宋" w:hAnsi="仿宋" w:eastAsia="仿宋" w:cs="仿宋"/>
          <w:color w:val="auto"/>
          <w:sz w:val="20"/>
          <w:szCs w:val="20"/>
        </w:rPr>
        <w:t>160日历天（不包含审批、发布时间）</w:t>
      </w:r>
    </w:p>
    <w:p w14:paraId="5119C89B">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default" w:ascii="仿宋" w:hAnsi="仿宋" w:eastAsia="仿宋" w:cs="仿宋"/>
          <w:color w:val="auto"/>
          <w:sz w:val="20"/>
          <w:szCs w:val="20"/>
          <w:lang w:val="en-US" w:eastAsia="zh-CN"/>
        </w:rPr>
      </w:pPr>
      <w:r>
        <w:rPr>
          <w:rFonts w:hint="eastAsia" w:ascii="仿宋" w:hAnsi="仿宋" w:eastAsia="仿宋" w:cs="仿宋"/>
          <w:color w:val="auto"/>
          <w:sz w:val="20"/>
          <w:szCs w:val="20"/>
          <w:lang w:val="en-US" w:eastAsia="zh-CN"/>
        </w:rPr>
        <w:t>3、服务范围：《人民防空防护设备安装技术规程第一部分：人防门》（DB 61/T 1230-2019）、《早期人民防空工程分类鉴定规程》（DB 61/T 1019-2016）两项技术规程的修编。主要工作包括技术规程的技术服务、起草、公开征求意见、组织研讨、组织评审，并配合相关部门对技术规程的审批、核准、备案及发布。</w:t>
      </w:r>
    </w:p>
    <w:p w14:paraId="22BA0CAA">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b/>
          <w:bCs/>
          <w:color w:val="auto"/>
          <w:sz w:val="20"/>
          <w:szCs w:val="20"/>
          <w:lang w:val="en-US" w:eastAsia="zh-CN"/>
        </w:rPr>
      </w:pPr>
      <w:r>
        <w:rPr>
          <w:rFonts w:hint="eastAsia" w:ascii="仿宋" w:hAnsi="仿宋" w:eastAsia="仿宋" w:cs="仿宋"/>
          <w:b/>
          <w:bCs/>
          <w:color w:val="auto"/>
          <w:sz w:val="20"/>
          <w:szCs w:val="20"/>
          <w:lang w:val="en-US" w:eastAsia="zh-CN"/>
        </w:rPr>
        <w:t>二</w:t>
      </w:r>
      <w:r>
        <w:rPr>
          <w:rFonts w:hint="eastAsia" w:ascii="仿宋" w:hAnsi="仿宋" w:eastAsia="仿宋" w:cs="仿宋"/>
          <w:b/>
          <w:bCs/>
          <w:color w:val="auto"/>
          <w:sz w:val="20"/>
          <w:szCs w:val="20"/>
        </w:rPr>
        <w:t>、</w:t>
      </w:r>
      <w:r>
        <w:rPr>
          <w:rFonts w:hint="eastAsia" w:ascii="仿宋" w:hAnsi="仿宋" w:eastAsia="仿宋" w:cs="仿宋"/>
          <w:b/>
          <w:bCs/>
          <w:color w:val="auto"/>
          <w:sz w:val="20"/>
          <w:szCs w:val="20"/>
          <w:lang w:val="en-US" w:eastAsia="zh-CN"/>
        </w:rPr>
        <w:t>服务标准</w:t>
      </w:r>
    </w:p>
    <w:p w14:paraId="001CA491">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default" w:ascii="仿宋" w:hAnsi="仿宋" w:eastAsia="仿宋" w:cs="仿宋"/>
          <w:b/>
          <w:bCs/>
          <w:color w:val="auto"/>
          <w:sz w:val="20"/>
          <w:szCs w:val="20"/>
          <w:lang w:val="en-US" w:eastAsia="zh-CN"/>
        </w:rPr>
      </w:pPr>
      <w:r>
        <w:rPr>
          <w:rFonts w:hint="eastAsia" w:ascii="仿宋" w:hAnsi="仿宋" w:eastAsia="仿宋" w:cs="仿宋"/>
          <w:b/>
          <w:bCs/>
          <w:color w:val="auto"/>
          <w:sz w:val="20"/>
          <w:szCs w:val="20"/>
          <w:lang w:val="en-US" w:eastAsia="zh-CN"/>
        </w:rPr>
        <w:t>（一</w:t>
      </w:r>
      <w:r>
        <w:rPr>
          <w:rFonts w:hint="eastAsia" w:ascii="仿宋" w:hAnsi="仿宋" w:eastAsia="仿宋" w:cs="仿宋"/>
          <w:b/>
          <w:bCs/>
          <w:color w:val="auto"/>
          <w:sz w:val="20"/>
          <w:szCs w:val="20"/>
          <w:lang w:eastAsia="zh-CN"/>
        </w:rPr>
        <w:t>）</w:t>
      </w:r>
      <w:r>
        <w:rPr>
          <w:rFonts w:hint="eastAsia" w:ascii="仿宋" w:hAnsi="仿宋" w:eastAsia="仿宋" w:cs="仿宋"/>
          <w:b/>
          <w:bCs/>
          <w:color w:val="auto"/>
          <w:sz w:val="20"/>
          <w:szCs w:val="20"/>
          <w:lang w:val="en-US" w:eastAsia="zh-CN"/>
        </w:rPr>
        <w:t>编制依据</w:t>
      </w:r>
    </w:p>
    <w:p w14:paraId="563A2BF9">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rPr>
      </w:pPr>
      <w:r>
        <w:rPr>
          <w:rFonts w:hint="eastAsia" w:ascii="仿宋" w:hAnsi="仿宋" w:eastAsia="仿宋" w:cs="仿宋"/>
          <w:b w:val="0"/>
          <w:bCs w:val="0"/>
          <w:color w:val="auto"/>
          <w:sz w:val="20"/>
          <w:szCs w:val="20"/>
        </w:rPr>
        <w:t>《中华人民共和国人民防空法》</w:t>
      </w:r>
      <w:r>
        <w:rPr>
          <w:rFonts w:hint="eastAsia" w:ascii="仿宋" w:hAnsi="仿宋" w:eastAsia="仿宋" w:cs="仿宋"/>
          <w:b w:val="0"/>
          <w:bCs w:val="0"/>
          <w:color w:val="auto"/>
          <w:sz w:val="20"/>
          <w:szCs w:val="20"/>
          <w:lang w:eastAsia="zh-CN"/>
        </w:rPr>
        <w:t>、</w:t>
      </w:r>
      <w:r>
        <w:rPr>
          <w:rFonts w:hint="eastAsia" w:ascii="仿宋" w:hAnsi="仿宋" w:eastAsia="仿宋" w:cs="仿宋"/>
          <w:b w:val="0"/>
          <w:bCs w:val="0"/>
          <w:color w:val="auto"/>
          <w:sz w:val="20"/>
          <w:szCs w:val="20"/>
        </w:rPr>
        <w:t>《人民防空防护设备管理办法》</w:t>
      </w:r>
      <w:r>
        <w:rPr>
          <w:rFonts w:hint="eastAsia" w:ascii="仿宋" w:hAnsi="仿宋" w:eastAsia="仿宋" w:cs="仿宋"/>
          <w:b w:val="0"/>
          <w:bCs w:val="0"/>
          <w:color w:val="auto"/>
          <w:sz w:val="20"/>
          <w:szCs w:val="20"/>
          <w:lang w:eastAsia="zh-CN"/>
        </w:rPr>
        <w:t>、</w:t>
      </w:r>
      <w:r>
        <w:rPr>
          <w:rFonts w:hint="eastAsia" w:ascii="仿宋" w:hAnsi="仿宋" w:eastAsia="仿宋" w:cs="仿宋"/>
          <w:b w:val="0"/>
          <w:bCs w:val="0"/>
          <w:color w:val="auto"/>
          <w:sz w:val="20"/>
          <w:szCs w:val="20"/>
        </w:rPr>
        <w:t>《人民防空防护设备检验检测管理办法》</w:t>
      </w:r>
      <w:r>
        <w:rPr>
          <w:rFonts w:hint="eastAsia" w:ascii="仿宋" w:hAnsi="仿宋" w:eastAsia="仿宋" w:cs="仿宋"/>
          <w:b w:val="0"/>
          <w:bCs w:val="0"/>
          <w:color w:val="auto"/>
          <w:sz w:val="20"/>
          <w:szCs w:val="20"/>
          <w:lang w:val="en-US" w:eastAsia="zh-CN"/>
        </w:rPr>
        <w:t>等政策文件</w:t>
      </w:r>
      <w:r>
        <w:rPr>
          <w:rFonts w:hint="eastAsia" w:ascii="仿宋" w:hAnsi="仿宋" w:eastAsia="仿宋" w:cs="仿宋"/>
          <w:b w:val="0"/>
          <w:bCs w:val="0"/>
          <w:color w:val="auto"/>
          <w:sz w:val="20"/>
          <w:szCs w:val="20"/>
        </w:rPr>
        <w:t>及陕西省住房和城乡建设厅和陕西省市场监督管理局对地方标准实施的相关要求</w:t>
      </w:r>
      <w:r>
        <w:rPr>
          <w:rFonts w:hint="eastAsia" w:ascii="仿宋" w:hAnsi="仿宋" w:eastAsia="仿宋" w:cs="仿宋"/>
          <w:b w:val="0"/>
          <w:bCs w:val="0"/>
          <w:color w:val="auto"/>
          <w:sz w:val="20"/>
          <w:szCs w:val="20"/>
          <w:lang w:val="en-US" w:eastAsia="zh-CN"/>
        </w:rPr>
        <w:t>并</w:t>
      </w:r>
      <w:r>
        <w:rPr>
          <w:rFonts w:hint="eastAsia" w:ascii="仿宋" w:hAnsi="仿宋" w:eastAsia="仿宋" w:cs="仿宋"/>
          <w:b w:val="0"/>
          <w:bCs w:val="0"/>
          <w:color w:val="auto"/>
          <w:sz w:val="20"/>
          <w:szCs w:val="20"/>
        </w:rPr>
        <w:t>结合陕西省实际情况，充分调研其他省份对人防工程防护设备管理的经验做法</w:t>
      </w:r>
      <w:r>
        <w:rPr>
          <w:rFonts w:hint="eastAsia" w:ascii="仿宋" w:hAnsi="仿宋" w:eastAsia="仿宋" w:cs="仿宋"/>
          <w:b w:val="0"/>
          <w:bCs w:val="0"/>
          <w:color w:val="auto"/>
          <w:sz w:val="20"/>
          <w:szCs w:val="20"/>
          <w:lang w:eastAsia="zh-CN"/>
        </w:rPr>
        <w:t>。</w:t>
      </w:r>
    </w:p>
    <w:p w14:paraId="729FAB65">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b/>
          <w:bCs/>
          <w:color w:val="auto"/>
          <w:sz w:val="20"/>
          <w:szCs w:val="20"/>
        </w:rPr>
      </w:pPr>
      <w:r>
        <w:rPr>
          <w:rFonts w:hint="eastAsia" w:ascii="仿宋" w:hAnsi="仿宋" w:eastAsia="仿宋" w:cs="仿宋"/>
          <w:b/>
          <w:bCs/>
          <w:color w:val="auto"/>
          <w:sz w:val="20"/>
          <w:szCs w:val="20"/>
        </w:rPr>
        <w:t>（</w:t>
      </w:r>
      <w:r>
        <w:rPr>
          <w:rFonts w:hint="eastAsia" w:ascii="仿宋" w:hAnsi="仿宋" w:eastAsia="仿宋" w:cs="仿宋"/>
          <w:b/>
          <w:bCs/>
          <w:color w:val="auto"/>
          <w:sz w:val="20"/>
          <w:szCs w:val="20"/>
          <w:lang w:val="en-US" w:eastAsia="zh-CN"/>
        </w:rPr>
        <w:t>二</w:t>
      </w:r>
      <w:r>
        <w:rPr>
          <w:rFonts w:hint="eastAsia" w:ascii="仿宋" w:hAnsi="仿宋" w:eastAsia="仿宋" w:cs="仿宋"/>
          <w:b/>
          <w:bCs/>
          <w:color w:val="auto"/>
          <w:sz w:val="20"/>
          <w:szCs w:val="20"/>
        </w:rPr>
        <w:t>）全省现状调研</w:t>
      </w:r>
    </w:p>
    <w:p w14:paraId="119E690C">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lang w:eastAsia="zh-CN"/>
        </w:rPr>
      </w:pPr>
      <w:r>
        <w:rPr>
          <w:rFonts w:hint="eastAsia" w:ascii="仿宋" w:hAnsi="仿宋" w:eastAsia="仿宋" w:cs="仿宋"/>
          <w:b w:val="0"/>
          <w:bCs w:val="0"/>
          <w:color w:val="auto"/>
          <w:sz w:val="20"/>
          <w:szCs w:val="20"/>
          <w:lang w:val="en-US" w:eastAsia="zh-CN"/>
        </w:rPr>
        <w:t>全面摸排</w:t>
      </w:r>
      <w:r>
        <w:rPr>
          <w:rFonts w:hint="default" w:ascii="仿宋" w:hAnsi="仿宋" w:eastAsia="仿宋" w:cs="仿宋"/>
          <w:b w:val="0"/>
          <w:bCs w:val="0"/>
          <w:color w:val="auto"/>
          <w:sz w:val="20"/>
          <w:szCs w:val="20"/>
          <w:lang w:val="en-US" w:eastAsia="zh-CN"/>
        </w:rPr>
        <w:t>陕西省人防门（防护密闭门、密闭门、活门槛/无门槛人防门、新型智能化防护门）安装施工工艺、常见质量通病、安装验收难点、质监监督要点、平战转换实施情况；早期人防工程建设年代、结构形式、病害类型（渗漏、开裂、钢筋锈蚀、地基沉降）、防护设备老化失效、使用现状、加固改造及拆除报废处置情况</w:t>
      </w:r>
      <w:r>
        <w:rPr>
          <w:rFonts w:hint="eastAsia" w:ascii="仿宋" w:hAnsi="仿宋" w:eastAsia="仿宋" w:cs="仿宋"/>
          <w:color w:val="auto"/>
          <w:sz w:val="20"/>
          <w:szCs w:val="20"/>
          <w:lang w:eastAsia="zh-CN"/>
        </w:rPr>
        <w:t>。</w:t>
      </w:r>
    </w:p>
    <w:p w14:paraId="2288D3BD">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b/>
          <w:bCs/>
          <w:color w:val="auto"/>
          <w:sz w:val="20"/>
          <w:szCs w:val="20"/>
        </w:rPr>
      </w:pPr>
      <w:r>
        <w:rPr>
          <w:rFonts w:hint="eastAsia" w:ascii="仿宋" w:hAnsi="仿宋" w:eastAsia="仿宋" w:cs="仿宋"/>
          <w:b/>
          <w:bCs/>
          <w:color w:val="auto"/>
          <w:sz w:val="20"/>
          <w:szCs w:val="20"/>
          <w:lang w:eastAsia="zh-CN"/>
        </w:rPr>
        <w:t>（</w:t>
      </w:r>
      <w:r>
        <w:rPr>
          <w:rFonts w:hint="eastAsia" w:ascii="仿宋" w:hAnsi="仿宋" w:eastAsia="仿宋" w:cs="仿宋"/>
          <w:b/>
          <w:bCs/>
          <w:color w:val="auto"/>
          <w:sz w:val="20"/>
          <w:szCs w:val="20"/>
          <w:lang w:val="en-US" w:eastAsia="zh-CN"/>
        </w:rPr>
        <w:t>三</w:t>
      </w:r>
      <w:r>
        <w:rPr>
          <w:rFonts w:hint="eastAsia" w:ascii="仿宋" w:hAnsi="仿宋" w:eastAsia="仿宋" w:cs="仿宋"/>
          <w:b/>
          <w:bCs/>
          <w:color w:val="auto"/>
          <w:sz w:val="20"/>
          <w:szCs w:val="20"/>
          <w:lang w:eastAsia="zh-CN"/>
        </w:rPr>
        <w:t>）</w:t>
      </w:r>
      <w:r>
        <w:rPr>
          <w:rFonts w:hint="eastAsia" w:ascii="仿宋" w:hAnsi="仿宋" w:eastAsia="仿宋" w:cs="仿宋"/>
          <w:b/>
          <w:bCs/>
          <w:color w:val="auto"/>
          <w:sz w:val="20"/>
          <w:szCs w:val="20"/>
        </w:rPr>
        <w:t>案例与数据资料</w:t>
      </w:r>
    </w:p>
    <w:p w14:paraId="6946B4B3">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b w:val="0"/>
          <w:bCs w:val="0"/>
          <w:color w:val="auto"/>
          <w:sz w:val="20"/>
          <w:szCs w:val="20"/>
          <w:lang w:val="en-US" w:eastAsia="zh-CN"/>
        </w:rPr>
      </w:pPr>
      <w:r>
        <w:rPr>
          <w:rFonts w:hint="eastAsia" w:ascii="仿宋" w:hAnsi="仿宋" w:eastAsia="仿宋" w:cs="仿宋"/>
          <w:b w:val="0"/>
          <w:bCs w:val="0"/>
          <w:color w:val="auto"/>
          <w:sz w:val="20"/>
          <w:szCs w:val="20"/>
          <w:lang w:val="en-US" w:eastAsia="zh-CN"/>
        </w:rPr>
        <w:t>归集收集全省典型人防工程安装质量验收案例、早期人防工程鉴定检测报告、隐患排查台账、加固修缮项目资料、问题整改记录，汇总人防门安装质量检测数据、早期工程结构及防护效能检测数据，整理行业专家、监管人员、从业人员的意见建议，建立调研数据库与问题台账，为标准条文修订提供本地化、可量化、可落地的数据支撑和实践依据。</w:t>
      </w:r>
    </w:p>
    <w:p w14:paraId="3CA0899D">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b/>
          <w:bCs/>
          <w:color w:val="auto"/>
          <w:sz w:val="20"/>
          <w:szCs w:val="20"/>
          <w:lang w:val="en-US" w:eastAsia="zh-CN"/>
        </w:rPr>
      </w:pPr>
      <w:r>
        <w:rPr>
          <w:rFonts w:hint="eastAsia" w:ascii="仿宋" w:hAnsi="仿宋" w:eastAsia="仿宋" w:cs="仿宋"/>
          <w:b/>
          <w:bCs/>
          <w:color w:val="auto"/>
          <w:sz w:val="20"/>
          <w:szCs w:val="20"/>
          <w:lang w:eastAsia="zh-CN"/>
        </w:rPr>
        <w:t>（</w:t>
      </w:r>
      <w:r>
        <w:rPr>
          <w:rFonts w:hint="eastAsia" w:ascii="仿宋" w:hAnsi="仿宋" w:eastAsia="仿宋" w:cs="仿宋"/>
          <w:b/>
          <w:bCs/>
          <w:color w:val="auto"/>
          <w:sz w:val="20"/>
          <w:szCs w:val="20"/>
          <w:lang w:val="en-US" w:eastAsia="zh-CN"/>
        </w:rPr>
        <w:t>四</w:t>
      </w:r>
      <w:r>
        <w:rPr>
          <w:rFonts w:hint="eastAsia" w:ascii="仿宋" w:hAnsi="仿宋" w:eastAsia="仿宋" w:cs="仿宋"/>
          <w:b/>
          <w:bCs/>
          <w:color w:val="auto"/>
          <w:sz w:val="20"/>
          <w:szCs w:val="20"/>
          <w:lang w:eastAsia="zh-CN"/>
        </w:rPr>
        <w:t>）</w:t>
      </w:r>
      <w:r>
        <w:rPr>
          <w:rFonts w:hint="eastAsia" w:ascii="仿宋" w:hAnsi="仿宋" w:eastAsia="仿宋" w:cs="仿宋"/>
          <w:b/>
          <w:bCs/>
          <w:color w:val="auto"/>
          <w:sz w:val="20"/>
          <w:szCs w:val="20"/>
          <w:lang w:val="en-US" w:eastAsia="zh-CN"/>
        </w:rPr>
        <w:t>修订要求</w:t>
      </w:r>
    </w:p>
    <w:p w14:paraId="2A90E94B">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default" w:ascii="仿宋" w:hAnsi="仿宋" w:eastAsia="仿宋" w:cs="仿宋"/>
          <w:b w:val="0"/>
          <w:bCs w:val="0"/>
          <w:color w:val="auto"/>
          <w:sz w:val="20"/>
          <w:szCs w:val="20"/>
          <w:lang w:val="en-US" w:eastAsia="zh-CN"/>
        </w:rPr>
      </w:pPr>
      <w:r>
        <w:rPr>
          <w:rFonts w:hint="eastAsia" w:ascii="仿宋" w:hAnsi="仿宋" w:eastAsia="仿宋" w:cs="仿宋"/>
          <w:b w:val="0"/>
          <w:bCs w:val="0"/>
          <w:color w:val="auto"/>
          <w:sz w:val="20"/>
          <w:szCs w:val="20"/>
          <w:lang w:val="en-US" w:eastAsia="zh-CN"/>
        </w:rPr>
        <w:t>修订</w:t>
      </w:r>
      <w:r>
        <w:rPr>
          <w:rFonts w:hint="eastAsia" w:ascii="仿宋" w:hAnsi="仿宋" w:eastAsia="仿宋" w:cs="仿宋"/>
          <w:b w:val="0"/>
          <w:bCs w:val="0"/>
          <w:color w:val="auto"/>
          <w:sz w:val="20"/>
          <w:szCs w:val="20"/>
        </w:rPr>
        <w:t>内容需严格遵循地方标准编制规范，术语统一、条文严谨、指标量化、逻辑清晰，明确技术要求、检验方法、验收规则（人防门规程）、鉴定流程（早期工程规程）等核心内容，确保与国家现行标准无冲突、贴合陕西本地化需求。</w:t>
      </w:r>
    </w:p>
    <w:p w14:paraId="4E3CDD47">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b/>
          <w:bCs/>
          <w:color w:val="auto"/>
          <w:sz w:val="20"/>
          <w:szCs w:val="20"/>
          <w:lang w:val="en-US" w:eastAsia="zh-CN"/>
        </w:rPr>
      </w:pPr>
      <w:r>
        <w:rPr>
          <w:rFonts w:hint="eastAsia" w:ascii="仿宋" w:hAnsi="仿宋" w:eastAsia="仿宋" w:cs="仿宋"/>
          <w:b/>
          <w:bCs/>
          <w:color w:val="auto"/>
          <w:sz w:val="20"/>
          <w:szCs w:val="20"/>
          <w:lang w:val="en-US" w:eastAsia="zh-CN"/>
        </w:rPr>
        <w:t>三</w:t>
      </w:r>
      <w:r>
        <w:rPr>
          <w:rFonts w:hint="eastAsia" w:ascii="仿宋" w:hAnsi="仿宋" w:eastAsia="仿宋" w:cs="仿宋"/>
          <w:b/>
          <w:bCs/>
          <w:color w:val="auto"/>
          <w:sz w:val="20"/>
          <w:szCs w:val="20"/>
        </w:rPr>
        <w:t>、</w:t>
      </w:r>
      <w:r>
        <w:rPr>
          <w:rFonts w:hint="eastAsia" w:ascii="仿宋" w:hAnsi="仿宋" w:eastAsia="仿宋" w:cs="仿宋"/>
          <w:b/>
          <w:bCs/>
          <w:color w:val="auto"/>
          <w:sz w:val="20"/>
          <w:szCs w:val="20"/>
          <w:lang w:val="en-US" w:eastAsia="zh-CN"/>
        </w:rPr>
        <w:t>服务内容及成果交付</w:t>
      </w:r>
    </w:p>
    <w:p w14:paraId="464D539E">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b/>
          <w:bCs/>
          <w:color w:val="auto"/>
          <w:sz w:val="20"/>
          <w:szCs w:val="20"/>
        </w:rPr>
      </w:pPr>
      <w:r>
        <w:rPr>
          <w:rFonts w:hint="eastAsia" w:ascii="仿宋" w:hAnsi="仿宋" w:eastAsia="仿宋" w:cs="仿宋"/>
          <w:b/>
          <w:bCs/>
          <w:color w:val="auto"/>
          <w:sz w:val="20"/>
          <w:szCs w:val="20"/>
        </w:rPr>
        <w:t>（一）服务内容</w:t>
      </w:r>
    </w:p>
    <w:p w14:paraId="4E75D7B5">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color w:val="auto"/>
          <w:sz w:val="20"/>
          <w:szCs w:val="20"/>
          <w:lang w:eastAsia="zh-CN"/>
        </w:rPr>
      </w:pPr>
      <w:r>
        <w:rPr>
          <w:rFonts w:hint="eastAsia" w:ascii="仿宋" w:hAnsi="仿宋" w:eastAsia="仿宋" w:cs="仿宋"/>
          <w:b/>
          <w:bCs/>
          <w:color w:val="auto"/>
          <w:sz w:val="20"/>
          <w:szCs w:val="20"/>
          <w:lang w:val="en-US" w:eastAsia="zh-CN"/>
        </w:rPr>
        <w:t>1、</w:t>
      </w:r>
      <w:r>
        <w:rPr>
          <w:rFonts w:hint="eastAsia" w:ascii="仿宋" w:hAnsi="仿宋" w:eastAsia="仿宋" w:cs="仿宋"/>
          <w:b/>
          <w:bCs/>
          <w:color w:val="auto"/>
          <w:sz w:val="20"/>
          <w:szCs w:val="20"/>
        </w:rPr>
        <w:t>调研阶段：</w:t>
      </w:r>
      <w:r>
        <w:rPr>
          <w:rFonts w:hint="eastAsia" w:ascii="仿宋" w:hAnsi="仿宋" w:eastAsia="仿宋" w:cs="仿宋"/>
          <w:color w:val="auto"/>
          <w:sz w:val="20"/>
          <w:szCs w:val="20"/>
        </w:rPr>
        <w:t>全面调研陕西省人防防护设备生产企业、安装企业、人防工程建设项目、监管部门现状，收集相关资料、数据、案例及技术需求，形成调研纪要</w:t>
      </w:r>
      <w:r>
        <w:rPr>
          <w:rFonts w:hint="eastAsia" w:ascii="仿宋" w:hAnsi="仿宋" w:eastAsia="仿宋" w:cs="仿宋"/>
          <w:color w:val="auto"/>
          <w:sz w:val="20"/>
          <w:szCs w:val="20"/>
          <w:lang w:eastAsia="zh-CN"/>
        </w:rPr>
        <w:t>；</w:t>
      </w:r>
    </w:p>
    <w:p w14:paraId="3AAC90AF">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color w:val="auto"/>
          <w:sz w:val="20"/>
          <w:szCs w:val="20"/>
          <w:lang w:eastAsia="zh-CN"/>
        </w:rPr>
      </w:pPr>
      <w:r>
        <w:rPr>
          <w:rFonts w:hint="eastAsia" w:ascii="仿宋" w:hAnsi="仿宋" w:eastAsia="仿宋" w:cs="仿宋"/>
          <w:b/>
          <w:bCs/>
          <w:color w:val="auto"/>
          <w:sz w:val="20"/>
          <w:szCs w:val="20"/>
          <w:lang w:val="en-US" w:eastAsia="zh-CN"/>
        </w:rPr>
        <w:t>2、修订起草</w:t>
      </w:r>
      <w:r>
        <w:rPr>
          <w:rFonts w:hint="eastAsia" w:ascii="仿宋" w:hAnsi="仿宋" w:eastAsia="仿宋" w:cs="仿宋"/>
          <w:b/>
          <w:bCs/>
          <w:color w:val="auto"/>
          <w:sz w:val="20"/>
          <w:szCs w:val="20"/>
        </w:rPr>
        <w:t>阶段：</w:t>
      </w:r>
      <w:r>
        <w:rPr>
          <w:rFonts w:hint="eastAsia" w:ascii="仿宋" w:hAnsi="仿宋" w:eastAsia="仿宋" w:cs="仿宋"/>
          <w:b w:val="0"/>
          <w:bCs w:val="0"/>
          <w:color w:val="auto"/>
          <w:sz w:val="20"/>
          <w:szCs w:val="20"/>
        </w:rPr>
        <w:t>结合调研收集的意见建议、案例数据，对原有条款进行修订、增补（如新型人防门安装、智能化设备相关要求）、删减，形成完整的修订文本及编制说明，明确主要修订内容、依据及改进方向</w:t>
      </w:r>
      <w:r>
        <w:rPr>
          <w:rFonts w:hint="eastAsia" w:ascii="仿宋" w:hAnsi="仿宋" w:eastAsia="仿宋" w:cs="仿宋"/>
          <w:b w:val="0"/>
          <w:bCs w:val="0"/>
          <w:color w:val="auto"/>
          <w:sz w:val="20"/>
          <w:szCs w:val="20"/>
          <w:lang w:eastAsia="zh-CN"/>
        </w:rPr>
        <w:t>，</w:t>
      </w:r>
      <w:r>
        <w:rPr>
          <w:rFonts w:hint="eastAsia" w:ascii="仿宋" w:hAnsi="仿宋" w:eastAsia="仿宋" w:cs="仿宋"/>
          <w:color w:val="auto"/>
          <w:sz w:val="20"/>
          <w:szCs w:val="20"/>
        </w:rPr>
        <w:t>完成</w:t>
      </w:r>
      <w:r>
        <w:rPr>
          <w:rFonts w:hint="eastAsia" w:ascii="仿宋" w:hAnsi="仿宋" w:eastAsia="仿宋" w:cs="仿宋"/>
          <w:color w:val="auto"/>
          <w:sz w:val="20"/>
          <w:szCs w:val="20"/>
          <w:lang w:val="en-US" w:eastAsia="zh-CN"/>
        </w:rPr>
        <w:t>修订</w:t>
      </w:r>
      <w:r>
        <w:rPr>
          <w:rFonts w:hint="eastAsia" w:ascii="仿宋" w:hAnsi="仿宋" w:eastAsia="仿宋" w:cs="仿宋"/>
          <w:color w:val="auto"/>
          <w:sz w:val="20"/>
          <w:szCs w:val="20"/>
        </w:rPr>
        <w:t>编制</w:t>
      </w:r>
      <w:r>
        <w:rPr>
          <w:rFonts w:hint="eastAsia" w:ascii="仿宋" w:hAnsi="仿宋" w:eastAsia="仿宋" w:cs="仿宋"/>
          <w:color w:val="auto"/>
          <w:sz w:val="20"/>
          <w:szCs w:val="20"/>
          <w:lang w:eastAsia="zh-CN"/>
        </w:rPr>
        <w:t>，</w:t>
      </w:r>
      <w:r>
        <w:rPr>
          <w:rFonts w:hint="eastAsia" w:ascii="仿宋" w:hAnsi="仿宋" w:eastAsia="仿宋" w:cs="仿宋"/>
          <w:color w:val="auto"/>
          <w:sz w:val="20"/>
          <w:szCs w:val="20"/>
        </w:rPr>
        <w:t>组织内部审核、修改完善，形成征求意见稿</w:t>
      </w:r>
      <w:r>
        <w:rPr>
          <w:rFonts w:hint="eastAsia" w:ascii="仿宋" w:hAnsi="仿宋" w:eastAsia="仿宋" w:cs="仿宋"/>
          <w:color w:val="auto"/>
          <w:sz w:val="20"/>
          <w:szCs w:val="20"/>
          <w:lang w:eastAsia="zh-CN"/>
        </w:rPr>
        <w:t>；</w:t>
      </w:r>
    </w:p>
    <w:p w14:paraId="7B1DBACF">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color w:val="auto"/>
          <w:sz w:val="20"/>
          <w:szCs w:val="20"/>
          <w:lang w:eastAsia="zh-CN"/>
        </w:rPr>
      </w:pPr>
      <w:r>
        <w:rPr>
          <w:rFonts w:hint="eastAsia" w:ascii="仿宋" w:hAnsi="仿宋" w:eastAsia="仿宋" w:cs="仿宋"/>
          <w:b/>
          <w:bCs/>
          <w:color w:val="auto"/>
          <w:sz w:val="20"/>
          <w:szCs w:val="20"/>
          <w:lang w:val="en-US" w:eastAsia="zh-CN"/>
        </w:rPr>
        <w:t>3、公开征求意见</w:t>
      </w:r>
      <w:r>
        <w:rPr>
          <w:rFonts w:hint="eastAsia" w:ascii="仿宋" w:hAnsi="仿宋" w:eastAsia="仿宋" w:cs="仿宋"/>
          <w:b/>
          <w:bCs/>
          <w:color w:val="auto"/>
          <w:sz w:val="20"/>
          <w:szCs w:val="20"/>
        </w:rPr>
        <w:t>阶段：</w:t>
      </w:r>
      <w:r>
        <w:rPr>
          <w:rFonts w:hint="eastAsia" w:ascii="仿宋" w:hAnsi="仿宋" w:eastAsia="仿宋" w:cs="仿宋"/>
          <w:color w:val="auto"/>
          <w:sz w:val="20"/>
          <w:szCs w:val="20"/>
        </w:rPr>
        <w:t>向陕西省各级人防主管部门、生产企业、安装企业、设计单位、监理单位、检测机构等相关单位征求意见，汇总意见</w:t>
      </w:r>
      <w:r>
        <w:rPr>
          <w:rFonts w:hint="eastAsia" w:ascii="仿宋" w:hAnsi="仿宋" w:eastAsia="仿宋" w:cs="仿宋"/>
          <w:b w:val="0"/>
          <w:bCs w:val="0"/>
          <w:color w:val="auto"/>
          <w:sz w:val="20"/>
          <w:szCs w:val="20"/>
        </w:rPr>
        <w:t>形成《征求意见汇总表》，对合理意见予以采纳并修改完善标准文本，对未采纳意见说明理由，确保征求意见工作规范、全面，充分吸纳行业各方合理诉求</w:t>
      </w:r>
      <w:r>
        <w:rPr>
          <w:rFonts w:hint="eastAsia" w:ascii="仿宋" w:hAnsi="仿宋" w:eastAsia="仿宋" w:cs="仿宋"/>
          <w:color w:val="auto"/>
          <w:sz w:val="20"/>
          <w:szCs w:val="20"/>
        </w:rPr>
        <w:t>，修改完善形成送审稿</w:t>
      </w:r>
      <w:r>
        <w:rPr>
          <w:rFonts w:hint="eastAsia" w:ascii="仿宋" w:hAnsi="仿宋" w:eastAsia="仿宋" w:cs="仿宋"/>
          <w:color w:val="auto"/>
          <w:sz w:val="20"/>
          <w:szCs w:val="20"/>
          <w:lang w:eastAsia="zh-CN"/>
        </w:rPr>
        <w:t>；</w:t>
      </w:r>
    </w:p>
    <w:p w14:paraId="5CAFD3C2">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color w:val="auto"/>
          <w:sz w:val="20"/>
          <w:szCs w:val="20"/>
          <w:lang w:eastAsia="zh-CN"/>
        </w:rPr>
      </w:pPr>
      <w:r>
        <w:rPr>
          <w:rFonts w:hint="eastAsia" w:ascii="仿宋" w:hAnsi="仿宋" w:eastAsia="仿宋" w:cs="仿宋"/>
          <w:b/>
          <w:bCs/>
          <w:color w:val="auto"/>
          <w:sz w:val="20"/>
          <w:szCs w:val="20"/>
          <w:lang w:val="en-US" w:eastAsia="zh-CN"/>
        </w:rPr>
        <w:t>4、组织研讨、评审阶段</w:t>
      </w:r>
      <w:r>
        <w:rPr>
          <w:rFonts w:hint="eastAsia" w:ascii="仿宋" w:hAnsi="仿宋" w:eastAsia="仿宋" w:cs="仿宋"/>
          <w:b/>
          <w:bCs/>
          <w:color w:val="auto"/>
          <w:sz w:val="20"/>
          <w:szCs w:val="20"/>
        </w:rPr>
        <w:t>：</w:t>
      </w:r>
      <w:r>
        <w:rPr>
          <w:rFonts w:hint="eastAsia" w:ascii="仿宋" w:hAnsi="仿宋" w:eastAsia="仿宋" w:cs="仿宋"/>
          <w:color w:val="auto"/>
          <w:sz w:val="20"/>
          <w:szCs w:val="20"/>
        </w:rPr>
        <w:t>配合采购人组织行业专家对送审稿进行</w:t>
      </w:r>
      <w:r>
        <w:rPr>
          <w:rFonts w:hint="eastAsia" w:ascii="仿宋" w:hAnsi="仿宋" w:eastAsia="仿宋" w:cs="仿宋"/>
          <w:color w:val="auto"/>
          <w:sz w:val="20"/>
          <w:szCs w:val="20"/>
          <w:lang w:val="en-US" w:eastAsia="zh-CN"/>
        </w:rPr>
        <w:t>研讨、</w:t>
      </w:r>
      <w:r>
        <w:rPr>
          <w:rFonts w:hint="eastAsia" w:ascii="仿宋" w:hAnsi="仿宋" w:eastAsia="仿宋" w:cs="仿宋"/>
          <w:color w:val="auto"/>
          <w:sz w:val="20"/>
          <w:szCs w:val="20"/>
        </w:rPr>
        <w:t>评审，根据评审意见修改完善，形成报批稿</w:t>
      </w:r>
      <w:r>
        <w:rPr>
          <w:rFonts w:hint="eastAsia" w:ascii="仿宋" w:hAnsi="仿宋" w:eastAsia="仿宋" w:cs="仿宋"/>
          <w:color w:val="auto"/>
          <w:sz w:val="20"/>
          <w:szCs w:val="20"/>
          <w:lang w:eastAsia="zh-CN"/>
        </w:rPr>
        <w:t>；</w:t>
      </w:r>
    </w:p>
    <w:p w14:paraId="56411F7F">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color w:val="auto"/>
          <w:sz w:val="20"/>
          <w:szCs w:val="20"/>
          <w:lang w:eastAsia="zh-CN"/>
        </w:rPr>
      </w:pPr>
      <w:r>
        <w:rPr>
          <w:rFonts w:hint="eastAsia" w:ascii="仿宋" w:hAnsi="仿宋" w:eastAsia="仿宋" w:cs="仿宋"/>
          <w:b/>
          <w:bCs/>
          <w:color w:val="auto"/>
          <w:sz w:val="20"/>
          <w:szCs w:val="20"/>
          <w:lang w:val="en-US" w:eastAsia="zh-CN"/>
        </w:rPr>
        <w:t>5、</w:t>
      </w:r>
      <w:r>
        <w:rPr>
          <w:rFonts w:hint="eastAsia" w:ascii="仿宋" w:hAnsi="仿宋" w:eastAsia="仿宋" w:cs="仿宋"/>
          <w:b/>
          <w:bCs/>
          <w:color w:val="auto"/>
          <w:sz w:val="20"/>
          <w:szCs w:val="20"/>
        </w:rPr>
        <w:t>报批阶段：</w:t>
      </w:r>
      <w:r>
        <w:rPr>
          <w:rFonts w:hint="eastAsia" w:ascii="仿宋" w:hAnsi="仿宋" w:eastAsia="仿宋" w:cs="仿宋"/>
          <w:color w:val="auto"/>
          <w:sz w:val="20"/>
          <w:szCs w:val="20"/>
        </w:rPr>
        <w:t>协助采购人完成报批稿的审批流程，根据审批意见最终修订，形成正式发布稿</w:t>
      </w:r>
      <w:r>
        <w:rPr>
          <w:rFonts w:hint="eastAsia" w:ascii="仿宋" w:hAnsi="仿宋" w:eastAsia="仿宋" w:cs="仿宋"/>
          <w:color w:val="auto"/>
          <w:sz w:val="20"/>
          <w:szCs w:val="20"/>
          <w:lang w:eastAsia="zh-CN"/>
        </w:rPr>
        <w:t>；</w:t>
      </w:r>
    </w:p>
    <w:p w14:paraId="0A7B2E84">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color w:val="auto"/>
          <w:sz w:val="20"/>
          <w:szCs w:val="20"/>
          <w:lang w:eastAsia="zh-CN"/>
        </w:rPr>
      </w:pPr>
      <w:r>
        <w:rPr>
          <w:rFonts w:hint="eastAsia" w:ascii="仿宋" w:hAnsi="仿宋" w:eastAsia="仿宋" w:cs="仿宋"/>
          <w:b/>
          <w:bCs/>
          <w:color w:val="auto"/>
          <w:sz w:val="20"/>
          <w:szCs w:val="20"/>
          <w:lang w:val="en-US" w:eastAsia="zh-CN"/>
        </w:rPr>
        <w:t>6、</w:t>
      </w:r>
      <w:r>
        <w:rPr>
          <w:rFonts w:hint="eastAsia" w:ascii="仿宋" w:hAnsi="仿宋" w:eastAsia="仿宋" w:cs="仿宋"/>
          <w:b/>
          <w:bCs/>
          <w:color w:val="auto"/>
          <w:sz w:val="20"/>
          <w:szCs w:val="20"/>
        </w:rPr>
        <w:t>交付及宣贯阶段：</w:t>
      </w:r>
      <w:r>
        <w:rPr>
          <w:rFonts w:hint="eastAsia" w:ascii="仿宋" w:hAnsi="仿宋" w:eastAsia="仿宋" w:cs="仿宋"/>
          <w:color w:val="auto"/>
          <w:sz w:val="20"/>
          <w:szCs w:val="20"/>
        </w:rPr>
        <w:t>提交正式成果，</w:t>
      </w:r>
      <w:r>
        <w:rPr>
          <w:rFonts w:hint="eastAsia" w:ascii="仿宋" w:hAnsi="仿宋" w:eastAsia="仿宋" w:cs="仿宋"/>
          <w:b w:val="0"/>
          <w:bCs w:val="0"/>
          <w:color w:val="auto"/>
          <w:sz w:val="20"/>
          <w:szCs w:val="20"/>
        </w:rPr>
        <w:t>配合相关部门开展标准发布前的公示、校对等工作，及时处理发布过程中出现的问题，确保两项标准顺利正式发布，并协助采购人领取标准发布相关文件</w:t>
      </w:r>
      <w:r>
        <w:rPr>
          <w:rFonts w:hint="eastAsia" w:ascii="仿宋" w:hAnsi="仿宋" w:eastAsia="仿宋" w:cs="仿宋"/>
          <w:b w:val="0"/>
          <w:bCs w:val="0"/>
          <w:color w:val="auto"/>
          <w:sz w:val="20"/>
          <w:szCs w:val="20"/>
          <w:lang w:eastAsia="zh-CN"/>
        </w:rPr>
        <w:t>；</w:t>
      </w:r>
      <w:r>
        <w:rPr>
          <w:rFonts w:hint="eastAsia" w:ascii="仿宋" w:hAnsi="仿宋" w:eastAsia="仿宋" w:cs="仿宋"/>
          <w:color w:val="auto"/>
          <w:sz w:val="20"/>
          <w:szCs w:val="20"/>
        </w:rPr>
        <w:t>配合采购人开展全省宣贯培训，覆盖各地市人防主管部门及相关企业），提供12个月免费技术咨询服务</w:t>
      </w:r>
      <w:r>
        <w:rPr>
          <w:rFonts w:hint="eastAsia" w:ascii="仿宋" w:hAnsi="仿宋" w:eastAsia="仿宋" w:cs="仿宋"/>
          <w:color w:val="auto"/>
          <w:sz w:val="20"/>
          <w:szCs w:val="20"/>
          <w:lang w:eastAsia="zh-CN"/>
        </w:rPr>
        <w:t>。</w:t>
      </w:r>
    </w:p>
    <w:p w14:paraId="05286D75">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b/>
          <w:bCs/>
          <w:color w:val="auto"/>
          <w:sz w:val="20"/>
          <w:szCs w:val="20"/>
        </w:rPr>
      </w:pPr>
      <w:r>
        <w:rPr>
          <w:rFonts w:hint="eastAsia" w:ascii="仿宋" w:hAnsi="仿宋" w:eastAsia="仿宋" w:cs="仿宋"/>
          <w:b/>
          <w:bCs/>
          <w:color w:val="auto"/>
          <w:sz w:val="20"/>
          <w:szCs w:val="20"/>
        </w:rPr>
        <w:t>（二）成果交付</w:t>
      </w:r>
    </w:p>
    <w:p w14:paraId="14C0FD9D">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b w:val="0"/>
          <w:bCs w:val="0"/>
          <w:color w:val="auto"/>
          <w:sz w:val="20"/>
          <w:szCs w:val="20"/>
          <w:lang w:val="en-US" w:eastAsia="zh-CN"/>
        </w:rPr>
      </w:pPr>
      <w:r>
        <w:rPr>
          <w:rFonts w:hint="eastAsia" w:ascii="仿宋" w:hAnsi="仿宋" w:eastAsia="仿宋" w:cs="仿宋"/>
          <w:b w:val="0"/>
          <w:bCs w:val="0"/>
          <w:color w:val="auto"/>
          <w:sz w:val="20"/>
          <w:szCs w:val="20"/>
          <w:lang w:val="en-US" w:eastAsia="zh-CN"/>
        </w:rPr>
        <w:t>1、纸质文件：《人民防空防护设备安装技术规程第一部分：人防门》及《早期人民防空工程分类鉴定规程》正式文本（精装，10 份）、调研纪要（2 份）、征求意见汇总表（2 份）、专家评审意见及修改说明（2 份）、报批文件（2 份）；</w:t>
      </w:r>
    </w:p>
    <w:p w14:paraId="6B9BC356">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b w:val="0"/>
          <w:bCs w:val="0"/>
          <w:color w:val="auto"/>
          <w:sz w:val="20"/>
          <w:szCs w:val="20"/>
          <w:lang w:val="en-US" w:eastAsia="zh-CN"/>
        </w:rPr>
      </w:pPr>
      <w:r>
        <w:rPr>
          <w:rFonts w:hint="eastAsia" w:ascii="仿宋" w:hAnsi="仿宋" w:eastAsia="仿宋" w:cs="仿宋"/>
          <w:b w:val="0"/>
          <w:bCs w:val="0"/>
          <w:color w:val="auto"/>
          <w:sz w:val="20"/>
          <w:szCs w:val="20"/>
          <w:lang w:val="en-US" w:eastAsia="zh-CN"/>
        </w:rPr>
        <w:t>2、电子文件：全部成果电子版（含可编辑文档、PDF 版、图表源文件），存储于 U 盘（2 套），确保内容完整、无病毒、可正常读取；</w:t>
      </w:r>
    </w:p>
    <w:p w14:paraId="3B4FC46E">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b w:val="0"/>
          <w:bCs w:val="0"/>
          <w:color w:val="auto"/>
          <w:sz w:val="20"/>
          <w:szCs w:val="20"/>
          <w:lang w:val="en-US" w:eastAsia="zh-CN"/>
        </w:rPr>
      </w:pPr>
      <w:r>
        <w:rPr>
          <w:rFonts w:hint="eastAsia" w:ascii="仿宋" w:hAnsi="仿宋" w:eastAsia="仿宋" w:cs="仿宋"/>
          <w:b w:val="0"/>
          <w:bCs w:val="0"/>
          <w:color w:val="auto"/>
          <w:sz w:val="20"/>
          <w:szCs w:val="20"/>
          <w:lang w:val="en-US" w:eastAsia="zh-CN"/>
        </w:rPr>
        <w:t>3、宣贯资料：宣贯培训 PPT 课件、培训讲义（电子版+纸质版，按需提供）。</w:t>
      </w:r>
    </w:p>
    <w:p w14:paraId="32CF2649">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b/>
          <w:bCs/>
          <w:color w:val="auto"/>
          <w:sz w:val="20"/>
          <w:szCs w:val="20"/>
        </w:rPr>
      </w:pPr>
      <w:r>
        <w:rPr>
          <w:rFonts w:hint="eastAsia" w:ascii="仿宋" w:hAnsi="仿宋" w:eastAsia="仿宋" w:cs="仿宋"/>
          <w:b/>
          <w:bCs/>
          <w:color w:val="auto"/>
          <w:sz w:val="20"/>
          <w:szCs w:val="20"/>
          <w:lang w:val="en-US" w:eastAsia="zh-CN"/>
        </w:rPr>
        <w:t>四</w:t>
      </w:r>
      <w:r>
        <w:rPr>
          <w:rFonts w:hint="eastAsia" w:ascii="仿宋" w:hAnsi="仿宋" w:eastAsia="仿宋" w:cs="仿宋"/>
          <w:b/>
          <w:bCs/>
          <w:color w:val="auto"/>
          <w:sz w:val="20"/>
          <w:szCs w:val="20"/>
        </w:rPr>
        <w:t>、商务要求</w:t>
      </w:r>
    </w:p>
    <w:p w14:paraId="354FAA43">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b/>
          <w:bCs/>
          <w:color w:val="auto"/>
          <w:sz w:val="20"/>
          <w:szCs w:val="20"/>
        </w:rPr>
      </w:pPr>
      <w:r>
        <w:rPr>
          <w:rFonts w:hint="eastAsia" w:ascii="仿宋" w:hAnsi="仿宋" w:eastAsia="仿宋" w:cs="仿宋"/>
          <w:b/>
          <w:bCs/>
          <w:color w:val="auto"/>
          <w:sz w:val="20"/>
          <w:szCs w:val="20"/>
          <w:lang w:val="en-US" w:eastAsia="zh-CN"/>
        </w:rPr>
        <w:t>（一）</w:t>
      </w:r>
      <w:r>
        <w:rPr>
          <w:rFonts w:hint="eastAsia" w:ascii="仿宋" w:hAnsi="仿宋" w:eastAsia="仿宋" w:cs="仿宋"/>
          <w:b/>
          <w:bCs/>
          <w:color w:val="auto"/>
          <w:sz w:val="20"/>
          <w:szCs w:val="20"/>
        </w:rPr>
        <w:t>付款方式</w:t>
      </w:r>
    </w:p>
    <w:p w14:paraId="1D415918">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rPr>
      </w:pPr>
      <w:r>
        <w:rPr>
          <w:rFonts w:hint="eastAsia" w:ascii="仿宋" w:hAnsi="仿宋" w:eastAsia="仿宋" w:cs="仿宋"/>
          <w:color w:val="auto"/>
          <w:sz w:val="20"/>
          <w:szCs w:val="20"/>
          <w:lang w:val="en-US" w:eastAsia="zh-CN"/>
        </w:rPr>
        <w:t>1、</w:t>
      </w:r>
      <w:r>
        <w:rPr>
          <w:rFonts w:hint="eastAsia" w:ascii="仿宋" w:hAnsi="仿宋" w:eastAsia="仿宋" w:cs="仿宋"/>
          <w:color w:val="auto"/>
          <w:sz w:val="20"/>
          <w:szCs w:val="20"/>
        </w:rPr>
        <w:t>合同签订后支付合同总金额的 60.00%。</w:t>
      </w:r>
    </w:p>
    <w:p w14:paraId="1FE75B0C">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rPr>
      </w:pPr>
      <w:r>
        <w:rPr>
          <w:rFonts w:hint="eastAsia" w:ascii="仿宋" w:hAnsi="仿宋" w:eastAsia="仿宋" w:cs="仿宋"/>
          <w:color w:val="auto"/>
          <w:sz w:val="20"/>
          <w:szCs w:val="20"/>
          <w:lang w:val="en-US" w:eastAsia="zh-CN"/>
        </w:rPr>
        <w:t>2、</w:t>
      </w:r>
      <w:r>
        <w:rPr>
          <w:rFonts w:hint="eastAsia" w:ascii="仿宋" w:hAnsi="仿宋" w:eastAsia="仿宋" w:cs="仿宋"/>
          <w:color w:val="auto"/>
          <w:sz w:val="20"/>
          <w:szCs w:val="20"/>
        </w:rPr>
        <w:t>完成全部服务并经甲方验收合格支</w:t>
      </w:r>
      <w:bookmarkStart w:id="0" w:name="_GoBack"/>
      <w:bookmarkEnd w:id="0"/>
      <w:r>
        <w:rPr>
          <w:rFonts w:hint="eastAsia" w:ascii="仿宋" w:hAnsi="仿宋" w:eastAsia="仿宋" w:cs="仿宋"/>
          <w:color w:val="auto"/>
          <w:sz w:val="20"/>
          <w:szCs w:val="20"/>
        </w:rPr>
        <w:t>付合同总金额的 40.00%。</w:t>
      </w:r>
    </w:p>
    <w:p w14:paraId="22F290D3">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b/>
          <w:bCs/>
          <w:color w:val="auto"/>
          <w:sz w:val="20"/>
          <w:szCs w:val="20"/>
          <w:lang w:eastAsia="zh-CN"/>
        </w:rPr>
      </w:pPr>
      <w:r>
        <w:rPr>
          <w:rFonts w:hint="eastAsia" w:ascii="仿宋" w:hAnsi="仿宋" w:eastAsia="仿宋" w:cs="仿宋"/>
          <w:b/>
          <w:bCs/>
          <w:color w:val="auto"/>
          <w:sz w:val="20"/>
          <w:szCs w:val="20"/>
          <w:lang w:eastAsia="zh-CN"/>
        </w:rPr>
        <w:t>（</w:t>
      </w:r>
      <w:r>
        <w:rPr>
          <w:rFonts w:hint="eastAsia" w:ascii="仿宋" w:hAnsi="仿宋" w:eastAsia="仿宋" w:cs="仿宋"/>
          <w:b/>
          <w:bCs/>
          <w:color w:val="auto"/>
          <w:sz w:val="20"/>
          <w:szCs w:val="20"/>
          <w:lang w:val="en-US" w:eastAsia="zh-CN"/>
        </w:rPr>
        <w:t>二</w:t>
      </w:r>
      <w:r>
        <w:rPr>
          <w:rFonts w:hint="eastAsia" w:ascii="仿宋" w:hAnsi="仿宋" w:eastAsia="仿宋" w:cs="仿宋"/>
          <w:b/>
          <w:bCs/>
          <w:color w:val="auto"/>
          <w:sz w:val="20"/>
          <w:szCs w:val="20"/>
          <w:lang w:eastAsia="zh-CN"/>
        </w:rPr>
        <w:t>）验收标准</w:t>
      </w:r>
    </w:p>
    <w:p w14:paraId="0413FC9C">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lang w:val="en-US" w:eastAsia="zh-CN"/>
        </w:rPr>
      </w:pPr>
      <w:r>
        <w:rPr>
          <w:rFonts w:hint="eastAsia" w:ascii="仿宋" w:hAnsi="仿宋" w:eastAsia="仿宋" w:cs="仿宋"/>
          <w:color w:val="auto"/>
          <w:sz w:val="20"/>
          <w:szCs w:val="20"/>
          <w:lang w:val="en-US" w:eastAsia="zh-CN"/>
        </w:rPr>
        <w:t>1、验收依据：①合同文本；②磋商文件及澄清函、磋商响应文件；③国家和行业制定的相应的标准和规范。</w:t>
      </w:r>
    </w:p>
    <w:p w14:paraId="77EF6CCC">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lang w:val="en-US" w:eastAsia="zh-CN"/>
        </w:rPr>
      </w:pPr>
      <w:r>
        <w:rPr>
          <w:rFonts w:hint="eastAsia" w:ascii="仿宋" w:hAnsi="仿宋" w:eastAsia="仿宋" w:cs="仿宋"/>
          <w:color w:val="auto"/>
          <w:sz w:val="20"/>
          <w:szCs w:val="20"/>
          <w:lang w:val="en-US" w:eastAsia="zh-CN"/>
        </w:rPr>
        <w:t>2、验收合格条件：</w:t>
      </w:r>
    </w:p>
    <w:p w14:paraId="3D4EA5DA">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lang w:val="en-US" w:eastAsia="zh-CN"/>
        </w:rPr>
      </w:pPr>
      <w:r>
        <w:rPr>
          <w:rFonts w:hint="eastAsia" w:ascii="仿宋" w:hAnsi="仿宋" w:eastAsia="仿宋" w:cs="仿宋"/>
          <w:color w:val="auto"/>
          <w:sz w:val="20"/>
          <w:szCs w:val="20"/>
          <w:lang w:val="en-US" w:eastAsia="zh-CN"/>
        </w:rPr>
        <w:t>（1）成果内容完整、符合规范、满足采购人使用要求；</w:t>
      </w:r>
    </w:p>
    <w:p w14:paraId="2A85A4C9">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lang w:val="en-US" w:eastAsia="zh-CN"/>
        </w:rPr>
      </w:pPr>
      <w:r>
        <w:rPr>
          <w:rFonts w:hint="eastAsia" w:ascii="仿宋" w:hAnsi="仿宋" w:eastAsia="仿宋" w:cs="仿宋"/>
          <w:color w:val="auto"/>
          <w:sz w:val="20"/>
          <w:szCs w:val="20"/>
          <w:lang w:val="en-US" w:eastAsia="zh-CN"/>
        </w:rPr>
        <w:t>（2）通过专家评审；</w:t>
      </w:r>
    </w:p>
    <w:p w14:paraId="2782B26C">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lang w:val="en-US" w:eastAsia="zh-CN"/>
        </w:rPr>
      </w:pPr>
      <w:r>
        <w:rPr>
          <w:rFonts w:hint="eastAsia" w:ascii="仿宋" w:hAnsi="仿宋" w:eastAsia="仿宋" w:cs="仿宋"/>
          <w:color w:val="auto"/>
          <w:sz w:val="20"/>
          <w:szCs w:val="20"/>
          <w:lang w:val="en-US" w:eastAsia="zh-CN"/>
        </w:rPr>
        <w:t>（3）完成报批流程；</w:t>
      </w:r>
    </w:p>
    <w:p w14:paraId="4AB84B2D">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lang w:val="en-US" w:eastAsia="zh-CN"/>
        </w:rPr>
      </w:pPr>
      <w:r>
        <w:rPr>
          <w:rFonts w:hint="eastAsia" w:ascii="仿宋" w:hAnsi="仿宋" w:eastAsia="仿宋" w:cs="仿宋"/>
          <w:color w:val="auto"/>
          <w:sz w:val="20"/>
          <w:szCs w:val="20"/>
          <w:lang w:val="en-US" w:eastAsia="zh-CN"/>
        </w:rPr>
        <w:t>（4）全部成果提交齐全并经采购人确认。</w:t>
      </w:r>
    </w:p>
    <w:p w14:paraId="5E169435">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rPr>
      </w:pPr>
      <w:r>
        <w:rPr>
          <w:rFonts w:hint="eastAsia" w:ascii="仿宋" w:hAnsi="仿宋" w:eastAsia="仿宋" w:cs="仿宋"/>
          <w:color w:val="auto"/>
          <w:sz w:val="20"/>
          <w:szCs w:val="20"/>
          <w:lang w:val="en-US" w:eastAsia="zh-CN"/>
        </w:rPr>
        <w:t>3、验收不合格的，供应商须在 30 日内免费修改至合格。</w:t>
      </w:r>
    </w:p>
    <w:p w14:paraId="1488676C">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b/>
          <w:bCs/>
          <w:color w:val="auto"/>
          <w:sz w:val="20"/>
          <w:szCs w:val="20"/>
        </w:rPr>
      </w:pPr>
      <w:r>
        <w:rPr>
          <w:rFonts w:hint="eastAsia" w:ascii="仿宋" w:hAnsi="仿宋" w:eastAsia="仿宋" w:cs="仿宋"/>
          <w:b/>
          <w:bCs/>
          <w:color w:val="auto"/>
          <w:sz w:val="20"/>
          <w:szCs w:val="20"/>
          <w:lang w:eastAsia="zh-CN"/>
        </w:rPr>
        <w:t>（</w:t>
      </w:r>
      <w:r>
        <w:rPr>
          <w:rFonts w:hint="eastAsia" w:ascii="仿宋" w:hAnsi="仿宋" w:eastAsia="仿宋" w:cs="仿宋"/>
          <w:b/>
          <w:bCs/>
          <w:color w:val="auto"/>
          <w:sz w:val="20"/>
          <w:szCs w:val="20"/>
          <w:lang w:val="en-US" w:eastAsia="zh-CN"/>
        </w:rPr>
        <w:t>三</w:t>
      </w:r>
      <w:r>
        <w:rPr>
          <w:rFonts w:hint="eastAsia" w:ascii="仿宋" w:hAnsi="仿宋" w:eastAsia="仿宋" w:cs="仿宋"/>
          <w:b/>
          <w:bCs/>
          <w:color w:val="auto"/>
          <w:sz w:val="20"/>
          <w:szCs w:val="20"/>
          <w:lang w:eastAsia="zh-CN"/>
        </w:rPr>
        <w:t>）</w:t>
      </w:r>
      <w:r>
        <w:rPr>
          <w:rFonts w:hint="eastAsia" w:ascii="仿宋" w:hAnsi="仿宋" w:eastAsia="仿宋" w:cs="仿宋"/>
          <w:b/>
          <w:bCs/>
          <w:color w:val="auto"/>
          <w:sz w:val="20"/>
          <w:szCs w:val="20"/>
        </w:rPr>
        <w:t>售后服务</w:t>
      </w:r>
    </w:p>
    <w:p w14:paraId="02A7F85D">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rFonts w:hint="eastAsia" w:ascii="仿宋" w:hAnsi="仿宋" w:eastAsia="仿宋" w:cs="仿宋"/>
          <w:color w:val="auto"/>
          <w:sz w:val="20"/>
          <w:szCs w:val="20"/>
          <w:lang w:eastAsia="zh-CN"/>
        </w:rPr>
      </w:pPr>
      <w:r>
        <w:rPr>
          <w:rFonts w:hint="eastAsia" w:ascii="仿宋" w:hAnsi="仿宋" w:eastAsia="仿宋" w:cs="仿宋"/>
          <w:color w:val="auto"/>
          <w:sz w:val="20"/>
          <w:szCs w:val="20"/>
        </w:rPr>
        <w:t>自验收合格之日起，提供</w:t>
      </w:r>
      <w:r>
        <w:rPr>
          <w:rFonts w:hint="eastAsia" w:ascii="仿宋" w:hAnsi="仿宋" w:eastAsia="仿宋" w:cs="仿宋"/>
          <w:color w:val="auto"/>
          <w:sz w:val="20"/>
          <w:szCs w:val="20"/>
          <w:lang w:val="en-US" w:eastAsia="zh-CN"/>
        </w:rPr>
        <w:t>12个月</w:t>
      </w:r>
      <w:r>
        <w:rPr>
          <w:rFonts w:hint="eastAsia" w:ascii="仿宋" w:hAnsi="仿宋" w:eastAsia="仿宋" w:cs="仿宋"/>
          <w:color w:val="auto"/>
          <w:sz w:val="20"/>
          <w:szCs w:val="20"/>
        </w:rPr>
        <w:t>免费技术咨询服务（含电话、邮件、现场咨询）；在技术指导实施过程中，对采购人提出的修改意见或补充要求，及时响应并免费修订</w:t>
      </w:r>
      <w:r>
        <w:rPr>
          <w:rFonts w:hint="eastAsia" w:ascii="仿宋" w:hAnsi="仿宋" w:eastAsia="仿宋" w:cs="仿宋"/>
          <w:color w:val="auto"/>
          <w:sz w:val="20"/>
          <w:szCs w:val="20"/>
          <w:lang w:eastAsia="zh-CN"/>
        </w:rPr>
        <w:t>。</w:t>
      </w:r>
    </w:p>
    <w:p w14:paraId="01394C53">
      <w:pPr>
        <w:keepNext w:val="0"/>
        <w:keepLines w:val="0"/>
        <w:pageBreakBefore w:val="0"/>
        <w:widowControl w:val="0"/>
        <w:kinsoku/>
        <w:wordWrap/>
        <w:overflowPunct/>
        <w:topLinePunct w:val="0"/>
        <w:autoSpaceDE/>
        <w:autoSpaceDN/>
        <w:bidi w:val="0"/>
        <w:adjustRightInd/>
        <w:snapToGrid/>
        <w:spacing w:line="360" w:lineRule="auto"/>
        <w:ind w:firstLine="402" w:firstLineChars="200"/>
        <w:textAlignment w:val="auto"/>
        <w:rPr>
          <w:rFonts w:hint="eastAsia" w:ascii="仿宋" w:hAnsi="仿宋" w:eastAsia="仿宋" w:cs="仿宋"/>
          <w:b/>
          <w:bCs/>
          <w:color w:val="auto"/>
          <w:sz w:val="20"/>
          <w:szCs w:val="20"/>
          <w:lang w:eastAsia="zh-CN"/>
        </w:rPr>
      </w:pPr>
      <w:r>
        <w:rPr>
          <w:rFonts w:hint="eastAsia" w:ascii="仿宋" w:hAnsi="仿宋" w:eastAsia="仿宋" w:cs="仿宋"/>
          <w:b/>
          <w:bCs/>
          <w:color w:val="auto"/>
          <w:sz w:val="20"/>
          <w:szCs w:val="20"/>
          <w:lang w:eastAsia="zh-CN"/>
        </w:rPr>
        <w:t>（</w:t>
      </w:r>
      <w:r>
        <w:rPr>
          <w:rFonts w:hint="eastAsia" w:ascii="仿宋" w:hAnsi="仿宋" w:eastAsia="仿宋" w:cs="仿宋"/>
          <w:b/>
          <w:bCs/>
          <w:color w:val="auto"/>
          <w:sz w:val="20"/>
          <w:szCs w:val="20"/>
          <w:lang w:val="en-US" w:eastAsia="zh-CN"/>
        </w:rPr>
        <w:t>四</w:t>
      </w:r>
      <w:r>
        <w:rPr>
          <w:rFonts w:hint="eastAsia" w:ascii="仿宋" w:hAnsi="仿宋" w:eastAsia="仿宋" w:cs="仿宋"/>
          <w:b/>
          <w:bCs/>
          <w:color w:val="auto"/>
          <w:sz w:val="20"/>
          <w:szCs w:val="20"/>
          <w:lang w:eastAsia="zh-CN"/>
        </w:rPr>
        <w:t>）知识产权</w:t>
      </w:r>
    </w:p>
    <w:p w14:paraId="6068A433">
      <w:pPr>
        <w:keepNext w:val="0"/>
        <w:keepLines w:val="0"/>
        <w:pageBreakBefore w:val="0"/>
        <w:widowControl w:val="0"/>
        <w:kinsoku/>
        <w:wordWrap/>
        <w:overflowPunct/>
        <w:topLinePunct w:val="0"/>
        <w:autoSpaceDE/>
        <w:autoSpaceDN/>
        <w:bidi w:val="0"/>
        <w:adjustRightInd/>
        <w:snapToGrid/>
        <w:spacing w:line="360" w:lineRule="auto"/>
        <w:ind w:firstLine="400" w:firstLineChars="200"/>
        <w:textAlignment w:val="auto"/>
        <w:rPr>
          <w:color w:val="auto"/>
        </w:rPr>
      </w:pPr>
      <w:r>
        <w:rPr>
          <w:rFonts w:hint="eastAsia" w:ascii="仿宋" w:hAnsi="仿宋" w:eastAsia="仿宋" w:cs="仿宋"/>
          <w:color w:val="auto"/>
          <w:sz w:val="20"/>
          <w:szCs w:val="20"/>
          <w:lang w:eastAsia="zh-CN"/>
        </w:rPr>
        <w:t>本项目交付成果的知识产权归采购人所有，供应商不得擅自使用、转让、泄露、出版、传播或用于其他项目。</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decorative"/>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3FA27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2026-05-19T05:53:25Z</dcterms:created>
  <dc:creator>Lenovo</dc:creator>
  <cp:lastModifiedBy>CG</cp:lastModifiedBy>
  <dcterms:modified xsi:type="dcterms:W3CDTF">2026-05-19T05:54:11Z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eyJoZGlkIjoiMjdkYmRiMTFmNTM1YTk4MmY0MWU2M2I2YmY4Y2I0MDUiLCJ1c2VySWQiOiI0MzY2NjA3NTUifQ==</vt:lpwstr>
  </property>
  <property fmtid="{D5CDD505-2E9C-101B-9397-08002B2CF9AE}" pid="4" name="ICV">
    <vt:lpwstr>DC7D94537C894B179675F62D208FC571_12</vt:lpwstr>
  </property>
</Properties>
</file>