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版本号：OTXA-262002112720260520002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医院综合管理平台商用密码应用改造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OTXA-2620021127</w:t>
      </w:r>
      <w:r>
        <w:br/>
      </w:r>
      <w:r>
        <w:br/>
      </w:r>
      <w:r>
        <w:br/>
      </w:r>
    </w:p>
    <w:p>
      <w:pPr>
        <w:pStyle w:val="null3"/>
        <w:jc w:val="center"/>
        <w:outlineLvl w:val="2"/>
      </w:pPr>
      <w:r>
        <w:rPr>
          <w:rFonts w:ascii="仿宋_GB2312" w:hAnsi="仿宋_GB2312" w:cs="仿宋_GB2312" w:eastAsia="仿宋_GB2312"/>
          <w:sz w:val="28"/>
          <w:b/>
        </w:rPr>
        <w:t>西安医学院附属宝鸡医院</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西安医学院附属宝鸡医院</w:t>
      </w:r>
      <w:r>
        <w:rPr>
          <w:rFonts w:ascii="仿宋_GB2312" w:hAnsi="仿宋_GB2312" w:cs="仿宋_GB2312" w:eastAsia="仿宋_GB2312"/>
        </w:rPr>
        <w:t>委托，拟对</w:t>
      </w:r>
      <w:r>
        <w:rPr>
          <w:rFonts w:ascii="仿宋_GB2312" w:hAnsi="仿宋_GB2312" w:cs="仿宋_GB2312" w:eastAsia="仿宋_GB2312"/>
        </w:rPr>
        <w:t>医院综合管理平台商用密码应用改造</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OTXA-2620021127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医院综合管理平台商用密码应用改造</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医院综合管理平台商用密码应用改造。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2、法人代表授权书：法人代表授权书（原件）；</w:t>
      </w:r>
    </w:p>
    <w:p>
      <w:pPr>
        <w:pStyle w:val="null3"/>
      </w:pPr>
      <w:r>
        <w:rPr>
          <w:rFonts w:ascii="仿宋_GB2312" w:hAnsi="仿宋_GB2312" w:cs="仿宋_GB2312" w:eastAsia="仿宋_GB2312"/>
        </w:rPr>
        <w:t>3、财务状况报告：提供2024年经审计的财务报告（审计报告应当经过注册会计师行业统一监管平台备案赋码）；/或财政部门认可的政府采购专业担保机构出具的投标担保函（以上二种形式的资料提供任何一种即可）；</w:t>
      </w:r>
    </w:p>
    <w:p>
      <w:pPr>
        <w:pStyle w:val="null3"/>
      </w:pPr>
      <w:r>
        <w:rPr>
          <w:rFonts w:ascii="仿宋_GB2312" w:hAnsi="仿宋_GB2312" w:cs="仿宋_GB2312" w:eastAsia="仿宋_GB2312"/>
        </w:rPr>
        <w:t>4、税收缴纳证明：依法缴纳税收的良好记录（提供截止至开标时间12个月内任一月份的缴费凭据或完税证明，依法免税的单位应提供相关证明材料）；</w:t>
      </w:r>
    </w:p>
    <w:p>
      <w:pPr>
        <w:pStyle w:val="null3"/>
      </w:pPr>
      <w:r>
        <w:rPr>
          <w:rFonts w:ascii="仿宋_GB2312" w:hAnsi="仿宋_GB2312" w:cs="仿宋_GB2312" w:eastAsia="仿宋_GB2312"/>
        </w:rPr>
        <w:t>5、社会保障资金缴纳证明：依法缴纳社会保障资金的良好记录（提供截止至开标时间12个月内任一月份的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6、参加政府采购活动前3年内在经营活动中没有重大违法记录的书面声明：参加政府采购活动前3年内在经营活动中没有重大违法记录的书面声明（原件）；</w:t>
      </w:r>
    </w:p>
    <w:p>
      <w:pPr>
        <w:pStyle w:val="null3"/>
      </w:pPr>
      <w:r>
        <w:rPr>
          <w:rFonts w:ascii="仿宋_GB2312" w:hAnsi="仿宋_GB2312" w:cs="仿宋_GB2312" w:eastAsia="仿宋_GB2312"/>
        </w:rPr>
        <w:t>7、信用查询：查询渠道：“信用中国”网站（www.creditchina.gov.vn）、中国政府采购网（www.ccgp.gov.vn）；以现场查询为准。 截止时点：招标截止时间； 信用信息查询记录和证据留存的具体方式：网上查询结果打印。 信用信息的使用规则：凡在截止时点内，列入失信被执行人、重大税收违法案件当事人名单、政府采购严重违法失信行为记录名单的供应商，其招标响应视为无效；联合体招标时，联合体成员存在不良信用记录的，视同联合体存在不良信用记录，其招标响应视为无效。</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西安医学院附属宝鸡医院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陕西省宝鸡市渭滨区清姜路4号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0917-3212081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孙翊轩、李小艺、张强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029-89585662转805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开户名称：东方（西安）国际招标有限公司</w:t>
            </w:r>
          </w:p>
          <w:p>
            <w:pPr>
              <w:pStyle w:val="null3"/>
            </w:pPr>
            <w:r>
              <w:rPr>
                <w:rFonts w:ascii="仿宋_GB2312" w:hAnsi="仿宋_GB2312" w:cs="仿宋_GB2312" w:eastAsia="仿宋_GB2312"/>
              </w:rPr>
              <w:t>开户银行：招商银行股份有限公司西安神舟四路支行</w:t>
            </w:r>
          </w:p>
          <w:p>
            <w:pPr>
              <w:pStyle w:val="null3"/>
            </w:pPr>
            <w:r>
              <w:rPr>
                <w:rFonts w:ascii="仿宋_GB2312" w:hAnsi="仿宋_GB2312" w:cs="仿宋_GB2312" w:eastAsia="仿宋_GB2312"/>
              </w:rPr>
              <w:t>银行账号：129910095710606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代理服务费收费标准：代理服务费的金额参照国家发展计划委员会计价格[2002]1980号文件的规定标准下浮41%计算。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西安医学院附属宝鸡医院</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西安医学院附属宝鸡医院</w:t>
      </w:r>
      <w:r>
        <w:rPr>
          <w:rFonts w:ascii="仿宋_GB2312" w:hAnsi="仿宋_GB2312" w:cs="仿宋_GB2312" w:eastAsia="仿宋_GB2312"/>
        </w:rPr>
        <w:t>负责解释。除上述招标文件内容，其他内容由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西安医学院附属宝鸡医院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联系人：孙翊轩</w:t>
      </w:r>
    </w:p>
    <w:p>
      <w:pPr>
        <w:pStyle w:val="null3"/>
      </w:pPr>
      <w:r>
        <w:rPr>
          <w:rFonts w:ascii="仿宋_GB2312" w:hAnsi="仿宋_GB2312" w:cs="仿宋_GB2312" w:eastAsia="仿宋_GB2312"/>
        </w:rPr>
        <w:t>联系电话：029-89585662转805</w:t>
      </w:r>
    </w:p>
    <w:p>
      <w:pPr>
        <w:pStyle w:val="null3"/>
      </w:pPr>
      <w:r>
        <w:rPr>
          <w:rFonts w:ascii="仿宋_GB2312" w:hAnsi="仿宋_GB2312" w:cs="仿宋_GB2312" w:eastAsia="仿宋_GB2312"/>
        </w:rPr>
        <w:t>地址：西安市太白南路181号西部电子社区A座A区208-1室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医院综合管理平台商用密码应用改造。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门禁系统视频监控改造等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标的名称：门禁系统视频监控改造等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single"/>
                <w:left w:val="single"/>
                <w:bottom w:val="single"/>
                <w:right w:val="single"/>
                <w:insideH w:val="single"/>
                <w:insideV w:val="single"/>
              </w:tblBorders>
            </w:tblPr>
            <w:tblGrid>
              <w:gridCol w:w="162"/>
              <w:gridCol w:w="309"/>
              <w:gridCol w:w="1291"/>
              <w:gridCol w:w="230"/>
              <w:gridCol w:w="279"/>
              <w:gridCol w:w="279"/>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b/>
                      <w:color w:val="000000"/>
                    </w:rPr>
                    <w:t>序号</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b/>
                      <w:color w:val="000000"/>
                    </w:rPr>
                    <w:t>产品名称</w:t>
                  </w:r>
                </w:p>
              </w:tc>
              <w:tc>
                <w:tcPr>
                  <w:tcW w:type="dxa" w:w="12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b/>
                      <w:color w:val="000000"/>
                    </w:rPr>
                    <w:t>产品技术要求</w:t>
                  </w:r>
                </w:p>
              </w:tc>
              <w:tc>
                <w:tcPr>
                  <w:tcW w:type="dxa" w:w="2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b/>
                      <w:color w:val="000000"/>
                    </w:rPr>
                    <w:t>数量</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b/>
                      <w:color w:val="000000"/>
                    </w:rPr>
                    <w:t>单位</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b/>
                      <w:color w:val="000000"/>
                    </w:rPr>
                    <w:t>备注</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国密门禁系统</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▲1.国密门禁系统1套: 内置国产安全芯片，防水等级≥IP54，国产安全算法，具有抓拍预警功能。支持人脸识别加刷卡双认证开门方式；人脸比对速度 白天≤300ms 夜间≤500ms；人脸特征值存储容量≥5000条；CPU卡存储容量≥5000条；</w:t>
                  </w:r>
                </w:p>
                <w:p>
                  <w:pPr>
                    <w:pStyle w:val="null3"/>
                  </w:pPr>
                  <w:r>
                    <w:rPr>
                      <w:rFonts w:ascii="仿宋_GB2312" w:hAnsi="仿宋_GB2312" w:cs="仿宋_GB2312" w:eastAsia="仿宋_GB2312"/>
                      <w:sz w:val="21"/>
                      <w:color w:val="000000"/>
                    </w:rPr>
                    <w:t>★国密门禁系统具备商用密码检测中心颁发的商用密码产品认证证书(需提供证明材料并加盖公章)。</w:t>
                  </w:r>
                </w:p>
                <w:p>
                  <w:pPr>
                    <w:pStyle w:val="null3"/>
                  </w:pPr>
                  <w:r>
                    <w:rPr>
                      <w:rFonts w:ascii="仿宋_GB2312" w:hAnsi="仿宋_GB2312" w:cs="仿宋_GB2312" w:eastAsia="仿宋_GB2312"/>
                      <w:sz w:val="21"/>
                      <w:color w:val="000000"/>
                    </w:rPr>
                    <w:t xml:space="preserve">★2.门禁系统采用的安全芯片具备商用密码检测中心颁发的商用密码产品认证证书 (需提供证明材料并加盖公章)。 </w:t>
                  </w:r>
                </w:p>
                <w:p>
                  <w:pPr>
                    <w:pStyle w:val="null3"/>
                  </w:pPr>
                  <w:r>
                    <w:rPr>
                      <w:rFonts w:ascii="仿宋_GB2312" w:hAnsi="仿宋_GB2312" w:cs="仿宋_GB2312" w:eastAsia="仿宋_GB2312"/>
                      <w:sz w:val="21"/>
                      <w:color w:val="000000"/>
                    </w:rPr>
                    <w:t>★3.门禁系统采用的门禁卡≥20张(智能IC卡)，具备商用密码检测中心颁发的商用密码产品认证证书(需提供证明材料并加盖公章)。</w:t>
                  </w:r>
                </w:p>
                <w:p>
                  <w:pPr>
                    <w:pStyle w:val="null3"/>
                  </w:pPr>
                  <w:r>
                    <w:rPr>
                      <w:rFonts w:ascii="仿宋_GB2312" w:hAnsi="仿宋_GB2312" w:cs="仿宋_GB2312" w:eastAsia="仿宋_GB2312"/>
                      <w:sz w:val="21"/>
                      <w:color w:val="000000"/>
                    </w:rPr>
                    <w:t>4.门禁控制器1台:内置国家密码局认证的安全芯片，采用国密算法与门禁机前端进行加密通讯；</w:t>
                  </w:r>
                </w:p>
                <w:p>
                  <w:pPr>
                    <w:pStyle w:val="null3"/>
                  </w:pPr>
                  <w:r>
                    <w:rPr>
                      <w:rFonts w:ascii="仿宋_GB2312" w:hAnsi="仿宋_GB2312" w:cs="仿宋_GB2312" w:eastAsia="仿宋_GB2312"/>
                      <w:sz w:val="21"/>
                      <w:color w:val="000000"/>
                    </w:rPr>
                    <w:t>5.后台登录读卡器1台:通过管理员密码及国密卡硬件介质双重认证对后台登录人员进行身份认证;含≥5张用户登录国密卡。</w:t>
                  </w:r>
                </w:p>
                <w:p>
                  <w:pPr>
                    <w:pStyle w:val="null3"/>
                  </w:pPr>
                  <w:r>
                    <w:rPr>
                      <w:rFonts w:ascii="仿宋_GB2312" w:hAnsi="仿宋_GB2312" w:cs="仿宋_GB2312" w:eastAsia="仿宋_GB2312"/>
                      <w:sz w:val="21"/>
                      <w:color w:val="000000"/>
                    </w:rPr>
                    <w:t>6.门禁配件：开门按钮，磁力锁、磁力锁支架等1套；</w:t>
                  </w:r>
                </w:p>
                <w:p>
                  <w:pPr>
                    <w:pStyle w:val="null3"/>
                  </w:pPr>
                  <w:r>
                    <w:rPr>
                      <w:rFonts w:ascii="仿宋_GB2312" w:hAnsi="仿宋_GB2312" w:cs="仿宋_GB2312" w:eastAsia="仿宋_GB2312"/>
                      <w:sz w:val="21"/>
                      <w:color w:val="000000"/>
                    </w:rPr>
                    <w:t>7.门禁管理系统配套硬件1套:CPU:≥四核，≥2.0GHz，硬盘:≥256GSSD+1T机械硬盘;内存:≥8G；国产操作系统；安装门禁管理后台软件，实现门禁设备管理;后台系统与门禁前端通讯采用加密技术。</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套</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2</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国密视频监控</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1.国密视频监控1套，需符合GB35114-2017公共安全视频监控安全技术要求，符合国密标准，满足密码测评要求，支持≥16路前端接入，支持SVAC2.0、H.264、H.265等编码，接入≥64Mbps，储存≥64Mbps，转发≥32Mbps，≥8路录像回放（单路4Mbps 1080P）WEB单客户端支持≥4路1080P 4M码流解码。WEB客户端支持验签及解密播放。显示输出接口：≥1个VGA，≥2个HDMI，≥2个千兆网口；含监控硬盘，存储监控数据≥180天；</w:t>
                  </w:r>
                </w:p>
                <w:p>
                  <w:pPr>
                    <w:pStyle w:val="null3"/>
                  </w:pPr>
                  <w:r>
                    <w:rPr>
                      <w:rFonts w:ascii="仿宋_GB2312" w:hAnsi="仿宋_GB2312" w:cs="仿宋_GB2312" w:eastAsia="仿宋_GB2312"/>
                      <w:sz w:val="21"/>
                    </w:rPr>
                    <w:t>▲2.国密网络摄像机3台：图像传感器:≥1/2.7”CMOS;镜头焦距:f=2.8-12mm;≥400万像素;支持支持人脸检测抓拍、通用行为分析算法切换，走廊模式;红外夜视距离≥10米;视频编码标准:支持SVAC2.0/H.265。≥256GB存储卡本地存储扩展，报警≥1入1出；内置通过商用密码检测认证中心检测认证的安全芯片，支持SM1/SM2/SM3/SM4等国家商用密码算法。</w:t>
                  </w:r>
                </w:p>
                <w:p>
                  <w:pPr>
                    <w:pStyle w:val="null3"/>
                  </w:pPr>
                  <w:r>
                    <w:rPr>
                      <w:rFonts w:ascii="仿宋_GB2312" w:hAnsi="仿宋_GB2312" w:cs="仿宋_GB2312" w:eastAsia="仿宋_GB2312"/>
                      <w:sz w:val="21"/>
                    </w:rPr>
                    <w:t>★3.提供商用密码检测认证中心颁发的《商用密码产品认证证书》(需提供证明材料并加盖公章)。</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套</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3</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认证加密传输综合安全网关</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产品规格：标准机架式设备，国产操作系统、国产CPU,千兆电口≥6个，千兆光口≥4个，冗余电源；</w:t>
                  </w:r>
                </w:p>
                <w:p>
                  <w:pPr>
                    <w:pStyle w:val="null3"/>
                    <w:jc w:val="both"/>
                  </w:pPr>
                  <w:r>
                    <w:rPr>
                      <w:rFonts w:ascii="仿宋_GB2312" w:hAnsi="仿宋_GB2312" w:cs="仿宋_GB2312" w:eastAsia="仿宋_GB2312"/>
                      <w:sz w:val="22"/>
                    </w:rPr>
                    <w:t>▲2.性能要求：SSL加密带宽≥900Mbps、最大用并发用户数 ≥3000 个、最大用户数≥10000 个；IPSec加密带宽≥900 Mbps；并发隧道数≥1000（提供产品白皮书或彩页或截图等证明材料并加盖公章）；</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提供国密标准IPSec加密，SSL加密，以及数字证书认证与管理等认证网关功能。</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支持国密SM1/SM2/SM3/SM4算法。</w:t>
                  </w:r>
                </w:p>
                <w:p>
                  <w:pPr>
                    <w:pStyle w:val="null3"/>
                    <w:jc w:val="both"/>
                  </w:pPr>
                  <w:r>
                    <w:rPr>
                      <w:rFonts w:ascii="仿宋_GB2312" w:hAnsi="仿宋_GB2312" w:cs="仿宋_GB2312" w:eastAsia="仿宋_GB2312"/>
                      <w:sz w:val="22"/>
                    </w:rPr>
                    <w:t>支持反向代理、SSL VPN隧道、IPSec VPN隧道工作模式。</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支持“多对一”地址转换，使得内部网络主机访问外部网络时，其源IP地址被转换；支持“一对多”地址转换，将内网服务器的IP地址/端口映射外网接口的IP地址/端口，使外部网络的主机通过访问映射地址和端口实现对内部服务器的访问。</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支持SNAT模式，代理内网原地址转换模式，或普通路由模式。</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支持基于用户名、群组、角色；基于用户数字证书信息；基于目标应用系统；基于CRL证书吊销列表的访问控制。</w:t>
                  </w:r>
                </w:p>
                <w:p>
                  <w:pPr>
                    <w:pStyle w:val="null3"/>
                    <w:jc w:val="both"/>
                  </w:pPr>
                  <w:r>
                    <w:rPr>
                      <w:rFonts w:ascii="仿宋_GB2312" w:hAnsi="仿宋_GB2312" w:cs="仿宋_GB2312" w:eastAsia="仿宋_GB2312"/>
                      <w:sz w:val="22"/>
                    </w:rPr>
                    <w:t>8.</w:t>
                  </w:r>
                  <w:r>
                    <w:rPr>
                      <w:rFonts w:ascii="仿宋_GB2312" w:hAnsi="仿宋_GB2312" w:cs="仿宋_GB2312" w:eastAsia="仿宋_GB2312"/>
                      <w:sz w:val="22"/>
                    </w:rPr>
                    <w:t>支持标准SSL安全协议、IPSec安全协议，支持国密算法及国际算法，数据传输过程中实现数据加密传输。</w:t>
                  </w:r>
                </w:p>
                <w:p>
                  <w:pPr>
                    <w:pStyle w:val="null3"/>
                    <w:jc w:val="both"/>
                  </w:pPr>
                  <w:r>
                    <w:rPr>
                      <w:rFonts w:ascii="仿宋_GB2312" w:hAnsi="仿宋_GB2312" w:cs="仿宋_GB2312" w:eastAsia="仿宋_GB2312"/>
                      <w:sz w:val="22"/>
                    </w:rPr>
                    <w:t>▲支持国密算法套件。支持SSL3.0、TLS V1.0/V1.1/V1.2/V1.3，同时支持国密标准SSL协议GMTLS V1.1。</w:t>
                  </w:r>
                </w:p>
                <w:p>
                  <w:pPr>
                    <w:pStyle w:val="null3"/>
                    <w:jc w:val="both"/>
                  </w:pPr>
                  <w:r>
                    <w:rPr>
                      <w:rFonts w:ascii="仿宋_GB2312" w:hAnsi="仿宋_GB2312" w:cs="仿宋_GB2312" w:eastAsia="仿宋_GB2312"/>
                      <w:sz w:val="22"/>
                    </w:rPr>
                    <w:t>9.</w:t>
                  </w:r>
                  <w:r>
                    <w:rPr>
                      <w:rFonts w:ascii="仿宋_GB2312" w:hAnsi="仿宋_GB2312" w:cs="仿宋_GB2312" w:eastAsia="仿宋_GB2312"/>
                      <w:sz w:val="22"/>
                    </w:rPr>
                    <w:t>支持智能终端、应用APP、PC、手机等设备接入，支持用户终端安全检查。（提供产品截图证明材料并加盖公章）。</w:t>
                  </w:r>
                </w:p>
                <w:p>
                  <w:pPr>
                    <w:pStyle w:val="null3"/>
                    <w:jc w:val="both"/>
                  </w:pPr>
                  <w:r>
                    <w:rPr>
                      <w:rFonts w:ascii="仿宋_GB2312" w:hAnsi="仿宋_GB2312" w:cs="仿宋_GB2312" w:eastAsia="仿宋_GB2312"/>
                      <w:sz w:val="22"/>
                    </w:rPr>
                    <w:t>10.</w:t>
                  </w:r>
                  <w:r>
                    <w:rPr>
                      <w:rFonts w:ascii="仿宋_GB2312" w:hAnsi="仿宋_GB2312" w:cs="仿宋_GB2312" w:eastAsia="仿宋_GB2312"/>
                      <w:sz w:val="22"/>
                    </w:rPr>
                    <w:t>支持用户、用户组管理，提供细粒度控制，到同应用的权限划分。通过给不同用户设置不同角色来分配访问授权，一个用户可以赋予多个角色以适合各种复杂的组织结构。（提供产品截图证明材料并加盖公章）。</w:t>
                  </w:r>
                </w:p>
                <w:p>
                  <w:pPr>
                    <w:pStyle w:val="null3"/>
                    <w:jc w:val="both"/>
                  </w:pPr>
                  <w:r>
                    <w:rPr>
                      <w:rFonts w:ascii="仿宋_GB2312" w:hAnsi="仿宋_GB2312" w:cs="仿宋_GB2312" w:eastAsia="仿宋_GB2312"/>
                      <w:sz w:val="22"/>
                    </w:rPr>
                    <w:t>11.</w:t>
                  </w:r>
                  <w:r>
                    <w:rPr>
                      <w:rFonts w:ascii="仿宋_GB2312" w:hAnsi="仿宋_GB2312" w:cs="仿宋_GB2312" w:eastAsia="仿宋_GB2312"/>
                      <w:sz w:val="22"/>
                    </w:rPr>
                    <w:t>支持用户名分别与终端硬件特征码绑定。（提供产品截图证明材料并加盖公章）。</w:t>
                  </w:r>
                </w:p>
                <w:p>
                  <w:pPr>
                    <w:pStyle w:val="null3"/>
                    <w:jc w:val="both"/>
                  </w:pPr>
                  <w:r>
                    <w:rPr>
                      <w:rFonts w:ascii="仿宋_GB2312" w:hAnsi="仿宋_GB2312" w:cs="仿宋_GB2312" w:eastAsia="仿宋_GB2312"/>
                      <w:sz w:val="22"/>
                    </w:rPr>
                    <w:t>12.</w:t>
                  </w:r>
                  <w:r>
                    <w:rPr>
                      <w:rFonts w:ascii="仿宋_GB2312" w:hAnsi="仿宋_GB2312" w:cs="仿宋_GB2312" w:eastAsia="仿宋_GB2312"/>
                      <w:sz w:val="22"/>
                    </w:rPr>
                    <w:t>支持基于用户/用户组的连接数控制。（提供产品截图证明材料并加盖公章）。</w:t>
                  </w:r>
                </w:p>
                <w:p>
                  <w:pPr>
                    <w:pStyle w:val="null3"/>
                    <w:jc w:val="both"/>
                  </w:pPr>
                  <w:r>
                    <w:rPr>
                      <w:rFonts w:ascii="仿宋_GB2312" w:hAnsi="仿宋_GB2312" w:cs="仿宋_GB2312" w:eastAsia="仿宋_GB2312"/>
                      <w:sz w:val="22"/>
                    </w:rPr>
                    <w:t>▲13.支持联动CA系统，通过离线CRL导入，在线CRL、SCEP协议等方式实时验证用户状态。（提供产品截图证明材料并加盖公章）。</w:t>
                  </w:r>
                </w:p>
                <w:p>
                  <w:pPr>
                    <w:pStyle w:val="null3"/>
                    <w:jc w:val="both"/>
                  </w:pPr>
                  <w:r>
                    <w:rPr>
                      <w:rFonts w:ascii="仿宋_GB2312" w:hAnsi="仿宋_GB2312" w:cs="仿宋_GB2312" w:eastAsia="仿宋_GB2312"/>
                      <w:sz w:val="22"/>
                    </w:rPr>
                    <w:t>14.</w:t>
                  </w:r>
                  <w:r>
                    <w:rPr>
                      <w:rFonts w:ascii="仿宋_GB2312" w:hAnsi="仿宋_GB2312" w:cs="仿宋_GB2312" w:eastAsia="仿宋_GB2312"/>
                      <w:sz w:val="22"/>
                    </w:rPr>
                    <w:t>支持客户端零痕迹访问、缓存清空、Cookie清空、访问记录清空、硬件特征码绑定，支持客户端互联隔离功能，接入后无法访问隧道外资源。（提供产品截图证明材料并加盖公章）。</w:t>
                  </w:r>
                </w:p>
                <w:p>
                  <w:pPr>
                    <w:pStyle w:val="null3"/>
                    <w:jc w:val="both"/>
                  </w:pPr>
                  <w:r>
                    <w:rPr>
                      <w:rFonts w:ascii="仿宋_GB2312" w:hAnsi="仿宋_GB2312" w:cs="仿宋_GB2312" w:eastAsia="仿宋_GB2312"/>
                      <w:sz w:val="22"/>
                    </w:rPr>
                    <w:t>15.</w:t>
                  </w:r>
                  <w:r>
                    <w:rPr>
                      <w:rFonts w:ascii="仿宋_GB2312" w:hAnsi="仿宋_GB2312" w:cs="仿宋_GB2312" w:eastAsia="仿宋_GB2312"/>
                      <w:sz w:val="22"/>
                    </w:rPr>
                    <w:t>客户端APP支持windows、linux、Android、IOS、国产等多种操作系统。（提供产品截图证明材料并加盖公章）。</w:t>
                  </w:r>
                </w:p>
                <w:p>
                  <w:pPr>
                    <w:pStyle w:val="null3"/>
                    <w:jc w:val="both"/>
                  </w:pPr>
                  <w:r>
                    <w:rPr>
                      <w:rFonts w:ascii="仿宋_GB2312" w:hAnsi="仿宋_GB2312" w:cs="仿宋_GB2312" w:eastAsia="仿宋_GB2312"/>
                      <w:sz w:val="22"/>
                    </w:rPr>
                    <w:t>★16.具备商用密码检测认证中心颁发的《商用密码产品认证证书》第二级及以上，产品符合GM/T0023《IPsec VPN网关产品规范》、GM/T0025《SSL VPN网关产品规范》和GM/T0028《密码模块安全技术要求》第二级要求。</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台</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b/>
                      <w:color w:val="FF0000"/>
                    </w:rPr>
                    <w:t>核心产品</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4</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国密浏览器</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color w:val="000000"/>
                    </w:rPr>
                    <w:t>具备商用密码检测认证中心颁发的</w:t>
                  </w:r>
                  <w:r>
                    <w:rPr>
                      <w:rFonts w:ascii="仿宋_GB2312" w:hAnsi="仿宋_GB2312" w:cs="仿宋_GB2312" w:eastAsia="仿宋_GB2312"/>
                      <w:sz w:val="22"/>
                    </w:rPr>
                    <w:t>《商用密码产品认证证书》第二级及以上</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支持SM2、SM3、SM4等算法，保证Web网页访问的安全性。</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支持兼容主流国产操作系统和主流国产CPU环境。</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20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套</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5</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管理运维人员Ukey智能密码钥匙及数字证书</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★1.具备商用密码检测认证中心颁发的《商用密码产品认证证书》第二级及以上；</w:t>
                  </w:r>
                </w:p>
                <w:p>
                  <w:pPr>
                    <w:pStyle w:val="null3"/>
                  </w:pPr>
                  <w:r>
                    <w:rPr>
                      <w:rFonts w:ascii="仿宋_GB2312" w:hAnsi="仿宋_GB2312" w:cs="仿宋_GB2312" w:eastAsia="仿宋_GB2312"/>
                      <w:sz w:val="21"/>
                      <w:color w:val="000000"/>
                    </w:rPr>
                    <w:t>2.符合USB2.0规范，兼容USB1.1，兼容3.0规范接口；</w:t>
                  </w:r>
                </w:p>
                <w:p>
                  <w:pPr>
                    <w:pStyle w:val="null3"/>
                  </w:pPr>
                  <w:r>
                    <w:rPr>
                      <w:rFonts w:ascii="仿宋_GB2312" w:hAnsi="仿宋_GB2312" w:cs="仿宋_GB2312" w:eastAsia="仿宋_GB2312"/>
                      <w:sz w:val="21"/>
                      <w:color w:val="000000"/>
                    </w:rPr>
                    <w:t>3.支持国密算法SM2、SM3、SM4，支持CSP/PKCS#11/SKF开发接口；</w:t>
                  </w:r>
                </w:p>
                <w:p>
                  <w:pPr>
                    <w:pStyle w:val="null3"/>
                  </w:pPr>
                  <w:r>
                    <w:rPr>
                      <w:rFonts w:ascii="仿宋_GB2312" w:hAnsi="仿宋_GB2312" w:cs="仿宋_GB2312" w:eastAsia="仿宋_GB2312"/>
                      <w:sz w:val="21"/>
                      <w:color w:val="000000"/>
                    </w:rPr>
                    <w:t>4.支持存储数字证书，支持X.509 v3标准证书格式。</w:t>
                  </w:r>
                </w:p>
                <w:p>
                  <w:pPr>
                    <w:pStyle w:val="null3"/>
                  </w:pPr>
                  <w:r>
                    <w:rPr>
                      <w:rFonts w:ascii="仿宋_GB2312" w:hAnsi="仿宋_GB2312" w:cs="仿宋_GB2312" w:eastAsia="仿宋_GB2312"/>
                      <w:sz w:val="21"/>
                      <w:color w:val="000000"/>
                    </w:rPr>
                    <w:t>5.包含国家认可的第三方个人数字证书，1年授权。</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20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套</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6</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统一密码服务平台</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1.产品规格：标准机架式设备，国产操作系统、国产CPU,千兆电口≥4个，冗余电源；</w:t>
                  </w:r>
                </w:p>
                <w:p>
                  <w:pPr>
                    <w:pStyle w:val="null3"/>
                    <w:jc w:val="both"/>
                  </w:pPr>
                  <w:r>
                    <w:rPr>
                      <w:rFonts w:ascii="仿宋_GB2312" w:hAnsi="仿宋_GB2312" w:cs="仿宋_GB2312" w:eastAsia="仿宋_GB2312"/>
                      <w:sz w:val="21"/>
                      <w:color w:val="000000"/>
                    </w:rPr>
                    <w:t>▲2.应用系统接入数≥50个，设备接入数≥40个，支持用户数≥1000，密钥生成速度≥15000次/秒。</w:t>
                  </w:r>
                </w:p>
                <w:p>
                  <w:pPr>
                    <w:pStyle w:val="null3"/>
                    <w:jc w:val="both"/>
                  </w:pPr>
                  <w:r>
                    <w:rPr>
                      <w:rFonts w:ascii="仿宋_GB2312" w:hAnsi="仿宋_GB2312" w:cs="仿宋_GB2312" w:eastAsia="仿宋_GB2312"/>
                      <w:sz w:val="21"/>
                      <w:color w:val="000000"/>
                    </w:rPr>
                    <w:t>3.产品支持国密和国际通用算法：</w:t>
                  </w:r>
                </w:p>
                <w:p>
                  <w:pPr>
                    <w:pStyle w:val="null3"/>
                    <w:jc w:val="both"/>
                  </w:pPr>
                  <w:r>
                    <w:rPr>
                      <w:rFonts w:ascii="仿宋_GB2312" w:hAnsi="仿宋_GB2312" w:cs="仿宋_GB2312" w:eastAsia="仿宋_GB2312"/>
                      <w:sz w:val="21"/>
                      <w:color w:val="000000"/>
                    </w:rPr>
                    <w:t>（1）对称算法：SM4</w:t>
                  </w:r>
                </w:p>
                <w:p>
                  <w:pPr>
                    <w:pStyle w:val="null3"/>
                    <w:jc w:val="both"/>
                  </w:pPr>
                  <w:r>
                    <w:rPr>
                      <w:rFonts w:ascii="仿宋_GB2312" w:hAnsi="仿宋_GB2312" w:cs="仿宋_GB2312" w:eastAsia="仿宋_GB2312"/>
                      <w:sz w:val="21"/>
                      <w:color w:val="000000"/>
                    </w:rPr>
                    <w:t>（2）非对称算法：SM2</w:t>
                  </w:r>
                </w:p>
                <w:p>
                  <w:pPr>
                    <w:pStyle w:val="null3"/>
                    <w:jc w:val="both"/>
                  </w:pPr>
                  <w:r>
                    <w:rPr>
                      <w:rFonts w:ascii="仿宋_GB2312" w:hAnsi="仿宋_GB2312" w:cs="仿宋_GB2312" w:eastAsia="仿宋_GB2312"/>
                      <w:sz w:val="21"/>
                      <w:color w:val="000000"/>
                    </w:rPr>
                    <w:t>（3）摘要算法：SM3</w:t>
                  </w:r>
                </w:p>
                <w:p>
                  <w:pPr>
                    <w:pStyle w:val="null3"/>
                    <w:jc w:val="both"/>
                  </w:pPr>
                  <w:r>
                    <w:rPr>
                      <w:rFonts w:ascii="仿宋_GB2312" w:hAnsi="仿宋_GB2312" w:cs="仿宋_GB2312" w:eastAsia="仿宋_GB2312"/>
                      <w:sz w:val="21"/>
                      <w:color w:val="000000"/>
                    </w:rPr>
                    <w:t>4.支持对密钥全生命周期管理，包括密钥生成、存储、分发、导入与导出、密钥使用、密钥更新、密钥备份与恢复、密钥归档、密钥吊销、密钥销毁等管理服务；</w:t>
                  </w:r>
                </w:p>
                <w:p>
                  <w:pPr>
                    <w:pStyle w:val="null3"/>
                    <w:jc w:val="both"/>
                  </w:pPr>
                  <w:r>
                    <w:rPr>
                      <w:rFonts w:ascii="仿宋_GB2312" w:hAnsi="仿宋_GB2312" w:cs="仿宋_GB2312" w:eastAsia="仿宋_GB2312"/>
                      <w:sz w:val="21"/>
                      <w:color w:val="000000"/>
                    </w:rPr>
                    <w:t>5.支持对密钥模板、密钥生成、密钥分发等能力进行策略管理；</w:t>
                  </w:r>
                </w:p>
                <w:p>
                  <w:pPr>
                    <w:pStyle w:val="null3"/>
                    <w:jc w:val="both"/>
                  </w:pPr>
                  <w:r>
                    <w:rPr>
                      <w:rFonts w:ascii="仿宋_GB2312" w:hAnsi="仿宋_GB2312" w:cs="仿宋_GB2312" w:eastAsia="仿宋_GB2312"/>
                      <w:sz w:val="21"/>
                      <w:color w:val="000000"/>
                    </w:rPr>
                    <w:t>▲6.兼容对接及适配多厂商密码设备，支持但不限于服务器密码机、签名验签服务器、加密安全网关等；</w:t>
                  </w:r>
                </w:p>
                <w:p>
                  <w:pPr>
                    <w:pStyle w:val="null3"/>
                    <w:jc w:val="both"/>
                  </w:pPr>
                  <w:r>
                    <w:rPr>
                      <w:rFonts w:ascii="仿宋_GB2312" w:hAnsi="仿宋_GB2312" w:cs="仿宋_GB2312" w:eastAsia="仿宋_GB2312"/>
                      <w:sz w:val="21"/>
                      <w:color w:val="000000"/>
                    </w:rPr>
                    <w:t>7.支持应用系统的凭据的安全管理、对凭据密钥的全生命周期管理，支持多凭据管理；</w:t>
                  </w:r>
                </w:p>
                <w:p>
                  <w:pPr>
                    <w:pStyle w:val="null3"/>
                    <w:jc w:val="both"/>
                  </w:pPr>
                  <w:r>
                    <w:rPr>
                      <w:rFonts w:ascii="仿宋_GB2312" w:hAnsi="仿宋_GB2312" w:cs="仿宋_GB2312" w:eastAsia="仿宋_GB2312"/>
                      <w:sz w:val="21"/>
                      <w:color w:val="000000"/>
                    </w:rPr>
                    <w:t>8.支持对密码资源进行资源注册、资源分组、资源组分配管理，同类密码设备可按类型进行分组管理，分组后的设备可按照组内设备策略统一对外提供服务，实现密码资源的精细化管理。（提供产品截图证明材料并加盖公章）</w:t>
                  </w:r>
                </w:p>
                <w:p>
                  <w:pPr>
                    <w:pStyle w:val="null3"/>
                    <w:jc w:val="both"/>
                  </w:pPr>
                  <w:r>
                    <w:rPr>
                      <w:rFonts w:ascii="仿宋_GB2312" w:hAnsi="仿宋_GB2312" w:cs="仿宋_GB2312" w:eastAsia="仿宋_GB2312"/>
                      <w:sz w:val="21"/>
                      <w:color w:val="000000"/>
                    </w:rPr>
                    <w:t>9.支持平台监控大屏展示，可对平台密码设备、密码资源以及密钥的使用情况展示，让用户对系统内资源使用情况一目了然。（提供产品截图证明材料并加盖公章）</w:t>
                  </w:r>
                </w:p>
                <w:p>
                  <w:pPr>
                    <w:pStyle w:val="null3"/>
                    <w:jc w:val="both"/>
                  </w:pPr>
                  <w:r>
                    <w:rPr>
                      <w:rFonts w:ascii="仿宋_GB2312" w:hAnsi="仿宋_GB2312" w:cs="仿宋_GB2312" w:eastAsia="仿宋_GB2312"/>
                      <w:sz w:val="21"/>
                      <w:color w:val="000000"/>
                    </w:rPr>
                    <w:t>10.支持多种调用方式：提供支持主流国产操作系统等的多种调用接口，提供标准API等接口，支持Restful接口调用方式，接口至少支持C/C++、Java接口。</w:t>
                  </w:r>
                </w:p>
                <w:p>
                  <w:pPr>
                    <w:pStyle w:val="null3"/>
                    <w:jc w:val="both"/>
                  </w:pPr>
                  <w:r>
                    <w:rPr>
                      <w:rFonts w:ascii="仿宋_GB2312" w:hAnsi="仿宋_GB2312" w:cs="仿宋_GB2312" w:eastAsia="仿宋_GB2312"/>
                      <w:sz w:val="21"/>
                      <w:color w:val="000000"/>
                    </w:rPr>
                    <w:t>11.提供密码服务插件与业务软件整合，屏蔽密码设备服务接口开发的复杂性，实现对业务系统提供各种密码计算及密码服务的能力，对各种密码运算、密码服务、密码管理等接口进行封装处理，提供简单易用的安全开发接口，业务系统软件开发人员无需关心底层密码运算的具体实现，降低集成工作的复杂度和开发成本；</w:t>
                  </w:r>
                </w:p>
                <w:p>
                  <w:pPr>
                    <w:pStyle w:val="null3"/>
                    <w:jc w:val="both"/>
                  </w:pPr>
                  <w:r>
                    <w:rPr>
                      <w:rFonts w:ascii="仿宋_GB2312" w:hAnsi="仿宋_GB2312" w:cs="仿宋_GB2312" w:eastAsia="仿宋_GB2312"/>
                      <w:sz w:val="21"/>
                      <w:color w:val="000000"/>
                    </w:rPr>
                    <w:t>12.支持密码资源智能调度，保障业务系统自动过滤故障的密码资源，保障业务系统对密码运算服务的良好使用；</w:t>
                  </w:r>
                </w:p>
                <w:p>
                  <w:pPr>
                    <w:pStyle w:val="null3"/>
                    <w:jc w:val="both"/>
                  </w:pPr>
                  <w:r>
                    <w:rPr>
                      <w:rFonts w:ascii="仿宋_GB2312" w:hAnsi="仿宋_GB2312" w:cs="仿宋_GB2312" w:eastAsia="仿宋_GB2312"/>
                      <w:sz w:val="21"/>
                      <w:color w:val="000000"/>
                    </w:rPr>
                    <w:t>▲13.灵活对接调用各种密码设备和服务，达成整个系统的密码改造合规；</w:t>
                  </w:r>
                </w:p>
                <w:p>
                  <w:pPr>
                    <w:pStyle w:val="null3"/>
                    <w:jc w:val="both"/>
                  </w:pPr>
                  <w:r>
                    <w:rPr>
                      <w:rFonts w:ascii="仿宋_GB2312" w:hAnsi="仿宋_GB2312" w:cs="仿宋_GB2312" w:eastAsia="仿宋_GB2312"/>
                      <w:sz w:val="21"/>
                      <w:color w:val="000000"/>
                    </w:rPr>
                    <w:t>▲14.产品软硬一体化部署，内置具有商用密码检测认证中心颁发的商用密码产品认证证书的安全二级密码卡；</w:t>
                  </w:r>
                </w:p>
                <w:p>
                  <w:pPr>
                    <w:pStyle w:val="null3"/>
                    <w:jc w:val="both"/>
                  </w:pPr>
                  <w:r>
                    <w:rPr>
                      <w:rFonts w:ascii="仿宋_GB2312" w:hAnsi="仿宋_GB2312" w:cs="仿宋_GB2312" w:eastAsia="仿宋_GB2312"/>
                      <w:sz w:val="21"/>
                      <w:color w:val="000000"/>
                    </w:rPr>
                    <w:t>▲15.产品为完全自主研发获取，拥有完全自主的知识产权，具有计算机软件著作权登记证书；</w:t>
                  </w:r>
                </w:p>
                <w:p>
                  <w:pPr>
                    <w:pStyle w:val="null3"/>
                    <w:jc w:val="both"/>
                  </w:pPr>
                  <w:r>
                    <w:rPr>
                      <w:rFonts w:ascii="仿宋_GB2312" w:hAnsi="仿宋_GB2312" w:cs="仿宋_GB2312" w:eastAsia="仿宋_GB2312"/>
                      <w:sz w:val="21"/>
                      <w:color w:val="000000"/>
                    </w:rPr>
                    <w:t>★16.必须同时具备商用密码检测认证中心颁发的密码服务管理平台以及密钥管理系统《商用密码产品认证证书》第二级及以上（证书复印件须加盖公章）。</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台</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b/>
                      <w:color w:val="FF0000"/>
                    </w:rPr>
                    <w:t>核心产品</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7</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存储加密服务器</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服务器：标准机架式</w:t>
                  </w:r>
                  <w:r>
                    <w:rPr>
                      <w:rFonts w:ascii="仿宋_GB2312" w:hAnsi="仿宋_GB2312" w:cs="仿宋_GB2312" w:eastAsia="仿宋_GB2312"/>
                      <w:sz w:val="22"/>
                    </w:rPr>
                    <w:t>≥2U、</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国产CPU</w:t>
                  </w:r>
                  <w:r>
                    <w:rPr>
                      <w:rFonts w:ascii="仿宋_GB2312" w:hAnsi="仿宋_GB2312" w:cs="仿宋_GB2312" w:eastAsia="仿宋_GB2312"/>
                      <w:sz w:val="22"/>
                    </w:rPr>
                    <w:t>≥1颗</w:t>
                  </w:r>
                  <w:r>
                    <w:rPr>
                      <w:rFonts w:ascii="仿宋_GB2312" w:hAnsi="仿宋_GB2312" w:cs="仿宋_GB2312" w:eastAsia="仿宋_GB2312"/>
                      <w:sz w:val="22"/>
                      <w:color w:val="000000"/>
                    </w:rPr>
                    <w:t>、CPU核数</w:t>
                  </w:r>
                  <w:r>
                    <w:rPr>
                      <w:rFonts w:ascii="仿宋_GB2312" w:hAnsi="仿宋_GB2312" w:cs="仿宋_GB2312" w:eastAsia="仿宋_GB2312"/>
                      <w:sz w:val="22"/>
                    </w:rPr>
                    <w:t>≥</w:t>
                  </w:r>
                  <w:r>
                    <w:rPr>
                      <w:rFonts w:ascii="仿宋_GB2312" w:hAnsi="仿宋_GB2312" w:cs="仿宋_GB2312" w:eastAsia="仿宋_GB2312"/>
                      <w:sz w:val="22"/>
                      <w:color w:val="000000"/>
                    </w:rPr>
                    <w:t>64</w:t>
                  </w:r>
                  <w:r>
                    <w:rPr>
                      <w:rFonts w:ascii="仿宋_GB2312" w:hAnsi="仿宋_GB2312" w:cs="仿宋_GB2312" w:eastAsia="仿宋_GB2312"/>
                      <w:sz w:val="22"/>
                      <w:color w:val="000000"/>
                    </w:rPr>
                    <w:t>核，主频</w:t>
                  </w:r>
                  <w:r>
                    <w:rPr>
                      <w:rFonts w:ascii="仿宋_GB2312" w:hAnsi="仿宋_GB2312" w:cs="仿宋_GB2312" w:eastAsia="仿宋_GB2312"/>
                      <w:sz w:val="22"/>
                    </w:rPr>
                    <w:t>≥</w:t>
                  </w:r>
                  <w:r>
                    <w:rPr>
                      <w:rFonts w:ascii="仿宋_GB2312" w:hAnsi="仿宋_GB2312" w:cs="仿宋_GB2312" w:eastAsia="仿宋_GB2312"/>
                      <w:sz w:val="22"/>
                      <w:color w:val="000000"/>
                    </w:rPr>
                    <w:t>2.0GHz</w:t>
                  </w:r>
                  <w:r>
                    <w:rPr>
                      <w:rFonts w:ascii="仿宋_GB2312" w:hAnsi="仿宋_GB2312" w:cs="仿宋_GB2312" w:eastAsia="仿宋_GB2312"/>
                      <w:sz w:val="22"/>
                      <w:color w:val="000000"/>
                    </w:rPr>
                    <w:t>内存：</w:t>
                  </w:r>
                  <w:r>
                    <w:rPr>
                      <w:rFonts w:ascii="仿宋_GB2312" w:hAnsi="仿宋_GB2312" w:cs="仿宋_GB2312" w:eastAsia="仿宋_GB2312"/>
                      <w:sz w:val="22"/>
                    </w:rPr>
                    <w:t>≥</w:t>
                  </w:r>
                  <w:r>
                    <w:rPr>
                      <w:rFonts w:ascii="仿宋_GB2312" w:hAnsi="仿宋_GB2312" w:cs="仿宋_GB2312" w:eastAsia="仿宋_GB2312"/>
                      <w:sz w:val="22"/>
                      <w:color w:val="000000"/>
                    </w:rPr>
                    <w:t>64G</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网络：</w:t>
                  </w:r>
                  <w:r>
                    <w:rPr>
                      <w:rFonts w:ascii="仿宋_GB2312" w:hAnsi="仿宋_GB2312" w:cs="仿宋_GB2312" w:eastAsia="仿宋_GB2312"/>
                      <w:sz w:val="22"/>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个万兆光接口(配万兆模块)，</w:t>
                  </w:r>
                  <w:r>
                    <w:rPr>
                      <w:rFonts w:ascii="仿宋_GB2312" w:hAnsi="仿宋_GB2312" w:cs="仿宋_GB2312" w:eastAsia="仿宋_GB2312"/>
                      <w:sz w:val="22"/>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个千兆电口；</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电源：双冗余电源；</w:t>
                  </w:r>
                </w:p>
                <w:p>
                  <w:pPr>
                    <w:pStyle w:val="null3"/>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系统盘: SSD，≥128G；</w:t>
                  </w:r>
                </w:p>
                <w:p>
                  <w:pPr>
                    <w:pStyle w:val="null3"/>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数据盘：支持≥8块，本次配置≥32T。</w:t>
                  </w:r>
                </w:p>
                <w:p>
                  <w:pPr>
                    <w:pStyle w:val="null3"/>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操作系统：支持国产操作系统。</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color w:val="000000"/>
                    </w:rPr>
                    <w:t>实现数据库系统的实时安全加密，支持国产数据库。</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color w:val="000000"/>
                    </w:rPr>
                    <w:t>产品可应用于结构化、半结构化和非结构化等复杂结构数据的加密存储。</w:t>
                  </w:r>
                </w:p>
                <w:p>
                  <w:pPr>
                    <w:pStyle w:val="null3"/>
                    <w:jc w:val="both"/>
                  </w:pPr>
                  <w:r>
                    <w:rPr>
                      <w:rFonts w:ascii="仿宋_GB2312" w:hAnsi="仿宋_GB2312" w:cs="仿宋_GB2312" w:eastAsia="仿宋_GB2312"/>
                      <w:sz w:val="22"/>
                    </w:rPr>
                    <w:t>▲10.支持 SM1，SM2，SM3，SM4 等国密算法；</w:t>
                  </w:r>
                </w:p>
                <w:p>
                  <w:pPr>
                    <w:pStyle w:val="null3"/>
                    <w:jc w:val="left"/>
                  </w:pPr>
                  <w:r>
                    <w:rPr>
                      <w:rFonts w:ascii="仿宋_GB2312" w:hAnsi="仿宋_GB2312" w:cs="仿宋_GB2312" w:eastAsia="仿宋_GB2312"/>
                      <w:sz w:val="22"/>
                      <w:color w:val="000000"/>
                    </w:rPr>
                    <w:t>★11.提供商用密码检测认证中心颁发的《商用密码产品认证证书》</w:t>
                  </w:r>
                  <w:r>
                    <w:rPr>
                      <w:rFonts w:ascii="仿宋_GB2312" w:hAnsi="仿宋_GB2312" w:cs="仿宋_GB2312" w:eastAsia="仿宋_GB2312"/>
                      <w:sz w:val="22"/>
                    </w:rPr>
                    <w:t>第二级及以上</w:t>
                  </w:r>
                  <w:r>
                    <w:rPr>
                      <w:rFonts w:ascii="仿宋_GB2312" w:hAnsi="仿宋_GB2312" w:cs="仿宋_GB2312" w:eastAsia="仿宋_GB2312"/>
                      <w:sz w:val="22"/>
                      <w:color w:val="000000"/>
                    </w:rPr>
                    <w:t>（证书复印件须加盖公章）。</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台</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8</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服务器密码机</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color w:val="000000"/>
                    </w:rPr>
                    <w:t>标准机架式设备，内置硬盘≥240GB SSD，千兆电口≥4个；万兆光口≥2个（配万兆模块），双冗余电源；</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color w:val="000000"/>
                    </w:rPr>
                    <w:t>性能要求：SM1加解密≥5Gbps，SM2签名≥80000次/秒，SM2验签≥30000次/秒，SM3杂凑≥6Gbps，SM4加解密≥6Gbps。（提供产品白皮书或彩页或截图等证明材料并加盖公章）；</w:t>
                  </w:r>
                </w:p>
                <w:p>
                  <w:pPr>
                    <w:pStyle w:val="null3"/>
                    <w:jc w:val="left"/>
                  </w:pPr>
                  <w:r>
                    <w:rPr>
                      <w:rFonts w:ascii="仿宋_GB2312" w:hAnsi="仿宋_GB2312" w:cs="仿宋_GB2312" w:eastAsia="仿宋_GB2312"/>
                      <w:sz w:val="22"/>
                      <w:color w:val="000000"/>
                    </w:rPr>
                    <w:t>支持SM1、SM4算法的数据加密、解密服务。</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支持SM2算法的签名和验签。</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支持SM3算法的数据摘要计算功能</w:t>
                  </w:r>
                </w:p>
                <w:p>
                  <w:pPr>
                    <w:pStyle w:val="null3"/>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支持基于SM2算法的密钥协商功能。</w:t>
                  </w:r>
                </w:p>
                <w:p>
                  <w:pPr>
                    <w:pStyle w:val="null3"/>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支持SM1、SM4及SM3等算法的消息认证码计算功能。</w:t>
                  </w:r>
                </w:p>
                <w:p>
                  <w:pPr>
                    <w:pStyle w:val="null3"/>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支持≥10万条密钥的管理能力。</w:t>
                  </w:r>
                  <w:r>
                    <w:rPr>
                      <w:rFonts w:ascii="仿宋_GB2312" w:hAnsi="仿宋_GB2312" w:cs="仿宋_GB2312" w:eastAsia="仿宋_GB2312"/>
                      <w:sz w:val="22"/>
                    </w:rPr>
                    <w:t>（提供产品截图证明材料并加盖公章）</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支持对应用系统进行IP白名单访问控制，白名单支持IP地址或IP段两种访问控制策略，可根据管理要求，配置IP白名单的生效时间</w:t>
                  </w:r>
                  <w:r>
                    <w:rPr>
                      <w:rFonts w:ascii="仿宋_GB2312" w:hAnsi="仿宋_GB2312" w:cs="仿宋_GB2312" w:eastAsia="仿宋_GB2312"/>
                      <w:sz w:val="22"/>
                      <w:color w:val="000000"/>
                    </w:rPr>
                    <w:t>。</w:t>
                  </w:r>
                  <w:r>
                    <w:rPr>
                      <w:rFonts w:ascii="仿宋_GB2312" w:hAnsi="仿宋_GB2312" w:cs="仿宋_GB2312" w:eastAsia="仿宋_GB2312"/>
                      <w:sz w:val="22"/>
                    </w:rPr>
                    <w:t>（提供产品截图证明材料并加盖公章）</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支持日志等级设置，可设置为DEBUG、INFO、WARN、ERR0R等多个等级，且支持通过数字签名的方式实现日志数据完整性保护。（提供产品截图证明材料并加盖公章）</w:t>
                  </w:r>
                </w:p>
                <w:p>
                  <w:pPr>
                    <w:pStyle w:val="null3"/>
                    <w:jc w:val="left"/>
                  </w:pPr>
                  <w:r>
                    <w:rPr>
                      <w:rFonts w:ascii="仿宋_GB2312" w:hAnsi="仿宋_GB2312" w:cs="仿宋_GB2312" w:eastAsia="仿宋_GB2312"/>
                      <w:sz w:val="22"/>
                      <w:color w:val="000000"/>
                    </w:rPr>
                    <w:t>10.</w:t>
                  </w:r>
                  <w:r>
                    <w:rPr>
                      <w:rFonts w:ascii="仿宋_GB2312" w:hAnsi="仿宋_GB2312" w:cs="仿宋_GB2312" w:eastAsia="仿宋_GB2312"/>
                      <w:sz w:val="22"/>
                      <w:color w:val="000000"/>
                    </w:rPr>
                    <w:t>支持将设备内的密钥等重要信息加密后采用门限方式进行备份。</w:t>
                  </w:r>
                  <w:r>
                    <w:rPr>
                      <w:rFonts w:ascii="仿宋_GB2312" w:hAnsi="仿宋_GB2312" w:cs="仿宋_GB2312" w:eastAsia="仿宋_GB2312"/>
                      <w:sz w:val="22"/>
                    </w:rPr>
                    <w:t>（提供产品截图证明材料并加盖公章）</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color w:val="000000"/>
                    </w:rPr>
                    <w:t>支持对接密钥管理系统、密码服务平台等；</w:t>
                  </w:r>
                </w:p>
                <w:p>
                  <w:pPr>
                    <w:pStyle w:val="null3"/>
                    <w:jc w:val="left"/>
                  </w:pPr>
                  <w:r>
                    <w:rPr>
                      <w:rFonts w:ascii="仿宋_GB2312" w:hAnsi="仿宋_GB2312" w:cs="仿宋_GB2312" w:eastAsia="仿宋_GB2312"/>
                      <w:sz w:val="22"/>
                      <w:color w:val="000000"/>
                    </w:rPr>
                    <w:t>12.</w:t>
                  </w:r>
                  <w:r>
                    <w:rPr>
                      <w:rFonts w:ascii="仿宋_GB2312" w:hAnsi="仿宋_GB2312" w:cs="仿宋_GB2312" w:eastAsia="仿宋_GB2312"/>
                      <w:sz w:val="22"/>
                      <w:color w:val="000000"/>
                    </w:rPr>
                    <w:t>支持与符合《GM/T 0050-2016 密码设备管理 设备管理技术规范》的密码设备管理平台对接；</w:t>
                  </w:r>
                </w:p>
                <w:p>
                  <w:pPr>
                    <w:pStyle w:val="null3"/>
                    <w:jc w:val="left"/>
                  </w:pPr>
                  <w:r>
                    <w:rPr>
                      <w:rFonts w:ascii="仿宋_GB2312" w:hAnsi="仿宋_GB2312" w:cs="仿宋_GB2312" w:eastAsia="仿宋_GB2312"/>
                      <w:sz w:val="22"/>
                      <w:color w:val="000000"/>
                    </w:rPr>
                    <w:t>13.</w:t>
                  </w:r>
                  <w:r>
                    <w:rPr>
                      <w:rFonts w:ascii="仿宋_GB2312" w:hAnsi="仿宋_GB2312" w:cs="仿宋_GB2312" w:eastAsia="仿宋_GB2312"/>
                      <w:sz w:val="22"/>
                      <w:color w:val="000000"/>
                    </w:rPr>
                    <w:t>支持多种高可用能力，支持第三方负载均衡器，支持自负载；</w:t>
                  </w:r>
                </w:p>
                <w:p>
                  <w:pPr>
                    <w:pStyle w:val="null3"/>
                    <w:jc w:val="left"/>
                  </w:pPr>
                  <w:r>
                    <w:rPr>
                      <w:rFonts w:ascii="仿宋_GB2312" w:hAnsi="仿宋_GB2312" w:cs="仿宋_GB2312" w:eastAsia="仿宋_GB2312"/>
                      <w:sz w:val="22"/>
                      <w:color w:val="000000"/>
                    </w:rPr>
                    <w:t>★14.提供商用密码检测认证中心颁发的《商用密码产品认证证书》</w:t>
                  </w:r>
                  <w:r>
                    <w:rPr>
                      <w:rFonts w:ascii="仿宋_GB2312" w:hAnsi="仿宋_GB2312" w:cs="仿宋_GB2312" w:eastAsia="仿宋_GB2312"/>
                      <w:sz w:val="22"/>
                    </w:rPr>
                    <w:t>第二级及以上</w:t>
                  </w:r>
                  <w:r>
                    <w:rPr>
                      <w:rFonts w:ascii="仿宋_GB2312" w:hAnsi="仿宋_GB2312" w:cs="仿宋_GB2312" w:eastAsia="仿宋_GB2312"/>
                      <w:sz w:val="22"/>
                      <w:color w:val="000000"/>
                    </w:rPr>
                    <w:t>（证书复印件须加盖公章）；</w:t>
                  </w:r>
                </w:p>
                <w:p>
                  <w:pPr>
                    <w:pStyle w:val="null3"/>
                    <w:jc w:val="left"/>
                  </w:pPr>
                  <w:r>
                    <w:rPr>
                      <w:rFonts w:ascii="仿宋_GB2312" w:hAnsi="仿宋_GB2312" w:cs="仿宋_GB2312" w:eastAsia="仿宋_GB2312"/>
                      <w:sz w:val="22"/>
                      <w:color w:val="000000"/>
                    </w:rPr>
                    <w:t>★15.内置国密局核准的安全二级密码卡，内置密码卡与服务器密码机必须为同一品牌，密码卡及服务器密码机均具有商用密码检测认证中心颁发的《商用密码产品认证证书》</w:t>
                  </w:r>
                  <w:r>
                    <w:rPr>
                      <w:rFonts w:ascii="仿宋_GB2312" w:hAnsi="仿宋_GB2312" w:cs="仿宋_GB2312" w:eastAsia="仿宋_GB2312"/>
                      <w:sz w:val="22"/>
                    </w:rPr>
                    <w:t>第二级及以上</w:t>
                  </w:r>
                  <w:r>
                    <w:rPr>
                      <w:rFonts w:ascii="仿宋_GB2312" w:hAnsi="仿宋_GB2312" w:cs="仿宋_GB2312" w:eastAsia="仿宋_GB2312"/>
                      <w:sz w:val="22"/>
                      <w:color w:val="000000"/>
                    </w:rPr>
                    <w:t>，并符合GM/T0028《密码模块安全技术要求》第二级要求（证书复印件须加盖公章）。</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台</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2"/>
                      <w:color w:val="000000"/>
                    </w:rPr>
                    <w:t>9</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服务器站点证书</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双算法自适应SSL证书，为服务器站点提供身份鉴定并保证该网站拥有高强度加密安全，保证网站的真实性，有效性，防止钓鱼网站。连续1年服务授权。</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套</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合同签订生效后30日内。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合同签订，安装调试验收合格3个月内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合同签订，安装调试验收合格6个月内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合同签订，安装调试验收合格24个月后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甲方所在地提起仲裁。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1.本项目软硬件符合国家、行业要求。 本项目产品质保期三年，特别说明为1年授权的质保期1年。 2.由于财政系统过度，关于在政府采购中实施本国产品标准及相关政策：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详见附件关于符合本国产品标准的声明函） 3.配合医院完成商用密码测评工作。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经审计的财务报告（审计报告应当经过注册会计师行业统一监管平台备案赋码）；/或财政部门认可的政府采购专业担保机构出具的投标担保函（以上二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承诺书.docx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法人代表授权书（原件）；</w:t>
            </w:r>
          </w:p>
        </w:tc>
        <w:tc>
          <w:tcPr>
            <w:tcW w:type="dxa" w:w="1661"/>
          </w:tcPr>
          <w:p>
            <w:pPr>
              <w:pStyle w:val="null3"/>
            </w:pPr>
            <w:r>
              <w:rPr>
                <w:rFonts w:ascii="仿宋_GB2312" w:hAnsi="仿宋_GB2312" w:cs="仿宋_GB2312" w:eastAsia="仿宋_GB2312"/>
              </w:rPr>
              <w:t>法人代表授权书.docx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提供2024年经审计的财务报告（审计报告应当经过注册会计师行业统一监管平台备案赋码）；/或财政部门认可的政府采购专业担保机构出具的投标担保函（以上二种形式的资料提供任何一种即可）；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依法缴纳税收的良好记录（提供截止至开标时间12个月内任一月份的缴费凭据或完税证明，依法免税的单位应提供相关证明材料）；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依法缴纳社会保障资金的良好记录（提供截止至开标时间12个月内任一月份的缴费凭据或社保机构开具的社会保险参保缴费情况证明，依法不需要缴纳社会保障资金的单位应提供相关证明材料）；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投标人无重大违法记录的书面声明格式.docx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查询渠道：“信用中国”网站（www.creditchina.gov.vn）、中国政府采购网（www.ccgp.gov.vn）；以现场查询为准。 截止时点：招标截止时间； 信用信息查询记录和证据留存的具体方式：网上查询结果打印。 信用信息的使用规则：凡在截止时点内，列入失信被执行人、重大税收违法案件当事人名单、政府采购严重违法失信行为记录名单的供应商，其招标响应视为无效；联合体招标时，联合体成员存在不良信用记录的，视同联合体存在不良信用记录，其招标响应视为无效。</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技术要求响应程度</w:t>
            </w:r>
          </w:p>
        </w:tc>
        <w:tc>
          <w:tcPr>
            <w:tcW w:type="dxa" w:w="2492"/>
          </w:tcPr>
          <w:p>
            <w:pPr>
              <w:pStyle w:val="null3"/>
            </w:pPr>
            <w:r>
              <w:rPr>
                <w:rFonts w:ascii="仿宋_GB2312" w:hAnsi="仿宋_GB2312" w:cs="仿宋_GB2312" w:eastAsia="仿宋_GB2312"/>
              </w:rPr>
              <w:t>1、技术参数要求中带▲项为重要参数，此项得分=满足▲项参数的数量/▲项参数总数量*10，本项最高得10分； 2、技术参数要求中非★、▲项为一般参数，此项得分=满足一般参数的数量/一般参数总数量*10，本项最高得10分； 3、上述 1、2项汇总得出技术响应总得分。 4、★代表实质性指标，不满足该指标项将导致投标被拒绝。 注: （1）參数项以序号数字(如“1.”“2.”“3.”……)为一项，序号数字(如“1.”“2.”“3.”………)下有更小级序号的，以最小级序号为一项，序号指“1”“1)”等多级序号。 （2）★重要技术参数需提供证明文件以验证参数真实性，证明材料包括但不限于第三方国家权威机构出具的检测报告 (截图包括网址、网站名称、技术内容等)，未提供或证明材料与投标响应参数不符的投标响应无效。 （3）▲技术参数需提供证明文件以验证参数真实性，证明材料包括但不限于第三方国家权威机构出具的检测报告 (截图包括网址、网站名称、技术内容等)，未提供或证明材料与投标响应参数不符的该▲项不得分。 （4）本项评标因素根据技术规格响应表进行赋分。 （5）技术参数证明文件需列明具体页码。</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根据招标文件所提供的设备选型方案，方案内容至少包括①设备配置清单；②产品配置说明及设备功能说明；③关键配置选取依据；④相关技术支持材料（不限于国家权威部门出具的检测报告、产品彩页、技术说明书等）等内容。 上述4方面内容中每有1项分析内容完整、与项目需求吻合、思路清晰、层次细化，有具体详细的闸述且符合项目要求的得3分，最高得12分；每缺少一项内容的扣3分，每有一处需求分析内容存在缺陷或不足的扣 2分，扣完为止。 注：未提供设备选型相关材料，本项不得分。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根据招标文件所提供的服务团队：包括但不限于①项目负责人概况（至少包含职称）；②实施人员清单及信息；③实施人员相关资质条件等，自主赋分： 上述3方面内容中每有1项分析内容完整，人员组织架构合理，岗位职责明确，有具体详细的闸述且符合项目要求的得2分，最高得6分；每缺少一项内容的扣2分，每有一处需求分析内容存在缺陷或不足的扣 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实施方案及质量保障措施</w:t>
            </w:r>
          </w:p>
        </w:tc>
        <w:tc>
          <w:tcPr>
            <w:tcW w:type="dxa" w:w="2492"/>
          </w:tcPr>
          <w:p>
            <w:pPr>
              <w:pStyle w:val="null3"/>
            </w:pPr>
            <w:r>
              <w:rPr>
                <w:rFonts w:ascii="仿宋_GB2312" w:hAnsi="仿宋_GB2312" w:cs="仿宋_GB2312" w:eastAsia="仿宋_GB2312"/>
              </w:rPr>
              <w:t>根据招标文件提供的针对本项目的实施方案及质量保障措施，包括但不限于①全流程保障方案；②故障处理措施及处理时效保证措施；③项目节点进度安排等内容。 上述3方面内容中每有1项分析内容完整、与项目需求吻合、思路清晰、层次细化，有具体详细的闸述且符合项目要求的得3分，最高得9分；每缺少一项内容的扣 3分，每有一处需求分析内容存在缺陷或不足的扣1分，扣完为止。 注：未提供实施方案及质量保障措施本项不得分。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备品备件及专用工具配备</w:t>
            </w:r>
          </w:p>
        </w:tc>
        <w:tc>
          <w:tcPr>
            <w:tcW w:type="dxa" w:w="2492"/>
          </w:tcPr>
          <w:p>
            <w:pPr>
              <w:pStyle w:val="null3"/>
            </w:pPr>
            <w:r>
              <w:rPr>
                <w:rFonts w:ascii="仿宋_GB2312" w:hAnsi="仿宋_GB2312" w:cs="仿宋_GB2312" w:eastAsia="仿宋_GB2312"/>
              </w:rPr>
              <w:t>投标人针对本项目提供备品备件及专用工具配备方案，方案内容至少包括①备品备件及专用工具清单、报价及规格；②备品备件及专用工具供货保障能力等内容。 上述2方面内容中每有1项分析内容完整、与项目需求吻合、思路清晰、层次细化，有具体详细的闸述且符合项目要求的得1分，最高得2分；每缺少一项内容的扣1分，每有一处需求分析内容存在缺陷或不足的扣 0.5分，扣完为止。 注：未提供配备方案或备品备件承诺有效期年限≤质量保证期的，本项不得分。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根据招标响应文件提供的针对本项目的售后服务及培训方案，方案内容涵盖本项目全部内容，至少包括①售后服务人员；②培训方案；③售后服务方案及承诺内容。 上述3方面内容中每有1项分析内容完整、与项目需求吻合全面、安排合理、有具体详细的闸述且符合项目要求的得2分，最高得6分；每缺少一项内容的扣2分，每有一处需求分析内容存在缺陷或不足的扣1分，扣完为止。 注：未提供售后服务及培训方案相关材料，本项不得分。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来源渠道证明文件</w:t>
            </w:r>
          </w:p>
        </w:tc>
        <w:tc>
          <w:tcPr>
            <w:tcW w:type="dxa" w:w="2492"/>
          </w:tcPr>
          <w:p>
            <w:pPr>
              <w:pStyle w:val="null3"/>
            </w:pPr>
            <w:r>
              <w:rPr>
                <w:rFonts w:ascii="仿宋_GB2312" w:hAnsi="仿宋_GB2312" w:cs="仿宋_GB2312" w:eastAsia="仿宋_GB2312"/>
              </w:rPr>
              <w:t>提供投标产品来源渠道证明文件（包括但不限于销售协议、代理协议、原厂授权等）。证明材料完整有效得3分，否则得0分。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针对本项目的除文件要求外的其他相关服务承诺（格式自拟）及针对本项目的合理化建议、内容包括但不限于：严格按照相关技术规范、标准及甲方要求提供服务及相关其他保障甲方需求的承诺，提供得2分；未提供不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满足招标文件商务条款得4分，一项不满足本项不得分。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依据投标文件提供的2023年1月1日起至今，投标单位类似项目实施案例证明材料（以合同复印件为准，合同复印件至少含能反映采购内容页、双方签字盖章页等）每提供一份完整的业绩证明材料，得1分，满分3分。 2、依据投标文件提供的2023年1月1日起至今，所投核心产品类似项目实施案例证明材料（以合同复印件为准，合同复印件至少含能反映采购内容页、双方签字盖章页等）每提供一份完整的业绩证明材料，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最低评审价为评审基准价，得30分。 2.按（评审基准价/评审价×30）的公式计算价格得分。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关于本国产品标准声明函.docx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详见附件：法人代表授权书.docx</w:t>
      </w:r>
    </w:p>
    <w:p>
      <w:pPr>
        <w:pStyle w:val="null3"/>
        <w:ind w:firstLine="960"/>
      </w:pPr>
      <w:r>
        <w:rPr>
          <w:rFonts w:ascii="仿宋_GB2312" w:hAnsi="仿宋_GB2312" w:cs="仿宋_GB2312" w:eastAsia="仿宋_GB2312"/>
        </w:rPr>
        <w:t>详见附件：投标人无重大违法记录的书面声明格式.docx</w:t>
      </w:r>
    </w:p>
    <w:p>
      <w:pPr>
        <w:pStyle w:val="null3"/>
        <w:ind w:firstLine="960"/>
      </w:pPr>
      <w:r>
        <w:rPr>
          <w:rFonts w:ascii="仿宋_GB2312" w:hAnsi="仿宋_GB2312" w:cs="仿宋_GB2312" w:eastAsia="仿宋_GB2312"/>
        </w:rPr>
        <w:t>详见附件：关于本国产品标准声明函.docx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