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9BC1A">
      <w:pPr>
        <w:pStyle w:val="4"/>
      </w:pPr>
      <w:r>
        <w:rPr>
          <w:rFonts w:ascii="仿宋_GB2312" w:hAnsi="仿宋_GB2312" w:eastAsia="仿宋_GB2312" w:cs="仿宋_GB2312"/>
        </w:rPr>
        <w:t>标的名称：气-液-固多相流动耦合实验分析平台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4"/>
        <w:gridCol w:w="1233"/>
        <w:gridCol w:w="6260"/>
      </w:tblGrid>
      <w:tr w14:paraId="2C25F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tcPr>
          <w:p w14:paraId="3E67B931">
            <w:pPr>
              <w:pStyle w:val="4"/>
            </w:pPr>
            <w:r>
              <w:rPr>
                <w:rFonts w:ascii="仿宋_GB2312" w:hAnsi="仿宋_GB2312" w:eastAsia="仿宋_GB2312" w:cs="仿宋_GB2312"/>
              </w:rPr>
              <w:t xml:space="preserve"> 序号</w:t>
            </w:r>
          </w:p>
        </w:tc>
        <w:tc>
          <w:tcPr>
            <w:tcW w:w="1233" w:type="dxa"/>
          </w:tcPr>
          <w:p w14:paraId="47E1BF08">
            <w:pPr>
              <w:pStyle w:val="4"/>
            </w:pPr>
            <w:r>
              <w:rPr>
                <w:rFonts w:ascii="仿宋_GB2312" w:hAnsi="仿宋_GB2312" w:eastAsia="仿宋_GB2312" w:cs="仿宋_GB2312"/>
              </w:rPr>
              <w:t xml:space="preserve"> 参数性质</w:t>
            </w:r>
          </w:p>
        </w:tc>
        <w:tc>
          <w:tcPr>
            <w:tcW w:w="6260" w:type="dxa"/>
          </w:tcPr>
          <w:p w14:paraId="3EB2DA80">
            <w:pPr>
              <w:pStyle w:val="4"/>
            </w:pPr>
            <w:r>
              <w:rPr>
                <w:rFonts w:ascii="仿宋_GB2312" w:hAnsi="仿宋_GB2312" w:eastAsia="仿宋_GB2312" w:cs="仿宋_GB2312"/>
              </w:rPr>
              <w:t xml:space="preserve"> 技术参数与性能指标</w:t>
            </w:r>
          </w:p>
        </w:tc>
      </w:tr>
      <w:tr w14:paraId="75CD55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tcPr>
          <w:p w14:paraId="21B60D14">
            <w:pPr>
              <w:pStyle w:val="4"/>
            </w:pPr>
            <w:r>
              <w:rPr>
                <w:rFonts w:ascii="仿宋_GB2312" w:hAnsi="仿宋_GB2312" w:eastAsia="仿宋_GB2312" w:cs="仿宋_GB2312"/>
              </w:rPr>
              <w:t>1</w:t>
            </w:r>
          </w:p>
        </w:tc>
        <w:tc>
          <w:tcPr>
            <w:tcW w:w="1233" w:type="dxa"/>
          </w:tcPr>
          <w:p w14:paraId="089331AA"/>
        </w:tc>
        <w:tc>
          <w:tcPr>
            <w:tcW w:w="6260" w:type="dxa"/>
          </w:tcPr>
          <w:p w14:paraId="59BA323D">
            <w:pPr>
              <w:pStyle w:val="4"/>
              <w:jc w:val="left"/>
            </w:pPr>
            <w:r>
              <w:rPr>
                <w:rFonts w:ascii="仿宋_GB2312" w:hAnsi="仿宋_GB2312" w:eastAsia="仿宋_GB2312" w:cs="仿宋_GB2312"/>
                <w:b/>
                <w:sz w:val="24"/>
              </w:rPr>
              <w:t>一、流域-城市-河流模块</w:t>
            </w:r>
          </w:p>
          <w:p w14:paraId="20813856">
            <w:pPr>
              <w:pStyle w:val="4"/>
              <w:ind w:firstLine="400"/>
              <w:jc w:val="left"/>
            </w:pPr>
            <w:r>
              <w:rPr>
                <w:rFonts w:ascii="仿宋_GB2312" w:hAnsi="仿宋_GB2312" w:eastAsia="仿宋_GB2312" w:cs="仿宋_GB2312"/>
                <w:sz w:val="20"/>
              </w:rPr>
              <w:t>▲1.规格尺寸：透明有机玻璃或聚碳酸酯材料，长度≥8m，宽度≥3m；支架高度≥0.8m，模型体框架高度≥0.5m；其中流域面积≥9m</w:t>
            </w:r>
            <w:r>
              <w:rPr>
                <w:rFonts w:ascii="仿宋_GB2312" w:hAnsi="仿宋_GB2312" w:eastAsia="仿宋_GB2312" w:cs="仿宋_GB2312"/>
                <w:sz w:val="20"/>
                <w:vertAlign w:val="superscript"/>
              </w:rPr>
              <w:t>2</w:t>
            </w:r>
            <w:r>
              <w:rPr>
                <w:rFonts w:ascii="仿宋_GB2312" w:hAnsi="仿宋_GB2312" w:eastAsia="仿宋_GB2312" w:cs="仿宋_GB2312"/>
                <w:sz w:val="20"/>
              </w:rPr>
              <w:t>，城市面积≥12m</w:t>
            </w:r>
            <w:r>
              <w:rPr>
                <w:rFonts w:ascii="仿宋_GB2312" w:hAnsi="仿宋_GB2312" w:eastAsia="仿宋_GB2312" w:cs="仿宋_GB2312"/>
                <w:sz w:val="20"/>
                <w:vertAlign w:val="superscript"/>
              </w:rPr>
              <w:t>2</w:t>
            </w:r>
            <w:r>
              <w:rPr>
                <w:rFonts w:ascii="仿宋_GB2312" w:hAnsi="仿宋_GB2312" w:eastAsia="仿宋_GB2312" w:cs="仿宋_GB2312"/>
                <w:sz w:val="20"/>
              </w:rPr>
              <w:t>。</w:t>
            </w:r>
          </w:p>
          <w:p w14:paraId="22B7F28D">
            <w:pPr>
              <w:pStyle w:val="4"/>
              <w:ind w:firstLine="400"/>
              <w:jc w:val="left"/>
            </w:pPr>
            <w:r>
              <w:rPr>
                <w:rFonts w:ascii="仿宋_GB2312" w:hAnsi="仿宋_GB2312" w:eastAsia="仿宋_GB2312" w:cs="仿宋_GB2312"/>
                <w:sz w:val="20"/>
              </w:rPr>
              <w:t>▲2.流域：地形等高距模型≥5mm，地形制作精度±0.3mm；流域物理模型河道包括1条干流，2条支流；干流河道长度≥3m，河道宽度≥30cm，河道平均比降≥3‰；2条支流河道长度≥1m，河道宽度≥10cm，河道平均比降≥5‰；流域物理模型的干流上游设置水库模型，包括挡水建筑物、泄水建筑物、输水建筑物和消能防冲建筑物，可实现下泄过程的湍流流场分布观测；流域坡面可观测到土砂液化流动过程。</w:t>
            </w:r>
          </w:p>
          <w:p w14:paraId="237C3BA0">
            <w:pPr>
              <w:pStyle w:val="4"/>
              <w:ind w:firstLine="400"/>
              <w:jc w:val="left"/>
            </w:pPr>
            <w:r>
              <w:rPr>
                <w:rFonts w:ascii="仿宋_GB2312" w:hAnsi="仿宋_GB2312" w:eastAsia="仿宋_GB2312" w:cs="仿宋_GB2312"/>
                <w:sz w:val="20"/>
              </w:rPr>
              <w:t>▲3.城市：模型平面尺寸长度≥4m，宽度≥3m；城市物理模型位于流域物理模型下游且通过河道连接，城市河道长度≥4m，河道顶宽度≥30cm，河道深度≥10cm，河道平均比降≥1‰，可以实现泥沙悬浮和沉淀过程；城市物理模型设置有硬化路面、透水铺装、绿地，包括但不限于居民区，公园绿地，广场，道路等（各下垫面面积依据不同综合径流系统调整设计），不同下垫面的竖向高程比例符合实际情况，且需体现入渗差异性，综合径流系数为≤0.65。</w:t>
            </w:r>
          </w:p>
          <w:p w14:paraId="702746AB">
            <w:pPr>
              <w:pStyle w:val="4"/>
              <w:ind w:firstLine="400"/>
              <w:jc w:val="left"/>
            </w:pPr>
            <w:r>
              <w:rPr>
                <w:rFonts w:ascii="仿宋_GB2312" w:hAnsi="仿宋_GB2312" w:eastAsia="仿宋_GB2312" w:cs="仿宋_GB2312"/>
                <w:sz w:val="20"/>
              </w:rPr>
              <w:t>▲4.河流：河流物理模型与城市河道下游末端连接，可实现自由出流和淹没出流过程，河流长度≥2m，城市段干流河道顶宽度≥40cm，河道深度≥20cm，河道平均比降≥1‰，设置尾门。</w:t>
            </w:r>
          </w:p>
          <w:p w14:paraId="100D3D6C">
            <w:pPr>
              <w:pStyle w:val="4"/>
              <w:ind w:firstLine="400"/>
              <w:jc w:val="left"/>
            </w:pPr>
            <w:r>
              <w:rPr>
                <w:rFonts w:ascii="仿宋_GB2312" w:hAnsi="仿宋_GB2312" w:eastAsia="仿宋_GB2312" w:cs="仿宋_GB2312"/>
                <w:sz w:val="20"/>
              </w:rPr>
              <w:t>5.各段连接处：软连接防水。</w:t>
            </w:r>
          </w:p>
          <w:p w14:paraId="7F6E8CA6">
            <w:pPr>
              <w:pStyle w:val="4"/>
            </w:pPr>
            <w:r>
              <w:rPr>
                <w:rFonts w:ascii="仿宋_GB2312" w:hAnsi="仿宋_GB2312" w:eastAsia="仿宋_GB2312" w:cs="仿宋_GB2312"/>
                <w:sz w:val="20"/>
              </w:rPr>
              <w:t xml:space="preserve">  6.模型基础平台水平度误差：±2mm/m；地形高程制作误差：±1mm；河道断面尺寸误差：±2mm；建筑物安装位置误差：±5mm；模型整体防渗性能：24小时蓄水试验无渗漏。</w:t>
            </w:r>
          </w:p>
          <w:p w14:paraId="3AA95AD9">
            <w:pPr>
              <w:pStyle w:val="4"/>
              <w:jc w:val="left"/>
            </w:pPr>
            <w:r>
              <w:rPr>
                <w:rFonts w:ascii="仿宋_GB2312" w:hAnsi="仿宋_GB2312" w:eastAsia="仿宋_GB2312" w:cs="仿宋_GB2312"/>
                <w:b/>
                <w:sz w:val="24"/>
              </w:rPr>
              <w:t>二、排水模块【1套】</w:t>
            </w:r>
          </w:p>
          <w:p w14:paraId="29AE0DF1">
            <w:pPr>
              <w:pStyle w:val="4"/>
              <w:ind w:firstLine="400"/>
              <w:jc w:val="left"/>
            </w:pPr>
            <w:r>
              <w:rPr>
                <w:rFonts w:ascii="仿宋_GB2312" w:hAnsi="仿宋_GB2312" w:eastAsia="仿宋_GB2312" w:cs="仿宋_GB2312"/>
                <w:sz w:val="20"/>
              </w:rPr>
              <w:t>1.规格尺寸：透明有机玻璃或聚碳酸酯材料，壁厚≥10mm。</w:t>
            </w:r>
          </w:p>
          <w:p w14:paraId="21AF9A25">
            <w:pPr>
              <w:pStyle w:val="4"/>
              <w:ind w:firstLine="400"/>
              <w:jc w:val="left"/>
            </w:pPr>
            <w:r>
              <w:rPr>
                <w:rFonts w:ascii="仿宋_GB2312" w:hAnsi="仿宋_GB2312" w:eastAsia="仿宋_GB2312" w:cs="仿宋_GB2312"/>
                <w:sz w:val="20"/>
              </w:rPr>
              <w:t>2.将城市区域划分为2个排水分区。</w:t>
            </w:r>
          </w:p>
          <w:p w14:paraId="47DA9A9B">
            <w:pPr>
              <w:pStyle w:val="4"/>
              <w:ind w:firstLine="400"/>
              <w:jc w:val="left"/>
            </w:pPr>
            <w:r>
              <w:rPr>
                <w:rFonts w:ascii="仿宋_GB2312" w:hAnsi="仿宋_GB2312" w:eastAsia="仿宋_GB2312" w:cs="仿宋_GB2312"/>
                <w:sz w:val="20"/>
              </w:rPr>
              <w:t>3.管道埋深为模型中管顶距底板表面≥10mm。</w:t>
            </w:r>
          </w:p>
          <w:p w14:paraId="6074975E">
            <w:pPr>
              <w:pStyle w:val="4"/>
              <w:ind w:firstLine="200"/>
              <w:jc w:val="left"/>
            </w:pPr>
            <w:r>
              <w:rPr>
                <w:rFonts w:ascii="仿宋_GB2312" w:hAnsi="仿宋_GB2312" w:eastAsia="仿宋_GB2312" w:cs="仿宋_GB2312"/>
                <w:sz w:val="20"/>
              </w:rPr>
              <w:t>▲4.管道系统采用枝状管网，分为连接管、支管和干管三级，材质为透明有机玻璃管，连接管直径≥4mm、坡度约0.02；支管直径≥10mm、坡度约0.015；干管直径≥20mm、坡度0.008～0.01，连接管长度0.2-0.3m，每个雨水口对应1根连接管；支管共4条，长度1.0～1.5m，收集2～3个雨水口的来水；干管2条，沿模型主干道布置，全长约10.0m，收集所有支管来水，排水过程包括有压流和无压流。</w:t>
            </w:r>
          </w:p>
          <w:p w14:paraId="30E5E8A8">
            <w:pPr>
              <w:pStyle w:val="4"/>
              <w:ind w:firstLine="400"/>
              <w:jc w:val="left"/>
            </w:pPr>
            <w:r>
              <w:rPr>
                <w:rFonts w:ascii="仿宋_GB2312" w:hAnsi="仿宋_GB2312" w:eastAsia="仿宋_GB2312" w:cs="仿宋_GB2312"/>
                <w:sz w:val="20"/>
              </w:rPr>
              <w:t>5.雨水口：平篦式，100目不锈钢网，按汇水分区均匀布置，雨水口数量≥12个；单雨水口汇水面积约1m2；雨水口长约25mm，宽约15mm；篦子开孔率30-70%，可更换；沿道路布置间距为0.8-1.0m；布置位置在道路两侧、交叉口低洼处。</w:t>
            </w:r>
          </w:p>
          <w:p w14:paraId="44F733F1">
            <w:pPr>
              <w:pStyle w:val="4"/>
              <w:ind w:firstLine="400"/>
              <w:jc w:val="left"/>
            </w:pPr>
            <w:r>
              <w:rPr>
                <w:rFonts w:ascii="仿宋_GB2312" w:hAnsi="仿宋_GB2312" w:eastAsia="仿宋_GB2312" w:cs="仿宋_GB2312"/>
                <w:sz w:val="20"/>
              </w:rPr>
              <w:t>6.检查井：直径≥14mm，深度≥25mm，井内底坡与连接管道一致，井盖可拆卸。</w:t>
            </w:r>
          </w:p>
          <w:p w14:paraId="59E27276">
            <w:pPr>
              <w:pStyle w:val="4"/>
              <w:ind w:firstLine="400"/>
              <w:jc w:val="left"/>
            </w:pPr>
            <w:r>
              <w:rPr>
                <w:rFonts w:ascii="仿宋_GB2312" w:hAnsi="仿宋_GB2312" w:eastAsia="仿宋_GB2312" w:cs="仿宋_GB2312"/>
                <w:sz w:val="20"/>
              </w:rPr>
              <w:t>7.出水口：矩形出水口宽12-20mm、高8-15mm；出口处设置约50mm长的消能段。</w:t>
            </w:r>
          </w:p>
          <w:p w14:paraId="4E54CF25">
            <w:pPr>
              <w:pStyle w:val="4"/>
              <w:ind w:firstLine="400"/>
              <w:jc w:val="left"/>
            </w:pPr>
            <w:r>
              <w:rPr>
                <w:rFonts w:ascii="仿宋_GB2312" w:hAnsi="仿宋_GB2312" w:eastAsia="仿宋_GB2312" w:cs="仿宋_GB2312"/>
                <w:sz w:val="20"/>
              </w:rPr>
              <w:t>8.水位传感器9个：（干管起点、中点和终点各安装1套；6个低洼点各安装1套），精度±1mm，采样频率≥1Hz。</w:t>
            </w:r>
          </w:p>
          <w:p w14:paraId="4FE46EC0">
            <w:pPr>
              <w:pStyle w:val="4"/>
              <w:ind w:firstLine="400"/>
              <w:jc w:val="left"/>
            </w:pPr>
            <w:r>
              <w:rPr>
                <w:rFonts w:ascii="仿宋_GB2312" w:hAnsi="仿宋_GB2312" w:eastAsia="仿宋_GB2312" w:cs="仿宋_GB2312"/>
                <w:sz w:val="20"/>
              </w:rPr>
              <w:t>9.流量传感器2套：出水口处各设置1个，测量范围0-10mL/s，精度±2%。</w:t>
            </w:r>
          </w:p>
          <w:p w14:paraId="436DAFBB">
            <w:pPr>
              <w:pStyle w:val="4"/>
              <w:ind w:firstLine="400"/>
              <w:jc w:val="left"/>
            </w:pPr>
            <w:r>
              <w:rPr>
                <w:rFonts w:ascii="仿宋_GB2312" w:hAnsi="仿宋_GB2312" w:eastAsia="仿宋_GB2312" w:cs="仿宋_GB2312"/>
                <w:sz w:val="20"/>
              </w:rPr>
              <w:t>10.密封处理：所有管道接口采用有机玻璃专用胶密封，检查井与底板连接处做防水处理。</w:t>
            </w:r>
          </w:p>
          <w:p w14:paraId="6329BA99">
            <w:pPr>
              <w:pStyle w:val="4"/>
              <w:jc w:val="left"/>
            </w:pPr>
            <w:r>
              <w:rPr>
                <w:rFonts w:ascii="仿宋_GB2312" w:hAnsi="仿宋_GB2312" w:eastAsia="仿宋_GB2312" w:cs="仿宋_GB2312"/>
                <w:b/>
                <w:sz w:val="24"/>
              </w:rPr>
              <w:t>三、供回水模块【1套】</w:t>
            </w:r>
          </w:p>
          <w:p w14:paraId="280B47DF">
            <w:pPr>
              <w:pStyle w:val="4"/>
              <w:ind w:firstLine="400"/>
              <w:jc w:val="left"/>
            </w:pPr>
            <w:r>
              <w:rPr>
                <w:rFonts w:ascii="仿宋_GB2312" w:hAnsi="仿宋_GB2312" w:eastAsia="仿宋_GB2312" w:cs="仿宋_GB2312"/>
                <w:sz w:val="20"/>
              </w:rPr>
              <w:t>1.循环水箱≥2000L（或等效）带溢流，集成泡沫/网式过滤件，管路与阀门下游配电动调节阀、手动调节阀、排空与泄水接口。</w:t>
            </w:r>
          </w:p>
          <w:p w14:paraId="7A96811E">
            <w:pPr>
              <w:pStyle w:val="4"/>
              <w:ind w:firstLine="400"/>
              <w:jc w:val="left"/>
            </w:pPr>
            <w:r>
              <w:rPr>
                <w:rFonts w:ascii="仿宋_GB2312" w:hAnsi="仿宋_GB2312" w:eastAsia="仿宋_GB2312" w:cs="仿宋_GB2312"/>
                <w:sz w:val="20"/>
              </w:rPr>
              <w:t>▲2.离心泵1套：流量：1～50L/s，水头：≥3m，流量范围最大误差±5%</w:t>
            </w:r>
          </w:p>
          <w:p w14:paraId="4C129410">
            <w:pPr>
              <w:pStyle w:val="4"/>
              <w:ind w:firstLine="400"/>
              <w:jc w:val="left"/>
            </w:pPr>
            <w:r>
              <w:rPr>
                <w:rFonts w:ascii="仿宋_GB2312" w:hAnsi="仿宋_GB2312" w:eastAsia="仿宋_GB2312" w:cs="仿宋_GB2312"/>
                <w:sz w:val="20"/>
              </w:rPr>
              <w:t>3.最大流速≥1m/s。</w:t>
            </w:r>
          </w:p>
          <w:p w14:paraId="229CCD55">
            <w:pPr>
              <w:pStyle w:val="4"/>
              <w:ind w:firstLine="400"/>
              <w:jc w:val="left"/>
            </w:pPr>
            <w:r>
              <w:rPr>
                <w:rFonts w:ascii="仿宋_GB2312" w:hAnsi="仿宋_GB2312" w:eastAsia="仿宋_GB2312" w:cs="仿宋_GB2312"/>
                <w:sz w:val="20"/>
              </w:rPr>
              <w:t>4.电动阀1套：4～20ma调节型。</w:t>
            </w:r>
          </w:p>
          <w:p w14:paraId="1ABCFEFB">
            <w:pPr>
              <w:pStyle w:val="4"/>
              <w:ind w:firstLine="400"/>
              <w:jc w:val="left"/>
            </w:pPr>
            <w:r>
              <w:rPr>
                <w:rFonts w:ascii="仿宋_GB2312" w:hAnsi="仿宋_GB2312" w:eastAsia="仿宋_GB2312" w:cs="仿宋_GB2312"/>
                <w:sz w:val="20"/>
              </w:rPr>
              <w:t>5.流量计：最大允许误差±0.5%。</w:t>
            </w:r>
          </w:p>
          <w:p w14:paraId="5071E07F">
            <w:pPr>
              <w:pStyle w:val="4"/>
              <w:ind w:firstLine="400"/>
              <w:jc w:val="left"/>
            </w:pPr>
            <w:r>
              <w:rPr>
                <w:rFonts w:ascii="仿宋_GB2312" w:hAnsi="仿宋_GB2312" w:eastAsia="仿宋_GB2312" w:cs="仿宋_GB2312"/>
                <w:sz w:val="20"/>
              </w:rPr>
              <w:t>6.闭环控制：系统的硬件设备由软件同步控制，可根据反馈信号调节。</w:t>
            </w:r>
          </w:p>
          <w:p w14:paraId="6FDDE634">
            <w:pPr>
              <w:pStyle w:val="4"/>
              <w:ind w:firstLine="400"/>
              <w:jc w:val="left"/>
            </w:pPr>
            <w:r>
              <w:rPr>
                <w:rFonts w:ascii="仿宋_GB2312" w:hAnsi="仿宋_GB2312" w:eastAsia="仿宋_GB2312" w:cs="仿宋_GB2312"/>
                <w:sz w:val="20"/>
              </w:rPr>
              <w:t>7.智能调控：能够根据实际情况对多个流量过程进行动态优化分配，满足管道湍振和水锤的实验需要。</w:t>
            </w:r>
          </w:p>
          <w:p w14:paraId="57641D96">
            <w:pPr>
              <w:pStyle w:val="4"/>
              <w:jc w:val="left"/>
            </w:pPr>
            <w:r>
              <w:rPr>
                <w:rFonts w:ascii="仿宋_GB2312" w:hAnsi="仿宋_GB2312" w:eastAsia="仿宋_GB2312" w:cs="仿宋_GB2312"/>
                <w:b/>
                <w:sz w:val="24"/>
              </w:rPr>
              <w:t>四、水力调控设施模块【1套】</w:t>
            </w:r>
          </w:p>
          <w:p w14:paraId="3AB9A906">
            <w:pPr>
              <w:pStyle w:val="4"/>
              <w:ind w:firstLine="400"/>
              <w:jc w:val="left"/>
            </w:pPr>
            <w:r>
              <w:rPr>
                <w:rFonts w:ascii="仿宋_GB2312" w:hAnsi="仿宋_GB2312" w:eastAsia="仿宋_GB2312" w:cs="仿宋_GB2312"/>
                <w:sz w:val="20"/>
              </w:rPr>
              <w:t>1.节制闸：城市河道入口上游约0.5m处设置单孔节制闸，闸宽≥30cm、闸高≥10cm，配电动升降机构，可0～100%无级调节开度。</w:t>
            </w:r>
          </w:p>
          <w:p w14:paraId="43C8D7C2">
            <w:pPr>
              <w:pStyle w:val="4"/>
              <w:ind w:firstLine="400"/>
              <w:jc w:val="left"/>
            </w:pPr>
            <w:r>
              <w:rPr>
                <w:rFonts w:ascii="仿宋_GB2312" w:hAnsi="仿宋_GB2312" w:eastAsia="仿宋_GB2312" w:cs="仿宋_GB2312"/>
                <w:sz w:val="20"/>
              </w:rPr>
              <w:t>2.溢流堰：城市河道中段、节制闸下游约1.5m处设置溢流堰，堰顶宽≥30cm、堰高约6cm，高差约2cm；宽顶堰和实用堰可更换。</w:t>
            </w:r>
          </w:p>
          <w:p w14:paraId="2EA7F6FC">
            <w:pPr>
              <w:pStyle w:val="4"/>
              <w:ind w:firstLine="400"/>
              <w:jc w:val="left"/>
            </w:pPr>
            <w:r>
              <w:rPr>
                <w:rFonts w:ascii="仿宋_GB2312" w:hAnsi="仿宋_GB2312" w:eastAsia="仿宋_GB2312" w:cs="仿宋_GB2312"/>
                <w:sz w:val="20"/>
              </w:rPr>
              <w:t>3.桥梁：溢流堰下游约1.0m处，跨城市河道，跨径≥30cm、宽约15cm；桥墩模型可沿程移位并锁定位置。</w:t>
            </w:r>
          </w:p>
          <w:p w14:paraId="62F71822">
            <w:pPr>
              <w:pStyle w:val="4"/>
              <w:ind w:firstLine="400"/>
              <w:jc w:val="left"/>
            </w:pPr>
            <w:r>
              <w:rPr>
                <w:rFonts w:ascii="仿宋_GB2312" w:hAnsi="仿宋_GB2312" w:eastAsia="仿宋_GB2312" w:cs="仿宋_GB2312"/>
                <w:sz w:val="20"/>
              </w:rPr>
              <w:t>4.橡胶坝：城市河道下游段设置橡胶坝，坝长约30cm、坝顶宽约15cm、堰高约8cm，塌坝后底板高程与河床齐平，配套自动充排水系统。</w:t>
            </w:r>
          </w:p>
          <w:p w14:paraId="0F1CE261">
            <w:pPr>
              <w:pStyle w:val="4"/>
              <w:ind w:firstLine="400"/>
              <w:jc w:val="left"/>
            </w:pPr>
            <w:r>
              <w:rPr>
                <w:rFonts w:ascii="仿宋_GB2312" w:hAnsi="仿宋_GB2312" w:eastAsia="仿宋_GB2312" w:cs="仿宋_GB2312"/>
                <w:sz w:val="20"/>
              </w:rPr>
              <w:t>5.城市河道：设置2处微型生态岛（单个面积约0.05㎡），模拟水生植物生长区。</w:t>
            </w:r>
          </w:p>
          <w:p w14:paraId="3B62F789">
            <w:pPr>
              <w:pStyle w:val="4"/>
              <w:ind w:firstLine="400"/>
              <w:jc w:val="left"/>
            </w:pPr>
            <w:r>
              <w:rPr>
                <w:rFonts w:ascii="仿宋_GB2312" w:hAnsi="仿宋_GB2312" w:eastAsia="仿宋_GB2312" w:cs="仿宋_GB2312"/>
                <w:sz w:val="20"/>
              </w:rPr>
              <w:t>6.排涝泵站10台，单台扬程≥1.2m、流量≥0.03L/s，进水口设约2mm滤网，电动控制。</w:t>
            </w:r>
          </w:p>
          <w:p w14:paraId="5B0E4B19">
            <w:pPr>
              <w:pStyle w:val="4"/>
              <w:ind w:firstLine="400"/>
              <w:jc w:val="left"/>
            </w:pPr>
            <w:r>
              <w:rPr>
                <w:rFonts w:ascii="仿宋_GB2312" w:hAnsi="仿宋_GB2312" w:eastAsia="仿宋_GB2312" w:cs="仿宋_GB2312"/>
                <w:sz w:val="20"/>
              </w:rPr>
              <w:t>7.控制闸：城市河道末端设置单孔控制闸，闸宽约50cm、闸高约25cm，双向止水。</w:t>
            </w:r>
          </w:p>
          <w:p w14:paraId="1BC242E5">
            <w:pPr>
              <w:pStyle w:val="4"/>
              <w:ind w:firstLine="400"/>
              <w:jc w:val="left"/>
            </w:pPr>
            <w:r>
              <w:rPr>
                <w:rFonts w:ascii="仿宋_GB2312" w:hAnsi="仿宋_GB2312" w:eastAsia="仿宋_GB2312" w:cs="仿宋_GB2312"/>
                <w:sz w:val="20"/>
              </w:rPr>
              <w:t>8.湍流发生器：可更换式扰动网格、主动湍流栅格或射流扰动装置，支持不同湍流强度与尺度调控。</w:t>
            </w:r>
          </w:p>
          <w:p w14:paraId="43C45FA6">
            <w:pPr>
              <w:pStyle w:val="4"/>
              <w:ind w:firstLine="400"/>
              <w:jc w:val="left"/>
            </w:pPr>
            <w:r>
              <w:rPr>
                <w:rFonts w:ascii="仿宋_GB2312" w:hAnsi="仿宋_GB2312" w:eastAsia="仿宋_GB2312" w:cs="仿宋_GB2312"/>
                <w:sz w:val="20"/>
              </w:rPr>
              <w:t>▲9.闸门均采用不锈钢螺杆+PVC闸板，调节精度±1mm；泵站采用直流微型水泵，可通过调压模块调节流量。配置桥墩、丁坝、堰体模型各两套，用于研究绕流结构与局部冲刷。</w:t>
            </w:r>
          </w:p>
          <w:p w14:paraId="2AB0E7D8">
            <w:pPr>
              <w:pStyle w:val="4"/>
              <w:jc w:val="left"/>
            </w:pPr>
            <w:r>
              <w:rPr>
                <w:rFonts w:ascii="仿宋_GB2312" w:hAnsi="仿宋_GB2312" w:eastAsia="仿宋_GB2312" w:cs="仿宋_GB2312"/>
                <w:b/>
                <w:sz w:val="24"/>
              </w:rPr>
              <w:t>五、水力要素监测模块【1套】</w:t>
            </w:r>
          </w:p>
          <w:p w14:paraId="66C83B2E">
            <w:pPr>
              <w:pStyle w:val="4"/>
              <w:ind w:firstLine="400"/>
              <w:jc w:val="both"/>
            </w:pPr>
            <w:r>
              <w:rPr>
                <w:rFonts w:ascii="仿宋_GB2312" w:hAnsi="仿宋_GB2312" w:eastAsia="仿宋_GB2312" w:cs="仿宋_GB2312"/>
                <w:sz w:val="20"/>
              </w:rPr>
              <w:t>1.水位计10套：测量范围0～1m；测量精度±1mm。</w:t>
            </w:r>
          </w:p>
          <w:p w14:paraId="2ADED5C9">
            <w:pPr>
              <w:pStyle w:val="4"/>
              <w:ind w:firstLine="400"/>
              <w:jc w:val="both"/>
            </w:pPr>
            <w:r>
              <w:rPr>
                <w:rFonts w:ascii="仿宋_GB2312" w:hAnsi="仿宋_GB2312" w:eastAsia="仿宋_GB2312" w:cs="仿宋_GB2312"/>
                <w:sz w:val="20"/>
              </w:rPr>
              <w:t>2.流速仪10套：测量范围0～0.5m/s；测量精度±0.01m/s。</w:t>
            </w:r>
          </w:p>
          <w:p w14:paraId="784828C2">
            <w:pPr>
              <w:pStyle w:val="4"/>
              <w:ind w:firstLine="400"/>
              <w:jc w:val="both"/>
            </w:pPr>
            <w:r>
              <w:rPr>
                <w:rFonts w:ascii="仿宋_GB2312" w:hAnsi="仿宋_GB2312" w:eastAsia="仿宋_GB2312" w:cs="仿宋_GB2312"/>
                <w:sz w:val="20"/>
              </w:rPr>
              <w:t>3.浊度/浓度传感器5套：信号响应频率≥60Hz，测试含沙量范围≥100kg/m</w:t>
            </w:r>
            <w:r>
              <w:rPr>
                <w:rFonts w:ascii="仿宋_GB2312" w:hAnsi="仿宋_GB2312" w:eastAsia="仿宋_GB2312" w:cs="仿宋_GB2312"/>
                <w:sz w:val="20"/>
                <w:vertAlign w:val="superscript"/>
              </w:rPr>
              <w:t>3</w:t>
            </w:r>
            <w:r>
              <w:rPr>
                <w:rFonts w:ascii="仿宋_GB2312" w:hAnsi="仿宋_GB2312" w:eastAsia="仿宋_GB2312" w:cs="仿宋_GB2312"/>
                <w:sz w:val="20"/>
              </w:rPr>
              <w:t>，浊度测量精度高于±0.01g/m</w:t>
            </w:r>
            <w:r>
              <w:rPr>
                <w:rFonts w:ascii="仿宋_GB2312" w:hAnsi="仿宋_GB2312" w:eastAsia="仿宋_GB2312" w:cs="仿宋_GB2312"/>
                <w:sz w:val="20"/>
                <w:vertAlign w:val="superscript"/>
              </w:rPr>
              <w:t>3</w:t>
            </w:r>
            <w:r>
              <w:rPr>
                <w:rFonts w:ascii="仿宋_GB2312" w:hAnsi="仿宋_GB2312" w:eastAsia="仿宋_GB2312" w:cs="仿宋_GB2312"/>
                <w:sz w:val="20"/>
              </w:rPr>
              <w:t>。</w:t>
            </w:r>
          </w:p>
          <w:p w14:paraId="48CB27FB">
            <w:pPr>
              <w:pStyle w:val="4"/>
              <w:ind w:firstLine="400"/>
              <w:jc w:val="both"/>
            </w:pPr>
            <w:r>
              <w:rPr>
                <w:rFonts w:ascii="仿宋_GB2312" w:hAnsi="仿宋_GB2312" w:eastAsia="仿宋_GB2312" w:cs="仿宋_GB2312"/>
                <w:sz w:val="20"/>
              </w:rPr>
              <w:t>4.流量计5套：量程≥10L/s，精度≥0.5级，具RS485/以太网等通讯方式或数据导出。</w:t>
            </w:r>
          </w:p>
          <w:p w14:paraId="69AB64A0">
            <w:pPr>
              <w:pStyle w:val="4"/>
              <w:ind w:firstLine="400"/>
              <w:jc w:val="both"/>
            </w:pPr>
            <w:r>
              <w:rPr>
                <w:rFonts w:ascii="仿宋_GB2312" w:hAnsi="仿宋_GB2312" w:eastAsia="仿宋_GB2312" w:cs="仿宋_GB2312"/>
                <w:sz w:val="20"/>
              </w:rPr>
              <w:t>5.提供1–5mm级配砂样≥15kg，并提供清洗/预处理方法与量具。</w:t>
            </w:r>
          </w:p>
          <w:p w14:paraId="2421CF63">
            <w:pPr>
              <w:pStyle w:val="4"/>
              <w:ind w:firstLine="400"/>
              <w:jc w:val="both"/>
            </w:pPr>
            <w:r>
              <w:rPr>
                <w:rFonts w:ascii="仿宋_GB2312" w:hAnsi="仿宋_GB2312" w:eastAsia="仿宋_GB2312" w:cs="仿宋_GB2312"/>
                <w:sz w:val="20"/>
              </w:rPr>
              <w:t>6.高频压力传感器5套：量程范围0～0.5MPa；响应时间≤2ms；输出信号4-20mA；供电电压为12～36VDC；精确度：±0.2%F.S；长期稳定性：±0.2%F.S/年；监测脉动压强频率≥200Hz，脉动压强监测频率精度±1Hz。</w:t>
            </w:r>
          </w:p>
          <w:p w14:paraId="50FD0D63">
            <w:pPr>
              <w:pStyle w:val="4"/>
              <w:ind w:firstLine="400"/>
              <w:jc w:val="both"/>
            </w:pPr>
            <w:r>
              <w:rPr>
                <w:rFonts w:ascii="仿宋_GB2312" w:hAnsi="仿宋_GB2312" w:eastAsia="仿宋_GB2312" w:cs="仿宋_GB2312"/>
                <w:sz w:val="20"/>
              </w:rPr>
              <w:t>7.闸坝开度传感器4套（对应4座闸门）：精度±0.5mm，采样频率≥1Hz。</w:t>
            </w:r>
          </w:p>
          <w:p w14:paraId="58E5662C">
            <w:pPr>
              <w:pStyle w:val="4"/>
              <w:ind w:firstLine="400"/>
              <w:jc w:val="both"/>
            </w:pPr>
            <w:r>
              <w:rPr>
                <w:rFonts w:ascii="仿宋_GB2312" w:hAnsi="仿宋_GB2312" w:eastAsia="仿宋_GB2312" w:cs="仿宋_GB2312"/>
                <w:sz w:val="20"/>
              </w:rPr>
              <w:t>8.泵站运行状态传感器10 套（对应水力调控设施模块的10台排涝泵站）：监测启停状态、电流、转速，采样频率≥1Hz。</w:t>
            </w:r>
          </w:p>
          <w:p w14:paraId="46D730F0">
            <w:pPr>
              <w:pStyle w:val="4"/>
              <w:ind w:firstLine="400"/>
              <w:jc w:val="left"/>
            </w:pPr>
            <w:r>
              <w:rPr>
                <w:rFonts w:ascii="仿宋_GB2312" w:hAnsi="仿宋_GB2312" w:eastAsia="仿宋_GB2312" w:cs="仿宋_GB2312"/>
                <w:sz w:val="20"/>
              </w:rPr>
              <w:t>9.阀门开度传感器8套（供回水+降雨系统电动阀）：精度±1%，采样频率≥1Hz。</w:t>
            </w:r>
          </w:p>
          <w:p w14:paraId="535A0091">
            <w:pPr>
              <w:pStyle w:val="4"/>
              <w:jc w:val="left"/>
            </w:pPr>
            <w:r>
              <w:rPr>
                <w:rFonts w:ascii="仿宋_GB2312" w:hAnsi="仿宋_GB2312" w:eastAsia="仿宋_GB2312" w:cs="仿宋_GB2312"/>
                <w:b/>
                <w:sz w:val="24"/>
              </w:rPr>
              <w:t>六、人工模拟降雨模块【1套】</w:t>
            </w:r>
          </w:p>
          <w:p w14:paraId="6B565CEA">
            <w:pPr>
              <w:pStyle w:val="4"/>
              <w:ind w:firstLine="400"/>
              <w:jc w:val="left"/>
            </w:pPr>
            <w:r>
              <w:rPr>
                <w:rFonts w:ascii="仿宋_GB2312" w:hAnsi="仿宋_GB2312" w:eastAsia="仿宋_GB2312" w:cs="仿宋_GB2312"/>
                <w:sz w:val="20"/>
              </w:rPr>
              <w:t>▲1.采用下喷式喷头阵列+分区独立控制架构，实现15～120mm/h阶梯式雨强调节，降雨均匀度≥85%。</w:t>
            </w:r>
          </w:p>
          <w:p w14:paraId="2C3BA2CA">
            <w:pPr>
              <w:pStyle w:val="4"/>
              <w:ind w:firstLine="400"/>
              <w:jc w:val="left"/>
            </w:pPr>
            <w:r>
              <w:rPr>
                <w:rFonts w:ascii="仿宋_GB2312" w:hAnsi="仿宋_GB2312" w:eastAsia="仿宋_GB2312" w:cs="仿宋_GB2312"/>
                <w:sz w:val="20"/>
              </w:rPr>
              <w:t>▲2.模块由供水稳压、下喷式喷头、智能控制、径流收集排水四大核心模块组成，整体安装高度：距模型基底≥1.5m，不遮挡模型观测与操作空间。</w:t>
            </w:r>
          </w:p>
          <w:p w14:paraId="4090ABFD">
            <w:pPr>
              <w:pStyle w:val="4"/>
              <w:ind w:firstLine="400"/>
              <w:jc w:val="left"/>
            </w:pPr>
            <w:r>
              <w:rPr>
                <w:rFonts w:ascii="仿宋_GB2312" w:hAnsi="仿宋_GB2312" w:eastAsia="仿宋_GB2312" w:cs="仿宋_GB2312"/>
                <w:sz w:val="20"/>
              </w:rPr>
              <w:t>▲3.雨谱与天然降雨基本一致；雨强15～120mm/h阶梯式可调，控制精度±15mm/h，响应时间≤5s；</w:t>
            </w:r>
          </w:p>
          <w:p w14:paraId="17AC0A5F">
            <w:pPr>
              <w:pStyle w:val="4"/>
              <w:ind w:firstLine="400"/>
              <w:jc w:val="left"/>
            </w:pPr>
            <w:r>
              <w:rPr>
                <w:rFonts w:ascii="仿宋_GB2312" w:hAnsi="仿宋_GB2312" w:eastAsia="仿宋_GB2312" w:cs="仿宋_GB2312"/>
                <w:sz w:val="20"/>
              </w:rPr>
              <w:t>4.流域、城市二区独立控制雨强，可模拟空间分布不均的降雨场景。</w:t>
            </w:r>
          </w:p>
          <w:p w14:paraId="2D4452B5">
            <w:pPr>
              <w:pStyle w:val="4"/>
              <w:ind w:firstLine="400"/>
              <w:jc w:val="both"/>
            </w:pPr>
            <w:r>
              <w:rPr>
                <w:rFonts w:ascii="仿宋_GB2312" w:hAnsi="仿宋_GB2312" w:eastAsia="仿宋_GB2312" w:cs="仿宋_GB2312"/>
                <w:sz w:val="20"/>
              </w:rPr>
              <w:t>5.变频离心泵1套：流量范围0～60L/min，扬程≥10m，转速200～500r/min。</w:t>
            </w:r>
          </w:p>
          <w:p w14:paraId="11079F4B">
            <w:pPr>
              <w:pStyle w:val="4"/>
              <w:ind w:firstLine="400"/>
              <w:jc w:val="both"/>
            </w:pPr>
            <w:r>
              <w:rPr>
                <w:rFonts w:ascii="仿宋_GB2312" w:hAnsi="仿宋_GB2312" w:eastAsia="仿宋_GB2312" w:cs="仿宋_GB2312"/>
                <w:sz w:val="20"/>
              </w:rPr>
              <w:t>6.不锈钢稳压水箱容积≥100L，承压≥0.4MPa。</w:t>
            </w:r>
          </w:p>
          <w:p w14:paraId="0210896F">
            <w:pPr>
              <w:pStyle w:val="4"/>
              <w:ind w:firstLine="400"/>
              <w:jc w:val="both"/>
            </w:pPr>
            <w:r>
              <w:rPr>
                <w:rFonts w:ascii="仿宋_GB2312" w:hAnsi="仿宋_GB2312" w:eastAsia="仿宋_GB2312" w:cs="仿宋_GB2312"/>
                <w:sz w:val="20"/>
              </w:rPr>
              <w:t>7.压力传感器1套：量程0～0.4MPa。</w:t>
            </w:r>
          </w:p>
          <w:p w14:paraId="274A1D57">
            <w:pPr>
              <w:pStyle w:val="4"/>
              <w:ind w:firstLine="400"/>
              <w:jc w:val="both"/>
            </w:pPr>
            <w:r>
              <w:rPr>
                <w:rFonts w:ascii="仿宋_GB2312" w:hAnsi="仿宋_GB2312" w:eastAsia="仿宋_GB2312" w:cs="仿宋_GB2312"/>
                <w:sz w:val="20"/>
              </w:rPr>
              <w:t>8.精密过滤器1套：过滤精度≤50μm。</w:t>
            </w:r>
          </w:p>
          <w:p w14:paraId="11D585CB">
            <w:pPr>
              <w:pStyle w:val="4"/>
              <w:ind w:firstLine="400"/>
              <w:jc w:val="both"/>
            </w:pPr>
            <w:r>
              <w:rPr>
                <w:rFonts w:ascii="仿宋_GB2312" w:hAnsi="仿宋_GB2312" w:eastAsia="仿宋_GB2312" w:cs="仿宋_GB2312"/>
                <w:sz w:val="20"/>
              </w:rPr>
              <w:t>9.供水管路布局：主管道，采用φ25mm 不锈钢管，沿模型长度方向布置在顶部，分支管道采用φ25mm不锈钢管）；需设置挡雨板。</w:t>
            </w:r>
          </w:p>
          <w:p w14:paraId="69CB49A6">
            <w:pPr>
              <w:pStyle w:val="4"/>
              <w:ind w:firstLine="400"/>
              <w:jc w:val="left"/>
            </w:pPr>
            <w:r>
              <w:rPr>
                <w:rFonts w:ascii="仿宋_GB2312" w:hAnsi="仿宋_GB2312" w:eastAsia="仿宋_GB2312" w:cs="仿宋_GB2312"/>
                <w:sz w:val="20"/>
              </w:rPr>
              <w:t>▲10.智能控制：实现雨强调节，可自定义降雨历时、雨强变化过程；内置≥4种标准降雨模式，预设场景一键启动；实时显示供水压力、总流量、各分区雨强，压力异常、过滤器堵塞时自动报警并停机；自动记录实验过程中的雨强、流量、时间等数据并导出。</w:t>
            </w:r>
          </w:p>
          <w:p w14:paraId="782C0F14">
            <w:pPr>
              <w:pStyle w:val="4"/>
              <w:jc w:val="left"/>
            </w:pPr>
            <w:r>
              <w:rPr>
                <w:rFonts w:ascii="仿宋_GB2312" w:hAnsi="仿宋_GB2312" w:eastAsia="仿宋_GB2312" w:cs="仿宋_GB2312"/>
                <w:b/>
                <w:sz w:val="24"/>
              </w:rPr>
              <w:t>七、数字孪生模块【1套】</w:t>
            </w:r>
          </w:p>
          <w:p w14:paraId="402FF4FB">
            <w:pPr>
              <w:pStyle w:val="4"/>
              <w:ind w:firstLine="400"/>
              <w:jc w:val="left"/>
            </w:pPr>
            <w:r>
              <w:rPr>
                <w:rFonts w:ascii="仿宋_GB2312" w:hAnsi="仿宋_GB2312" w:eastAsia="仿宋_GB2312" w:cs="仿宋_GB2312"/>
                <w:sz w:val="20"/>
              </w:rPr>
              <w:t>1.可实现洪涝-水沙灾害全过程模拟、闸坝群联合智能调度与虚实同步验证。可开展不同降雨条件下的产汇流、城市内涝、河流水动力、河湖调蓄等实验。</w:t>
            </w:r>
          </w:p>
          <w:p w14:paraId="1C7DFB8F">
            <w:pPr>
              <w:pStyle w:val="4"/>
              <w:ind w:firstLine="400"/>
              <w:jc w:val="left"/>
            </w:pPr>
            <w:r>
              <w:rPr>
                <w:rFonts w:ascii="仿宋_GB2312" w:hAnsi="仿宋_GB2312" w:eastAsia="仿宋_GB2312" w:cs="仿宋_GB2312"/>
                <w:sz w:val="20"/>
              </w:rPr>
              <w:t>2.数据传输与预处理，支持断点续传与数据加密；实现本地数据滤波、异常值剔除与初步计算；数据延迟：端到端传输延迟≤100ms。</w:t>
            </w:r>
          </w:p>
          <w:p w14:paraId="5919FD75">
            <w:pPr>
              <w:pStyle w:val="4"/>
              <w:ind w:firstLine="400"/>
              <w:jc w:val="left"/>
            </w:pPr>
            <w:r>
              <w:rPr>
                <w:rFonts w:ascii="仿宋_GB2312" w:hAnsi="仿宋_GB2312" w:eastAsia="仿宋_GB2312" w:cs="仿宋_GB2312"/>
                <w:sz w:val="20"/>
              </w:rPr>
              <w:t>▲3.构建数字孪生模型，模型几何误差≤5mm，一般地形和构筑物控制点平面及高程误差≤5 mm，河道断面分辨率 ≤2mm；完整覆盖物理模型区域，包含地貌、河道、建筑、管网、闸坝、泵站等结构；实时渲染帧率≥45fps。</w:t>
            </w:r>
          </w:p>
          <w:p w14:paraId="1CF746DD">
            <w:pPr>
              <w:pStyle w:val="4"/>
              <w:ind w:firstLine="400"/>
              <w:jc w:val="left"/>
            </w:pPr>
            <w:r>
              <w:rPr>
                <w:rFonts w:ascii="仿宋_GB2312" w:hAnsi="仿宋_GB2312" w:eastAsia="仿宋_GB2312" w:cs="仿宋_GB2312"/>
                <w:sz w:val="20"/>
              </w:rPr>
              <w:t>4.多物理过程耦合水文水动力、管网水力学模型模拟模型实验下的水文水动力过程。</w:t>
            </w:r>
          </w:p>
          <w:p w14:paraId="47263A94">
            <w:pPr>
              <w:pStyle w:val="4"/>
              <w:ind w:firstLine="400"/>
              <w:jc w:val="left"/>
            </w:pPr>
            <w:r>
              <w:rPr>
                <w:rFonts w:ascii="仿宋_GB2312" w:hAnsi="仿宋_GB2312" w:eastAsia="仿宋_GB2312" w:cs="仿宋_GB2312"/>
                <w:sz w:val="20"/>
              </w:rPr>
              <w:t>5.虚实同步机制，基于统一坐标系，物理模型与数字模型坐标偏差≤5mm，同步精度≤100ms；所有监测数据实时映射到数字模型对应位置，更新频率与传感器采样频率一致。</w:t>
            </w:r>
          </w:p>
          <w:p w14:paraId="076703A8">
            <w:pPr>
              <w:pStyle w:val="4"/>
              <w:ind w:firstLine="400"/>
              <w:jc w:val="left"/>
            </w:pPr>
            <w:r>
              <w:rPr>
                <w:rFonts w:ascii="仿宋_GB2312" w:hAnsi="仿宋_GB2312" w:eastAsia="仿宋_GB2312" w:cs="仿宋_GB2312"/>
                <w:sz w:val="20"/>
              </w:rPr>
              <w:t>6.智能决策层，基于数字孪生模型与 AI 算法，实现灾害预测和智能调度核心功能。洪涝灾害预测：实现对水库泄流、河道洪水演进、城市内涝过程进行快速预测。闸坝群联合智能调度：对节制闸、溢流堰、橡胶坝、控制闸、泄洪闸 和水力调控设施模块的10台排涝泵站进行联合调度；实现最小化内涝积水面积、最小化河道洪峰流量的目标。从接收预警到生成最优调度方案≤1min。</w:t>
            </w:r>
          </w:p>
          <w:p w14:paraId="275C45F3">
            <w:pPr>
              <w:pStyle w:val="4"/>
              <w:ind w:firstLine="400"/>
              <w:jc w:val="left"/>
            </w:pPr>
            <w:r>
              <w:rPr>
                <w:rFonts w:ascii="仿宋_GB2312" w:hAnsi="仿宋_GB2312" w:eastAsia="仿宋_GB2312" w:cs="仿宋_GB2312"/>
                <w:sz w:val="20"/>
              </w:rPr>
              <w:t>7.闭环控制层，实现数字孪生平台对物理系统的反向控制，形成“感知-映射-决策-控制-反馈”的完整闭环。控制对象包括人工降雨系统、水力调控系统、排涝泵站和供回水系统；设置水位、流量、压力等安全阈值，超过阈值自动停机并报警；任何情况下手动控制优先于自动控制；实时监测设备运行状态，自动诊断故障。</w:t>
            </w:r>
          </w:p>
          <w:p w14:paraId="71F1B49C">
            <w:pPr>
              <w:pStyle w:val="4"/>
              <w:ind w:firstLine="400"/>
              <w:jc w:val="left"/>
            </w:pPr>
            <w:r>
              <w:rPr>
                <w:rFonts w:ascii="仿宋_GB2312" w:hAnsi="仿宋_GB2312" w:eastAsia="仿宋_GB2312" w:cs="仿宋_GB2312"/>
                <w:sz w:val="20"/>
              </w:rPr>
              <w:t>8.功能模块包括三维场景实时展示，支持任意角度旋转和缩放；叠加水位、流量、积水深度等热力图；实验数据自动记录与存储、实验报告自动生成；历史数据查询、多维度数据分析、数据可视化图表生成、数据导出为Excel/CSV 格式；内置典型实验案例（包括但不限于城市内涝形成过程、闸坝调度原理等）；支持分步演示与互动操作。</w:t>
            </w:r>
          </w:p>
          <w:p w14:paraId="4916DBA8">
            <w:pPr>
              <w:pStyle w:val="4"/>
              <w:ind w:firstLine="400"/>
            </w:pPr>
            <w:r>
              <w:rPr>
                <w:rFonts w:ascii="仿宋_GB2312" w:hAnsi="仿宋_GB2312" w:eastAsia="仿宋_GB2312" w:cs="仿宋_GB2312"/>
                <w:sz w:val="20"/>
              </w:rPr>
              <w:t>▲9.连续运行72小时无故障，数据丢失率≤0.01%；支持≥10个用户同时在线访问与操作，数据传输带宽≥5M/s；可实现复杂流场和脉动频率千万级数据量水力要素监测信息的快速传输，实现实体和孪生体的水力要素信息和水动力过程实时同步展示。预留接口，支持后续增加水质、生态等监测与模拟功能。</w:t>
            </w:r>
          </w:p>
          <w:p w14:paraId="2E271C66">
            <w:pPr>
              <w:pStyle w:val="4"/>
            </w:pPr>
            <w:r>
              <w:rPr>
                <w:rFonts w:ascii="仿宋_GB2312" w:hAnsi="仿宋_GB2312" w:eastAsia="仿宋_GB2312" w:cs="仿宋_GB2312"/>
                <w:sz w:val="20"/>
              </w:rPr>
              <w:t xml:space="preserve">  ▲10.图形工作站1台：处理器：≥2颗国产化C86 7390处理器（单处理器≥32核，频率≥2.7GHz）；内存：≥256GB  DDR4内存;硬盘：≥2*960GB SATA SSD；GPU：≥2块K100-AI GPU卡，单卡提供≥196TFLOPS@FP16算力，单卡显存≥64GB；RAID：独立8通道2GB缓存高性能SAS RAID卡，支持RAID0/1/5/6/10/50等；网络：1个双端口10Gbps以太网卡（含模块），1个独立管理千兆网口；电源：满配铂金冗余电源。</w:t>
            </w:r>
          </w:p>
        </w:tc>
      </w:tr>
    </w:tbl>
    <w:p w14:paraId="137C1B57">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ACF486E"/>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9318</Words>
  <Characters>9813</Characters>
  <Lines>0</Lines>
  <Paragraphs>0</Paragraphs>
  <TotalTime>0</TotalTime>
  <ScaleCrop>false</ScaleCrop>
  <LinksUpToDate>false</LinksUpToDate>
  <CharactersWithSpaces>9904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hh</cp:lastModifiedBy>
  <dcterms:modified xsi:type="dcterms:W3CDTF">2026-09-30T05:35:25Z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eyJoZGlkIjoiMGQ4ZTdmZWNkZThhYzU1MTNmMWJlNWM0M2ExM2M5MDQiLCJ1c2VySWQiOiI1NTQxNTg5NzAifQ==</vt:lpwstr>
  </property>
  <property fmtid="{D5CDD505-2E9C-101B-9397-08002B2CF9AE}" pid="4" name="ICV">
    <vt:lpwstr>7EBAD2F96D1A4396910144CA6D141CD3_12</vt:lpwstr>
  </property>
</Properties>
</file>